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A3029" w14:textId="0492631A" w:rsidR="004020C5" w:rsidRPr="004020C5" w:rsidRDefault="00FC5398" w:rsidP="0067268C">
      <w:pPr>
        <w:pStyle w:val="CoverTitle"/>
        <w:spacing w:before="6480"/>
      </w:pPr>
      <w:bookmarkStart w:id="0" w:name="_Toc185519883"/>
      <w:r w:rsidRPr="003D322C">
        <w:rPr>
          <w:noProof/>
          <w:szCs w:val="56"/>
        </w:rPr>
        <w:drawing>
          <wp:anchor distT="0" distB="0" distL="114300" distR="114300" simplePos="0" relativeHeight="251658240" behindDoc="0" locked="0" layoutInCell="1" allowOverlap="1" wp14:anchorId="4851A912" wp14:editId="4CFFA548">
            <wp:simplePos x="0" y="0"/>
            <wp:positionH relativeFrom="column">
              <wp:posOffset>-529752</wp:posOffset>
            </wp:positionH>
            <wp:positionV relativeFrom="paragraph">
              <wp:posOffset>-932327</wp:posOffset>
            </wp:positionV>
            <wp:extent cx="6124353" cy="4656886"/>
            <wp:effectExtent l="0" t="0" r="0" b="0"/>
            <wp:wrapNone/>
            <wp:docPr id="1154156277"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56277" name="Picture 21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5335" cy="467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0C5" w:rsidRPr="003D322C">
        <w:rPr>
          <w:szCs w:val="56"/>
        </w:rPr>
        <w:t>Analysis of linked longitudinal</w:t>
      </w:r>
      <w:r w:rsidR="004020C5" w:rsidRPr="004020C5">
        <w:t xml:space="preserve"> administrative data on child protection involvement for NSW families with domestic and family violence, alcohol and other drug issues and mental health issues</w:t>
      </w:r>
      <w:bookmarkEnd w:id="0"/>
    </w:p>
    <w:p w14:paraId="42C67E05" w14:textId="6C43CE00" w:rsidR="004020C5" w:rsidRPr="004020C5" w:rsidRDefault="004020C5" w:rsidP="004020C5">
      <w:pPr>
        <w:pStyle w:val="ResearcherNames"/>
      </w:pPr>
      <w:r w:rsidRPr="004020C5">
        <w:t>BETTY LUU | AMY CONLEY WRIGHT | STEFANIE SCHURER | LAURA METCALFE</w:t>
      </w:r>
    </w:p>
    <w:p w14:paraId="08916A36" w14:textId="612BB01C" w:rsidR="003D322C" w:rsidRDefault="004020C5" w:rsidP="0067268C">
      <w:pPr>
        <w:pStyle w:val="ResearcherNames"/>
        <w:spacing w:after="720"/>
      </w:pPr>
      <w:r w:rsidRPr="004020C5">
        <w:t>SUSAN HEWARD-BELLE | SUSAN COLLINGS | EMMA BARRETT</w:t>
      </w:r>
    </w:p>
    <w:p w14:paraId="6370CDC2" w14:textId="42C5B365" w:rsidR="0067268C" w:rsidRPr="0067268C" w:rsidRDefault="0067268C" w:rsidP="0067268C">
      <w:pPr>
        <w:spacing w:after="480"/>
      </w:pPr>
      <w:r w:rsidRPr="0067268C">
        <w:rPr>
          <w:noProof/>
        </w:rPr>
        <w:drawing>
          <wp:inline distT="0" distB="0" distL="0" distR="0" wp14:anchorId="357FFF1C" wp14:editId="36943F7E">
            <wp:extent cx="2340000" cy="1055568"/>
            <wp:effectExtent l="0" t="0" r="0" b="0"/>
            <wp:docPr id="1501722956" name="Picture 218"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22956" name="Picture 218" descr="ANROWS. Australia's National Research Organisation for Women's Safety to Reduce Violence against Women and their Childr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000" cy="1055568"/>
                    </a:xfrm>
                    <a:prstGeom prst="rect">
                      <a:avLst/>
                    </a:prstGeom>
                    <a:noFill/>
                    <a:ln>
                      <a:noFill/>
                    </a:ln>
                  </pic:spPr>
                </pic:pic>
              </a:graphicData>
            </a:graphic>
          </wp:inline>
        </w:drawing>
      </w:r>
    </w:p>
    <w:p w14:paraId="52C791BE" w14:textId="488B4283" w:rsidR="0067268C" w:rsidRPr="0067268C" w:rsidRDefault="0067268C" w:rsidP="0067268C">
      <w:pPr>
        <w:pStyle w:val="Seriesandissuenumber"/>
      </w:pPr>
      <w:r w:rsidRPr="0067268C">
        <w:t>Research report</w:t>
      </w:r>
      <w:r w:rsidRPr="0067268C">
        <w:br/>
        <w:t>Issue 01 | February 2024</w:t>
      </w:r>
    </w:p>
    <w:p w14:paraId="5761B81D" w14:textId="71CBDA82" w:rsidR="004020C5" w:rsidRPr="004020C5" w:rsidRDefault="004020C5" w:rsidP="004020C5">
      <w:pPr>
        <w:pStyle w:val="DetailHeading"/>
      </w:pPr>
      <w:r w:rsidRPr="004020C5">
        <w:lastRenderedPageBreak/>
        <w:t>ANROWS acknowledgement</w:t>
      </w:r>
    </w:p>
    <w:p w14:paraId="5AE11324" w14:textId="514AF5EF" w:rsidR="004020C5" w:rsidRPr="00F57A8C" w:rsidRDefault="004020C5" w:rsidP="004020C5">
      <w:pPr>
        <w:pStyle w:val="DetailBody"/>
        <w:rPr>
          <w:szCs w:val="20"/>
          <w:lang w:val="en-US"/>
        </w:rPr>
      </w:pPr>
      <w:r w:rsidRPr="00F57A8C">
        <w:rPr>
          <w:szCs w:val="20"/>
          <w:lang w:val="en-US"/>
        </w:rPr>
        <w:t>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w:t>
      </w:r>
      <w:r w:rsidR="00BB1781" w:rsidRPr="00F57A8C">
        <w:rPr>
          <w:szCs w:val="20"/>
          <w:lang w:val="en-US"/>
        </w:rPr>
        <w:t> </w:t>
      </w:r>
      <w:r w:rsidRPr="00F57A8C">
        <w:rPr>
          <w:szCs w:val="20"/>
          <w:lang w:val="en-US"/>
        </w:rPr>
        <w:t>the Australian Government, or any Australian state or territory government</w:t>
      </w:r>
    </w:p>
    <w:p w14:paraId="07A8276B" w14:textId="58EEA104" w:rsidR="004020C5" w:rsidRPr="004020C5" w:rsidRDefault="004020C5" w:rsidP="004020C5">
      <w:pPr>
        <w:pStyle w:val="DetailHeading"/>
      </w:pPr>
      <w:r w:rsidRPr="004020C5">
        <w:t>Acknowledgement of Country</w:t>
      </w:r>
    </w:p>
    <w:p w14:paraId="58FCF775" w14:textId="55A407AB" w:rsidR="004020C5" w:rsidRPr="00F57A8C" w:rsidRDefault="004020C5" w:rsidP="004020C5">
      <w:pPr>
        <w:pStyle w:val="DetailBody"/>
        <w:rPr>
          <w:szCs w:val="20"/>
          <w:lang w:val="en-US"/>
        </w:rPr>
      </w:pPr>
      <w:r w:rsidRPr="00F57A8C">
        <w:rPr>
          <w:szCs w:val="20"/>
          <w:lang w:val="en-US"/>
        </w:rPr>
        <w:t>ANROWS acknowledges the Traditional Owners of the land across Australia on which we live and work. We pay our respects to Aboriginal and Torres Strait Islander Elders past and present. We value Aboriginal and Torres Strait Islander histories, cultures and knowledge. We are committed to standing and working with First Nations peoples, honouring the truths set out in the </w:t>
      </w:r>
      <w:hyperlink r:id="rId13" w:history="1">
        <w:r w:rsidRPr="00F57A8C">
          <w:rPr>
            <w:rStyle w:val="Hyperlink"/>
            <w:szCs w:val="20"/>
            <w:lang w:val="en-US"/>
          </w:rPr>
          <w:t>Warawarni-gu Guma Statement.</w:t>
        </w:r>
      </w:hyperlink>
    </w:p>
    <w:p w14:paraId="7BAE1732" w14:textId="10C71692" w:rsidR="004020C5" w:rsidRPr="004020C5" w:rsidRDefault="004020C5" w:rsidP="004020C5">
      <w:pPr>
        <w:pStyle w:val="DetailHeading"/>
      </w:pPr>
      <w:r w:rsidRPr="004020C5">
        <w:t>Peer review process</w:t>
      </w:r>
    </w:p>
    <w:p w14:paraId="60BCD53E" w14:textId="40B9A4A6" w:rsidR="004020C5" w:rsidRPr="00F57A8C" w:rsidRDefault="004020C5" w:rsidP="004020C5">
      <w:pPr>
        <w:pStyle w:val="DetailBody"/>
        <w:rPr>
          <w:szCs w:val="20"/>
          <w:lang w:val="en-US"/>
        </w:rPr>
      </w:pPr>
      <w:r w:rsidRPr="00F57A8C">
        <w:rPr>
          <w:szCs w:val="20"/>
          <w:lang w:val="en-US"/>
        </w:rPr>
        <w:t>The quality of ANROWS publications is ensured through a rigorous peer review process that is consistent with the principles of the </w:t>
      </w:r>
      <w:hyperlink w:history="1">
        <w:r w:rsidRPr="00F57A8C">
          <w:rPr>
            <w:rStyle w:val="Hyperlink"/>
            <w:i/>
            <w:iCs/>
            <w:szCs w:val="20"/>
            <w:lang w:val="en-US"/>
          </w:rPr>
          <w:t>Committee on Publication Ethics (COPE) Ethical Guidelines for Peer Review</w:t>
        </w:r>
      </w:hyperlink>
      <w:r w:rsidRPr="00F57A8C">
        <w:rPr>
          <w:szCs w:val="20"/>
          <w:lang w:val="en-US"/>
        </w:rPr>
        <w:t>. This report has been assessed by at least two peer reviewers with relevant academic expertise.</w:t>
      </w:r>
    </w:p>
    <w:p w14:paraId="474DA3EF" w14:textId="2CEE4454" w:rsidR="004020C5" w:rsidRPr="00F57A8C" w:rsidRDefault="004020C5" w:rsidP="004020C5">
      <w:pPr>
        <w:pStyle w:val="DetailBody"/>
        <w:rPr>
          <w:szCs w:val="20"/>
          <w:lang w:val="en-US"/>
        </w:rPr>
      </w:pPr>
      <w:r w:rsidRPr="00F57A8C">
        <w:rPr>
          <w:szCs w:val="20"/>
          <w:lang w:val="en-US"/>
        </w:rPr>
        <w:t>© ANROWS 2024</w:t>
      </w:r>
    </w:p>
    <w:p w14:paraId="0896DDB2" w14:textId="4A8754F5" w:rsidR="004020C5" w:rsidRPr="004020C5" w:rsidRDefault="004020C5" w:rsidP="004020C5">
      <w:r w:rsidRPr="004020C5">
        <w:rPr>
          <w:noProof/>
        </w:rPr>
        <w:drawing>
          <wp:inline distT="0" distB="0" distL="0" distR="0" wp14:anchorId="7FD00395" wp14:editId="05E6A22F">
            <wp:extent cx="1080000" cy="456149"/>
            <wp:effectExtent l="0" t="0" r="6350" b="1270"/>
            <wp:docPr id="1774250171" name="Picture 216"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50171" name="Picture 216" descr="Creative Commons Attribution Non-Commercial 3.0 Australia lic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456149"/>
                    </a:xfrm>
                    <a:prstGeom prst="rect">
                      <a:avLst/>
                    </a:prstGeom>
                    <a:noFill/>
                    <a:ln>
                      <a:noFill/>
                    </a:ln>
                  </pic:spPr>
                </pic:pic>
              </a:graphicData>
            </a:graphic>
          </wp:inline>
        </w:drawing>
      </w:r>
    </w:p>
    <w:p w14:paraId="1EC3AF49" w14:textId="0CED0631" w:rsidR="004020C5" w:rsidRPr="00F57A8C" w:rsidRDefault="004020C5" w:rsidP="004020C5">
      <w:pPr>
        <w:pStyle w:val="DetailBody"/>
        <w:rPr>
          <w:szCs w:val="20"/>
          <w:lang w:val="en-US"/>
        </w:rPr>
      </w:pPr>
      <w:r w:rsidRPr="00F57A8C">
        <w:rPr>
          <w:szCs w:val="20"/>
          <w:lang w:val="en-US"/>
        </w:rPr>
        <w:t>With the exception of the ANROWS branding, content provided by third parties, and any material protected</w:t>
      </w:r>
      <w:r w:rsidR="0024386F">
        <w:rPr>
          <w:szCs w:val="20"/>
          <w:lang w:val="en-US"/>
        </w:rPr>
        <w:t> </w:t>
      </w:r>
      <w:r w:rsidRPr="00F57A8C">
        <w:rPr>
          <w:szCs w:val="20"/>
          <w:lang w:val="en-US"/>
        </w:rPr>
        <w:t>by</w:t>
      </w:r>
      <w:r w:rsidR="00F57A8C">
        <w:rPr>
          <w:szCs w:val="20"/>
          <w:lang w:val="en-US"/>
        </w:rPr>
        <w:t> </w:t>
      </w:r>
      <w:r w:rsidRPr="00F57A8C">
        <w:rPr>
          <w:szCs w:val="20"/>
          <w:lang w:val="en-US"/>
        </w:rPr>
        <w:t>a</w:t>
      </w:r>
      <w:r w:rsidR="00F57A8C">
        <w:rPr>
          <w:szCs w:val="20"/>
          <w:lang w:val="en-US"/>
        </w:rPr>
        <w:t> </w:t>
      </w:r>
      <w:r w:rsidRPr="00F57A8C">
        <w:rPr>
          <w:szCs w:val="20"/>
          <w:lang w:val="en-US"/>
        </w:rPr>
        <w:t>trademark, all material presented in this publication is licensed under a Creative Commons Attribution</w:t>
      </w:r>
      <w:r w:rsidR="0024386F">
        <w:rPr>
          <w:szCs w:val="20"/>
          <w:lang w:val="en-US"/>
        </w:rPr>
        <w:noBreakHyphen/>
      </w:r>
      <w:r w:rsidRPr="00F57A8C">
        <w:rPr>
          <w:szCs w:val="20"/>
          <w:lang w:val="en-US"/>
        </w:rPr>
        <w:t>NonCommercial 3.0 Australia (CC BY-NC 3.0 AU) licence.</w:t>
      </w:r>
    </w:p>
    <w:p w14:paraId="54285125" w14:textId="25340940" w:rsidR="004020C5" w:rsidRPr="00F57A8C" w:rsidRDefault="004020C5" w:rsidP="004020C5">
      <w:pPr>
        <w:pStyle w:val="DetailBody"/>
        <w:rPr>
          <w:szCs w:val="20"/>
          <w:lang w:val="en-US"/>
        </w:rPr>
      </w:pPr>
      <w:r w:rsidRPr="00F57A8C">
        <w:rPr>
          <w:szCs w:val="20"/>
          <w:lang w:val="en-US"/>
        </w:rPr>
        <w:t>The full licence terms are available at </w:t>
      </w:r>
      <w:hyperlink r:id="rId15" w:history="1">
        <w:r w:rsidRPr="00F57A8C">
          <w:rPr>
            <w:rStyle w:val="Hyperlink"/>
            <w:szCs w:val="20"/>
            <w:lang w:val="en-US"/>
          </w:rPr>
          <w:t>creativecommons.org/licenses/by-nc/3.0/au/legalcode</w:t>
        </w:r>
      </w:hyperlink>
    </w:p>
    <w:p w14:paraId="29BDD92D" w14:textId="58539FC2" w:rsidR="004020C5" w:rsidRPr="004020C5" w:rsidRDefault="004020C5" w:rsidP="004020C5">
      <w:pPr>
        <w:pStyle w:val="DetailHeading"/>
      </w:pPr>
      <w:r w:rsidRPr="004020C5">
        <w:t>Published by</w:t>
      </w:r>
    </w:p>
    <w:p w14:paraId="734159ED" w14:textId="1B24C892" w:rsidR="004020C5" w:rsidRPr="00F57A8C" w:rsidRDefault="004020C5" w:rsidP="004020C5">
      <w:pPr>
        <w:pStyle w:val="DetailBody"/>
        <w:rPr>
          <w:szCs w:val="20"/>
          <w:lang w:val="en-US"/>
        </w:rPr>
      </w:pPr>
      <w:r w:rsidRPr="00F57A8C">
        <w:rPr>
          <w:szCs w:val="20"/>
          <w:lang w:val="en-US"/>
        </w:rPr>
        <w:t>Australia’s National Research Organisation for Women’s Safety Limited (ANROWS)</w:t>
      </w:r>
    </w:p>
    <w:p w14:paraId="2D23DD59" w14:textId="6D2F3C83" w:rsidR="004020C5" w:rsidRPr="00F57A8C" w:rsidRDefault="004020C5" w:rsidP="004020C5">
      <w:pPr>
        <w:pStyle w:val="DetailBody"/>
        <w:rPr>
          <w:szCs w:val="20"/>
          <w:lang w:val="en-US"/>
        </w:rPr>
      </w:pPr>
      <w:r w:rsidRPr="00F57A8C">
        <w:rPr>
          <w:szCs w:val="20"/>
          <w:lang w:val="en-US"/>
        </w:rPr>
        <w:t>PO Box Q389, Queen Victoria Building, NSW 1230 | </w:t>
      </w:r>
      <w:hyperlink r:id="rId16" w:history="1">
        <w:r w:rsidRPr="00F57A8C">
          <w:rPr>
            <w:rStyle w:val="Hyperlink"/>
            <w:szCs w:val="20"/>
            <w:lang w:val="en-US"/>
          </w:rPr>
          <w:t>www.anrows.org.au</w:t>
        </w:r>
      </w:hyperlink>
    </w:p>
    <w:p w14:paraId="53EF69BC" w14:textId="44FD5C48" w:rsidR="004020C5" w:rsidRPr="00F57A8C" w:rsidRDefault="004020C5" w:rsidP="004020C5">
      <w:pPr>
        <w:pStyle w:val="DetailBody"/>
        <w:rPr>
          <w:szCs w:val="20"/>
          <w:lang w:val="en-US"/>
        </w:rPr>
      </w:pPr>
      <w:r w:rsidRPr="00F57A8C">
        <w:rPr>
          <w:szCs w:val="20"/>
          <w:lang w:val="en-US"/>
        </w:rPr>
        <w:t>ABN 67 162 349 171</w:t>
      </w:r>
    </w:p>
    <w:p w14:paraId="22B8394D" w14:textId="2A1484AA" w:rsidR="004020C5" w:rsidRPr="004020C5" w:rsidRDefault="004020C5" w:rsidP="004020C5">
      <w:pPr>
        <w:pStyle w:val="DetailHeading"/>
      </w:pPr>
      <w:r w:rsidRPr="004020C5">
        <w:t>ISBN: 978-1-922645-76-0 (paperback)</w:t>
      </w:r>
    </w:p>
    <w:p w14:paraId="107AF6F3" w14:textId="703249EB" w:rsidR="004020C5" w:rsidRPr="004020C5" w:rsidRDefault="004020C5" w:rsidP="004020C5">
      <w:pPr>
        <w:pStyle w:val="DetailHeading"/>
      </w:pPr>
      <w:r w:rsidRPr="004020C5">
        <w:t>ISBN: 978-1-922645-77-7 (PDF)</w:t>
      </w:r>
    </w:p>
    <w:p w14:paraId="7F310BE1" w14:textId="77777777" w:rsidR="00D932D2" w:rsidRDefault="004020C5" w:rsidP="004020C5">
      <w:pPr>
        <w:pStyle w:val="DetailBody"/>
        <w:rPr>
          <w:noProof/>
          <w:szCs w:val="20"/>
          <w:lang w:val="en-US"/>
        </w:rPr>
      </w:pPr>
      <w:r w:rsidRPr="00F57A8C">
        <w:rPr>
          <w:szCs w:val="20"/>
          <w:lang w:val="en-US"/>
        </w:rPr>
        <w:t>Please note that there is the potential for minor revisions of this report.</w:t>
      </w:r>
      <w:r w:rsidRPr="00F57A8C">
        <w:rPr>
          <w:szCs w:val="20"/>
          <w:lang w:val="en-US"/>
        </w:rPr>
        <w:br/>
        <w:t>Please check the online version at </w:t>
      </w:r>
      <w:hyperlink r:id="rId17" w:history="1">
        <w:r w:rsidRPr="00F57A8C">
          <w:rPr>
            <w:rStyle w:val="Hyperlink"/>
            <w:szCs w:val="20"/>
            <w:lang w:val="en-US"/>
          </w:rPr>
          <w:t>www.anrows.org.au</w:t>
        </w:r>
      </w:hyperlink>
      <w:r w:rsidRPr="00F57A8C">
        <w:rPr>
          <w:szCs w:val="20"/>
          <w:lang w:val="en-US"/>
        </w:rPr>
        <w:t> for any amendment.</w:t>
      </w:r>
      <w:r w:rsidR="00D932D2" w:rsidRPr="00D932D2">
        <w:rPr>
          <w:noProof/>
          <w:szCs w:val="20"/>
          <w:lang w:val="en-US"/>
        </w:rPr>
        <w:t xml:space="preserve"> </w:t>
      </w:r>
    </w:p>
    <w:p w14:paraId="58606FB0" w14:textId="47075412" w:rsidR="004020C5" w:rsidRPr="00F57A8C" w:rsidRDefault="00D932D2" w:rsidP="00703F94">
      <w:pPr>
        <w:rPr>
          <w:szCs w:val="20"/>
          <w:lang w:val="en-US"/>
        </w:rPr>
      </w:pPr>
      <w:r w:rsidRPr="00703F94">
        <w:rPr>
          <w:noProof/>
        </w:rPr>
        <w:drawing>
          <wp:inline distT="0" distB="0" distL="0" distR="0" wp14:anchorId="118C71C4" wp14:editId="48A85BFA">
            <wp:extent cx="2481943" cy="903605"/>
            <wp:effectExtent l="0" t="0" r="0" b="0"/>
            <wp:docPr id="864488393" name="Picture 1"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88393" name="Picture 1" descr="National Library of Australia. A catalogue record for this book is available from the National Library of Austral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03" r="13402" b="17100"/>
                    <a:stretch/>
                  </pic:blipFill>
                  <pic:spPr bwMode="auto">
                    <a:xfrm>
                      <a:off x="0" y="0"/>
                      <a:ext cx="2482885" cy="903948"/>
                    </a:xfrm>
                    <a:prstGeom prst="rect">
                      <a:avLst/>
                    </a:prstGeom>
                    <a:noFill/>
                    <a:ln>
                      <a:noFill/>
                    </a:ln>
                    <a:extLst>
                      <a:ext uri="{53640926-AAD7-44D8-BBD7-CCE9431645EC}">
                        <a14:shadowObscured xmlns:a14="http://schemas.microsoft.com/office/drawing/2010/main"/>
                      </a:ext>
                    </a:extLst>
                  </pic:spPr>
                </pic:pic>
              </a:graphicData>
            </a:graphic>
          </wp:inline>
        </w:drawing>
      </w:r>
    </w:p>
    <w:p w14:paraId="06A9A19C" w14:textId="4ED88BB0" w:rsidR="004020C5" w:rsidRPr="00354C1E" w:rsidRDefault="004020C5" w:rsidP="0024386F">
      <w:pPr>
        <w:pStyle w:val="CoverTitle"/>
      </w:pPr>
      <w:bookmarkStart w:id="1" w:name="_Toc185519884"/>
      <w:r w:rsidRPr="00354C1E">
        <w:lastRenderedPageBreak/>
        <w:t>Analysis of linked longitudinal administrative data on child protection involvement for NSW families with domestic and family violence, alcohol and other drug issues and mental health issues</w:t>
      </w:r>
      <w:bookmarkEnd w:id="1"/>
    </w:p>
    <w:p w14:paraId="34A99C03" w14:textId="27F3E787" w:rsidR="004020C5" w:rsidRPr="004020C5" w:rsidRDefault="00F57A8C" w:rsidP="004020C5">
      <w:pPr>
        <w:pStyle w:val="ResearcherNames"/>
      </w:pPr>
      <w:r>
        <w:t>D</w:t>
      </w:r>
      <w:r w:rsidR="004020C5" w:rsidRPr="004020C5">
        <w:t>r Betty Luu</w:t>
      </w:r>
    </w:p>
    <w:p w14:paraId="69D2FDB9" w14:textId="478FCFF0" w:rsidR="004020C5" w:rsidRPr="004020C5" w:rsidRDefault="004020C5" w:rsidP="004020C5">
      <w:pPr>
        <w:pStyle w:val="Researchertitle"/>
      </w:pPr>
      <w:r w:rsidRPr="004020C5">
        <w:t>Research Fellow, Research Centre for Children and Families</w:t>
      </w:r>
    </w:p>
    <w:p w14:paraId="5E5C8BDB" w14:textId="099BC921" w:rsidR="004020C5" w:rsidRPr="004020C5" w:rsidRDefault="004020C5" w:rsidP="004020C5">
      <w:pPr>
        <w:pStyle w:val="Researchertitle"/>
      </w:pPr>
      <w:r w:rsidRPr="004020C5">
        <w:t>The Univer</w:t>
      </w:r>
      <w:r w:rsidR="00814DE0">
        <w:t>s</w:t>
      </w:r>
      <w:r w:rsidRPr="004020C5">
        <w:t>ity of Sydney</w:t>
      </w:r>
    </w:p>
    <w:p w14:paraId="1F6E2EBF" w14:textId="58FACF26" w:rsidR="004020C5" w:rsidRPr="004020C5" w:rsidRDefault="004020C5" w:rsidP="00F57A8C">
      <w:pPr>
        <w:pStyle w:val="ResearcherNames"/>
      </w:pPr>
      <w:r w:rsidRPr="004020C5">
        <w:t>P</w:t>
      </w:r>
      <w:r w:rsidR="00F57A8C">
        <w:t>rofessor</w:t>
      </w:r>
      <w:r w:rsidRPr="004020C5">
        <w:t xml:space="preserve"> Amy Conley Wright</w:t>
      </w:r>
    </w:p>
    <w:p w14:paraId="61041539" w14:textId="3EF4778E" w:rsidR="004020C5" w:rsidRPr="004020C5" w:rsidRDefault="004020C5" w:rsidP="004020C5">
      <w:pPr>
        <w:pStyle w:val="Researchertitle"/>
      </w:pPr>
      <w:r w:rsidRPr="004020C5">
        <w:t>Director, Research Centre for Children and Families</w:t>
      </w:r>
    </w:p>
    <w:p w14:paraId="74AF229E" w14:textId="4C3A198C" w:rsidR="004020C5" w:rsidRPr="004020C5" w:rsidRDefault="004020C5" w:rsidP="004020C5">
      <w:pPr>
        <w:pStyle w:val="Researchertitle"/>
      </w:pPr>
      <w:r w:rsidRPr="004020C5">
        <w:t>The University of Sydney</w:t>
      </w:r>
      <w:r w:rsidR="00070EFF" w:rsidRPr="00070EFF">
        <w:rPr>
          <w:rStyle w:val="Superscript"/>
        </w:rPr>
        <w:t xml:space="preserve"> </w:t>
      </w:r>
    </w:p>
    <w:p w14:paraId="7DCFEB59" w14:textId="5B762BA8" w:rsidR="004020C5" w:rsidRPr="004020C5" w:rsidRDefault="004020C5" w:rsidP="00F57A8C">
      <w:pPr>
        <w:pStyle w:val="ResearcherNames"/>
      </w:pPr>
      <w:r w:rsidRPr="004020C5">
        <w:t>P</w:t>
      </w:r>
      <w:r w:rsidR="00F57A8C">
        <w:t>rofessor</w:t>
      </w:r>
      <w:r w:rsidRPr="004020C5">
        <w:t xml:space="preserve"> S</w:t>
      </w:r>
      <w:r w:rsidR="00F57A8C">
        <w:t>tephanie</w:t>
      </w:r>
      <w:r w:rsidRPr="004020C5">
        <w:t xml:space="preserve"> S</w:t>
      </w:r>
      <w:r w:rsidR="00F57A8C">
        <w:t>churer</w:t>
      </w:r>
    </w:p>
    <w:p w14:paraId="2C84C186" w14:textId="57F1E0C8" w:rsidR="004020C5" w:rsidRPr="004020C5" w:rsidRDefault="004020C5" w:rsidP="004020C5">
      <w:pPr>
        <w:pStyle w:val="Researchertitle"/>
      </w:pPr>
      <w:r w:rsidRPr="004020C5">
        <w:t>Professor of Economics, School of Economics and Charles Perkins Centre</w:t>
      </w:r>
    </w:p>
    <w:p w14:paraId="7C0105D2" w14:textId="172EB292" w:rsidR="004020C5" w:rsidRPr="004020C5" w:rsidRDefault="004020C5" w:rsidP="004020C5">
      <w:pPr>
        <w:pStyle w:val="Researchertitle"/>
      </w:pPr>
      <w:r w:rsidRPr="004020C5">
        <w:t>The University of Sydney</w:t>
      </w:r>
      <w:r w:rsidR="00070EFF" w:rsidRPr="00070EFF">
        <w:rPr>
          <w:rStyle w:val="Superscript"/>
        </w:rPr>
        <w:t xml:space="preserve"> </w:t>
      </w:r>
    </w:p>
    <w:p w14:paraId="4E4948D1" w14:textId="712BF596" w:rsidR="004020C5" w:rsidRPr="004020C5" w:rsidRDefault="004020C5" w:rsidP="00F57A8C">
      <w:pPr>
        <w:pStyle w:val="ResearcherNames"/>
      </w:pPr>
      <w:r w:rsidRPr="004020C5">
        <w:t>L</w:t>
      </w:r>
      <w:r w:rsidR="00F57A8C">
        <w:t>aura</w:t>
      </w:r>
      <w:r w:rsidRPr="004020C5">
        <w:t xml:space="preserve"> M</w:t>
      </w:r>
      <w:r w:rsidR="00F57A8C">
        <w:t>etcalfe</w:t>
      </w:r>
    </w:p>
    <w:p w14:paraId="6C7B59C2" w14:textId="18630F30" w:rsidR="004020C5" w:rsidRPr="004020C5" w:rsidRDefault="004020C5" w:rsidP="004020C5">
      <w:pPr>
        <w:pStyle w:val="Researchertitle"/>
      </w:pPr>
      <w:r w:rsidRPr="004020C5">
        <w:t>Research Assistant, Research Centre for Children and Families</w:t>
      </w:r>
    </w:p>
    <w:p w14:paraId="532F4D87" w14:textId="2B4A548B" w:rsidR="004020C5" w:rsidRPr="004020C5" w:rsidRDefault="004020C5" w:rsidP="004020C5">
      <w:pPr>
        <w:pStyle w:val="Researchertitle"/>
      </w:pPr>
      <w:r w:rsidRPr="004020C5">
        <w:t>The University of Sydney</w:t>
      </w:r>
    </w:p>
    <w:p w14:paraId="58BE1D2B" w14:textId="55431F5B" w:rsidR="004020C5" w:rsidRPr="004020C5" w:rsidRDefault="004020C5" w:rsidP="00F57A8C">
      <w:pPr>
        <w:pStyle w:val="ResearcherNames"/>
      </w:pPr>
      <w:r w:rsidRPr="004020C5">
        <w:t>P</w:t>
      </w:r>
      <w:r w:rsidR="00F57A8C">
        <w:t>rofessor</w:t>
      </w:r>
      <w:r w:rsidRPr="004020C5">
        <w:t xml:space="preserve"> Susan Heward-Belle</w:t>
      </w:r>
    </w:p>
    <w:p w14:paraId="1071CE65" w14:textId="7D50B884" w:rsidR="004020C5" w:rsidRPr="004020C5" w:rsidRDefault="004020C5" w:rsidP="004020C5">
      <w:pPr>
        <w:pStyle w:val="Researchertitle"/>
      </w:pPr>
      <w:r w:rsidRPr="004020C5">
        <w:t>Professor, School of Education and Social Work</w:t>
      </w:r>
    </w:p>
    <w:p w14:paraId="7907AF03" w14:textId="1CC3AA0C" w:rsidR="004020C5" w:rsidRPr="004020C5" w:rsidRDefault="004020C5" w:rsidP="004020C5">
      <w:pPr>
        <w:pStyle w:val="Researchertitle"/>
      </w:pPr>
      <w:r w:rsidRPr="004020C5">
        <w:t>The University of Sydney</w:t>
      </w:r>
    </w:p>
    <w:p w14:paraId="36D1FA61" w14:textId="195F5F36" w:rsidR="004020C5" w:rsidRPr="004020C5" w:rsidRDefault="004020C5" w:rsidP="00F57A8C">
      <w:pPr>
        <w:pStyle w:val="ResearcherNames"/>
      </w:pPr>
      <w:r w:rsidRPr="004020C5">
        <w:t>Dr Susan Collings</w:t>
      </w:r>
    </w:p>
    <w:p w14:paraId="307F317B" w14:textId="7AD44DB7" w:rsidR="004020C5" w:rsidRPr="004020C5" w:rsidRDefault="004020C5" w:rsidP="004020C5">
      <w:pPr>
        <w:pStyle w:val="Researchertitle"/>
      </w:pPr>
      <w:r w:rsidRPr="004020C5">
        <w:t>Senior Research Fellow, Research Centre for Children and Families</w:t>
      </w:r>
    </w:p>
    <w:p w14:paraId="1A9A1826" w14:textId="3DB6610A" w:rsidR="004020C5" w:rsidRPr="004020C5" w:rsidRDefault="004020C5" w:rsidP="004020C5">
      <w:pPr>
        <w:pStyle w:val="Researchertitle"/>
      </w:pPr>
      <w:r w:rsidRPr="004020C5">
        <w:t>The University of Sydney</w:t>
      </w:r>
    </w:p>
    <w:p w14:paraId="249D22D4" w14:textId="59D37316" w:rsidR="004020C5" w:rsidRPr="004020C5" w:rsidRDefault="004020C5" w:rsidP="00F57A8C">
      <w:pPr>
        <w:pStyle w:val="ResearcherNames"/>
      </w:pPr>
      <w:r w:rsidRPr="004020C5">
        <w:t>A</w:t>
      </w:r>
      <w:r w:rsidR="00B5391C">
        <w:t>ssociate</w:t>
      </w:r>
      <w:r w:rsidRPr="004020C5">
        <w:t xml:space="preserve"> P</w:t>
      </w:r>
      <w:r w:rsidR="00B5391C">
        <w:t>rofessor</w:t>
      </w:r>
      <w:r w:rsidRPr="004020C5">
        <w:t xml:space="preserve"> E</w:t>
      </w:r>
      <w:r w:rsidR="00B5391C">
        <w:t>mma</w:t>
      </w:r>
      <w:r w:rsidRPr="004020C5">
        <w:t xml:space="preserve"> B</w:t>
      </w:r>
      <w:r w:rsidR="00B5391C">
        <w:t>arrett</w:t>
      </w:r>
    </w:p>
    <w:p w14:paraId="3B4DDB42" w14:textId="06A2D0EE" w:rsidR="004020C5" w:rsidRPr="004020C5" w:rsidRDefault="004020C5" w:rsidP="004020C5">
      <w:pPr>
        <w:pStyle w:val="Researchertitle"/>
      </w:pPr>
      <w:r w:rsidRPr="004020C5">
        <w:t>NHMRC Emerging Leadership Fellow, the Matilda Centre for Research in Mental Health and Substance Abuse</w:t>
      </w:r>
    </w:p>
    <w:p w14:paraId="34E14E51" w14:textId="182A9603" w:rsidR="004020C5" w:rsidRPr="004020C5" w:rsidRDefault="004020C5" w:rsidP="004020C5">
      <w:pPr>
        <w:pStyle w:val="Researchertitle"/>
      </w:pPr>
      <w:r w:rsidRPr="004020C5">
        <w:t>The University of Sydney</w:t>
      </w:r>
    </w:p>
    <w:p w14:paraId="42863D03" w14:textId="1057FF5D" w:rsidR="004020C5" w:rsidRPr="00354C1E" w:rsidRDefault="004020C5" w:rsidP="00B5391C">
      <w:pPr>
        <w:pStyle w:val="DetailBody"/>
        <w:spacing w:before="360"/>
        <w:rPr>
          <w:spacing w:val="-4"/>
          <w:szCs w:val="20"/>
        </w:rPr>
      </w:pPr>
      <w:r w:rsidRPr="00354C1E">
        <w:rPr>
          <w:spacing w:val="-4"/>
          <w:szCs w:val="20"/>
        </w:rPr>
        <w:t>ANROWS Research reports are in-depth reports on empirical research produced under ANROWS’s Research Program. This report addresses work covered in the ANROWS research project: “Analysis of linked longitudinal administrative data on child protection involvement for NSW families with domestic and family violence, alcohol and other drug issues and mental health issues”. Please consult the ANROWS website for more information on</w:t>
      </w:r>
      <w:r w:rsidR="00354C1E" w:rsidRPr="00354C1E">
        <w:rPr>
          <w:spacing w:val="-4"/>
          <w:szCs w:val="20"/>
        </w:rPr>
        <w:t> </w:t>
      </w:r>
      <w:r w:rsidRPr="00354C1E">
        <w:rPr>
          <w:spacing w:val="-4"/>
          <w:szCs w:val="20"/>
        </w:rPr>
        <w:t>this</w:t>
      </w:r>
      <w:r w:rsidR="00354C1E" w:rsidRPr="00354C1E">
        <w:rPr>
          <w:spacing w:val="-4"/>
          <w:szCs w:val="20"/>
        </w:rPr>
        <w:t> </w:t>
      </w:r>
      <w:r w:rsidRPr="00354C1E">
        <w:rPr>
          <w:spacing w:val="-4"/>
          <w:szCs w:val="20"/>
        </w:rPr>
        <w:t>project.</w:t>
      </w:r>
    </w:p>
    <w:p w14:paraId="32DF6FC9" w14:textId="7BB33F2F" w:rsidR="004020C5" w:rsidRPr="00F57A8C" w:rsidRDefault="004020C5" w:rsidP="004020C5">
      <w:pPr>
        <w:pStyle w:val="DetailBody"/>
        <w:rPr>
          <w:szCs w:val="20"/>
        </w:rPr>
      </w:pPr>
      <w:r w:rsidRPr="00F57A8C">
        <w:rPr>
          <w:szCs w:val="20"/>
        </w:rPr>
        <w:t>ANROWS research contributes to the six National Outcomes of the </w:t>
      </w:r>
      <w:r w:rsidRPr="00F57A8C">
        <w:rPr>
          <w:i/>
          <w:iCs/>
          <w:szCs w:val="20"/>
        </w:rPr>
        <w:t>National Plan to Reduce Violence against Women and their Children 2010–2022</w:t>
      </w:r>
      <w:r w:rsidRPr="00F57A8C">
        <w:rPr>
          <w:szCs w:val="20"/>
        </w:rPr>
        <w:t>. This research addresses National Plan Outcome 4 – Services meet the needs of women and their children experiencing violence.</w:t>
      </w:r>
    </w:p>
    <w:p w14:paraId="40D047BD" w14:textId="268BDFAB" w:rsidR="004020C5" w:rsidRPr="004020C5" w:rsidRDefault="004020C5" w:rsidP="0024386F">
      <w:pPr>
        <w:pStyle w:val="DetailHeading"/>
        <w:spacing w:before="120"/>
      </w:pPr>
      <w:r w:rsidRPr="004020C5">
        <w:t>Suggested citation:</w:t>
      </w:r>
    </w:p>
    <w:p w14:paraId="115CEFB6" w14:textId="67B586BB" w:rsidR="004020C5" w:rsidRPr="00F57A8C" w:rsidRDefault="004020C5" w:rsidP="004020C5">
      <w:pPr>
        <w:pStyle w:val="DetailBody"/>
        <w:rPr>
          <w:szCs w:val="20"/>
        </w:rPr>
      </w:pPr>
      <w:r w:rsidRPr="00F57A8C">
        <w:rPr>
          <w:szCs w:val="20"/>
        </w:rPr>
        <w:t>Luu, B., Wright, A. C., Schurer, S., Metcalfe, L., Heward-Belle, S., Collings, S., &amp; Barrett, E. (2024). </w:t>
      </w:r>
      <w:r w:rsidRPr="000139EC">
        <w:rPr>
          <w:i/>
          <w:iCs/>
          <w:szCs w:val="20"/>
        </w:rPr>
        <w:t>Analysis of</w:t>
      </w:r>
      <w:r w:rsidR="00354C1E" w:rsidRPr="000139EC">
        <w:rPr>
          <w:i/>
          <w:iCs/>
          <w:szCs w:val="20"/>
        </w:rPr>
        <w:t> </w:t>
      </w:r>
      <w:r w:rsidRPr="000139EC">
        <w:rPr>
          <w:i/>
          <w:iCs/>
          <w:szCs w:val="20"/>
        </w:rPr>
        <w:t>linked longitudinal administrative data on child protection involvement for NSW families with domestic and family</w:t>
      </w:r>
      <w:r w:rsidR="002B74DA" w:rsidRPr="000139EC">
        <w:rPr>
          <w:i/>
          <w:iCs/>
          <w:szCs w:val="20"/>
        </w:rPr>
        <w:t> </w:t>
      </w:r>
      <w:r w:rsidRPr="000139EC">
        <w:rPr>
          <w:i/>
          <w:iCs/>
          <w:szCs w:val="20"/>
        </w:rPr>
        <w:t>violence, alcohol and other drug issues and mental health issues</w:t>
      </w:r>
      <w:r w:rsidRPr="00F57A8C">
        <w:rPr>
          <w:szCs w:val="20"/>
        </w:rPr>
        <w:t> (Research report, 01/2024). ANROWS.</w:t>
      </w:r>
    </w:p>
    <w:p w14:paraId="3564C89F" w14:textId="709E0715" w:rsidR="004020C5" w:rsidRPr="004020C5" w:rsidRDefault="004020C5" w:rsidP="004020C5">
      <w:r w:rsidRPr="004020C5">
        <w:rPr>
          <w:noProof/>
        </w:rPr>
        <w:lastRenderedPageBreak/>
        <w:drawing>
          <wp:inline distT="0" distB="0" distL="0" distR="0" wp14:anchorId="6A26687B" wp14:editId="1591F5F4">
            <wp:extent cx="3384000" cy="1564321"/>
            <wp:effectExtent l="0" t="0" r="0" b="0"/>
            <wp:docPr id="589364542" name="Picture 215" descr="The University of Sydney. Research Centre for Children 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64542" name="Picture 215" descr="The University of Sydney. Research Centre for Children and Famil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4000" cy="1564321"/>
                    </a:xfrm>
                    <a:prstGeom prst="rect">
                      <a:avLst/>
                    </a:prstGeom>
                    <a:noFill/>
                    <a:ln>
                      <a:noFill/>
                    </a:ln>
                  </pic:spPr>
                </pic:pic>
              </a:graphicData>
            </a:graphic>
          </wp:inline>
        </w:drawing>
      </w:r>
    </w:p>
    <w:p w14:paraId="76715BBE" w14:textId="12F364F2" w:rsidR="004020C5" w:rsidRPr="00F57A8C" w:rsidRDefault="004020C5" w:rsidP="002B74DA">
      <w:pPr>
        <w:pStyle w:val="DetailHeading"/>
      </w:pPr>
      <w:r w:rsidRPr="00F57A8C">
        <w:t>Research Centre for Children and Families</w:t>
      </w:r>
    </w:p>
    <w:p w14:paraId="33775FD3" w14:textId="427501FE" w:rsidR="004020C5" w:rsidRPr="002B74DA" w:rsidRDefault="004020C5" w:rsidP="002B74DA">
      <w:pPr>
        <w:pStyle w:val="DetailBody"/>
      </w:pPr>
      <w:r w:rsidRPr="002B74DA">
        <w:t>The University of Sydney</w:t>
      </w:r>
      <w:r w:rsidR="002B74DA">
        <w:br/>
      </w:r>
      <w:r w:rsidRPr="002B74DA">
        <w:t>Camperdown, New South Wales, Australia 2006</w:t>
      </w:r>
    </w:p>
    <w:p w14:paraId="05A3E850" w14:textId="2540B9FB" w:rsidR="004020C5" w:rsidRPr="004020C5" w:rsidRDefault="004020C5" w:rsidP="004020C5">
      <w:pPr>
        <w:pStyle w:val="DetailHeading"/>
      </w:pPr>
      <w:r w:rsidRPr="004020C5">
        <w:t>Author acknowledgement</w:t>
      </w:r>
    </w:p>
    <w:p w14:paraId="7C14038D" w14:textId="03CA751F" w:rsidR="004020C5" w:rsidRPr="00F57A8C" w:rsidRDefault="004020C5" w:rsidP="004020C5">
      <w:pPr>
        <w:pStyle w:val="DetailBody"/>
        <w:rPr>
          <w:szCs w:val="20"/>
        </w:rPr>
      </w:pPr>
      <w:r w:rsidRPr="00F57A8C">
        <w:rPr>
          <w:szCs w:val="20"/>
        </w:rPr>
        <w:t>For support of the data analysis using the NSW Human Services Dataset, thank you to Vivian Yue, Family</w:t>
      </w:r>
      <w:r w:rsidR="00EE65C1">
        <w:rPr>
          <w:szCs w:val="20"/>
        </w:rPr>
        <w:t> </w:t>
      </w:r>
      <w:r w:rsidRPr="00F57A8C">
        <w:rPr>
          <w:szCs w:val="20"/>
        </w:rPr>
        <w:t>and</w:t>
      </w:r>
      <w:r w:rsidR="00EE65C1">
        <w:rPr>
          <w:szCs w:val="20"/>
        </w:rPr>
        <w:t> </w:t>
      </w:r>
      <w:r w:rsidRPr="00F57A8C">
        <w:rPr>
          <w:szCs w:val="20"/>
        </w:rPr>
        <w:t>Community Services Insights, Analysis and Research (FACSIAR); Matthew Roberts, Sushim Acharya, Srikanth</w:t>
      </w:r>
      <w:r w:rsidR="00EE65C1">
        <w:rPr>
          <w:szCs w:val="20"/>
        </w:rPr>
        <w:t> </w:t>
      </w:r>
      <w:r w:rsidRPr="00F57A8C">
        <w:rPr>
          <w:szCs w:val="20"/>
        </w:rPr>
        <w:t>Narasimhakumar, Hussam El-Jamal, Tulika Varshney, Lucy Smallwood, Jordan Finch, Steve Xu, Rae</w:t>
      </w:r>
      <w:r w:rsidR="00EE65C1">
        <w:rPr>
          <w:szCs w:val="20"/>
        </w:rPr>
        <w:t> </w:t>
      </w:r>
      <w:r w:rsidRPr="00F57A8C">
        <w:rPr>
          <w:szCs w:val="20"/>
        </w:rPr>
        <w:t>Ho</w:t>
      </w:r>
      <w:r w:rsidR="00EE65C1">
        <w:rPr>
          <w:szCs w:val="20"/>
        </w:rPr>
        <w:t> </w:t>
      </w:r>
      <w:r w:rsidRPr="00F57A8C">
        <w:rPr>
          <w:szCs w:val="20"/>
        </w:rPr>
        <w:t>and the Helpdesk team at the NSW Data Analytics Centre. Thank you also to Merran Butler and the team at FACSIAR; Pooja Nair, NSW Ministry of Health; and Suzanne Poynton, NSW Bureau of Crime Statistics and Research (BOCSAR) for feedback on an earlier draft of this report. We also wish to thank the anonymous peer reviewers, Commonwealth and state and territory senior government officials and ANROWS staff who provided comment on</w:t>
      </w:r>
      <w:r w:rsidR="00354C1E">
        <w:rPr>
          <w:szCs w:val="20"/>
        </w:rPr>
        <w:t> </w:t>
      </w:r>
      <w:r w:rsidRPr="00F57A8C">
        <w:rPr>
          <w:szCs w:val="20"/>
        </w:rPr>
        <w:t>an earlier version of this report.</w:t>
      </w:r>
    </w:p>
    <w:p w14:paraId="26D924CC" w14:textId="0784CA19" w:rsidR="004020C5" w:rsidRPr="00F57A8C" w:rsidRDefault="004020C5" w:rsidP="004020C5">
      <w:pPr>
        <w:pStyle w:val="DetailBody"/>
        <w:rPr>
          <w:szCs w:val="20"/>
        </w:rPr>
      </w:pPr>
      <w:r w:rsidRPr="00F57A8C">
        <w:rPr>
          <w:szCs w:val="20"/>
        </w:rPr>
        <w:t>The authors also acknowledge the technical assistance of Chris Howden and Dr Stanislaus Stadlmann of the Sydney Informatics Hub, a core research facility of the University of Sydney.</w:t>
      </w:r>
    </w:p>
    <w:p w14:paraId="7365613A" w14:textId="0C49E665" w:rsidR="004020C5" w:rsidRPr="004020C5" w:rsidRDefault="004020C5" w:rsidP="004020C5">
      <w:pPr>
        <w:pStyle w:val="DetailHeading"/>
      </w:pPr>
      <w:r w:rsidRPr="004020C5">
        <w:t>Acknowledgement of lived experiences of violence</w:t>
      </w:r>
    </w:p>
    <w:p w14:paraId="134FD3FA" w14:textId="092CC3D2" w:rsidR="004020C5" w:rsidRPr="00F57A8C" w:rsidRDefault="004020C5" w:rsidP="004020C5">
      <w:pPr>
        <w:pStyle w:val="DetailBody"/>
        <w:rPr>
          <w:szCs w:val="20"/>
        </w:rPr>
      </w:pPr>
      <w:r w:rsidRPr="00F57A8C">
        <w:rPr>
          <w:szCs w:val="20"/>
        </w:rPr>
        <w:t>ANROWS acknowledges the lives and experiences of the women and children affected by domestic, family and sexual violence who are represented in this report. We recognise the individual stories of courage, hope and resilience that form the basis of ANROWS research. ANROWS acknowledges that children and young people living in homes where domestic and family violence (DFV) is present are not simply “exposed” to DFV – they are experiencing it. There are no circumstances in which children and young people are exposed to DFV and are not also being impacted by this violence. Therefore, ANROWS will always default to using “experienced DFV” instead of “were exposed to DFV” or “witnessed DFV”. This language recognises that children experience DFV as victims in their own right, and also seeks to honour the voices of victims and survivors who have felt minimised, erased</w:t>
      </w:r>
      <w:r w:rsidR="00354C1E">
        <w:rPr>
          <w:szCs w:val="20"/>
        </w:rPr>
        <w:t> </w:t>
      </w:r>
      <w:r w:rsidRPr="00F57A8C">
        <w:rPr>
          <w:szCs w:val="20"/>
        </w:rPr>
        <w:t>or</w:t>
      </w:r>
      <w:r w:rsidR="00354C1E">
        <w:rPr>
          <w:szCs w:val="20"/>
        </w:rPr>
        <w:t> </w:t>
      </w:r>
      <w:r w:rsidRPr="00F57A8C">
        <w:rPr>
          <w:szCs w:val="20"/>
        </w:rPr>
        <w:t>unacknowledged as childhood survivors.</w:t>
      </w:r>
    </w:p>
    <w:p w14:paraId="7883D27E" w14:textId="64E17621" w:rsidR="004020C5" w:rsidRDefault="004020C5" w:rsidP="004020C5">
      <w:pPr>
        <w:pStyle w:val="DetailBody"/>
        <w:rPr>
          <w:szCs w:val="20"/>
        </w:rPr>
      </w:pPr>
      <w:r w:rsidRPr="00F57A8C">
        <w:rPr>
          <w:szCs w:val="20"/>
        </w:rPr>
        <w:t>Caution: Some people may find parts of this content confronting or distressing. Recommended support services include 1800 RESPECT — 1800 737 732 and Lifeline — 13 11 14.</w:t>
      </w:r>
    </w:p>
    <w:p w14:paraId="10740FB7" w14:textId="77777777" w:rsidR="00044A5E" w:rsidRDefault="00044A5E" w:rsidP="004020C5">
      <w:pPr>
        <w:pStyle w:val="DetailBody"/>
        <w:rPr>
          <w:szCs w:val="20"/>
        </w:rPr>
      </w:pPr>
    </w:p>
    <w:p w14:paraId="61FCCC61" w14:textId="77777777" w:rsidR="00044A5E" w:rsidRDefault="00044A5E" w:rsidP="004020C5">
      <w:pPr>
        <w:pStyle w:val="DetailBody"/>
        <w:rPr>
          <w:szCs w:val="20"/>
        </w:rPr>
        <w:sectPr w:rsidR="00044A5E" w:rsidSect="00363B6C">
          <w:footerReference w:type="default" r:id="rId20"/>
          <w:pgSz w:w="11906" w:h="16838"/>
          <w:pgMar w:top="1418" w:right="851" w:bottom="851" w:left="851" w:header="709" w:footer="454" w:gutter="0"/>
          <w:pgNumType w:start="1"/>
          <w:cols w:space="708"/>
          <w:titlePg/>
          <w:docGrid w:linePitch="360"/>
        </w:sectPr>
      </w:pPr>
    </w:p>
    <w:p w14:paraId="1041F66F" w14:textId="10AD622C" w:rsidR="00C359F0" w:rsidRDefault="00C359F0" w:rsidP="00703F94">
      <w:pPr>
        <w:pStyle w:val="H2SectionTitle"/>
      </w:pPr>
      <w:bookmarkStart w:id="2" w:name="_Toc185519885"/>
      <w:bookmarkStart w:id="3" w:name="_Toc191286629"/>
      <w:r>
        <w:lastRenderedPageBreak/>
        <w:t>Contents</w:t>
      </w:r>
      <w:bookmarkEnd w:id="2"/>
      <w:bookmarkEnd w:id="3"/>
    </w:p>
    <w:p w14:paraId="6090A9DB" w14:textId="0A0FC907" w:rsidR="00703F94" w:rsidRDefault="00703F94" w:rsidP="00703F94">
      <w:pPr>
        <w:pStyle w:val="TOC2"/>
        <w:rPr>
          <w:rFonts w:asciiTheme="minorHAnsi" w:eastAsiaTheme="minorEastAsia" w:hAnsiTheme="minorHAnsi"/>
          <w:noProof/>
          <w:color w:val="auto"/>
          <w:kern w:val="2"/>
          <w:sz w:val="24"/>
          <w:szCs w:val="24"/>
          <w:lang w:eastAsia="en-AU"/>
          <w14:ligatures w14:val="standardContextual"/>
        </w:rPr>
      </w:pPr>
      <w:r>
        <w:rPr>
          <w:sz w:val="23"/>
        </w:rPr>
        <w:fldChar w:fldCharType="begin"/>
      </w:r>
      <w:r>
        <w:rPr>
          <w:sz w:val="23"/>
        </w:rPr>
        <w:instrText xml:space="preserve"> TOC \h \z \t "H2 Section Title,2,H3,3" </w:instrText>
      </w:r>
      <w:r>
        <w:rPr>
          <w:sz w:val="23"/>
        </w:rPr>
        <w:fldChar w:fldCharType="separate"/>
      </w:r>
      <w:hyperlink w:anchor="_Toc191286630" w:history="1">
        <w:r w:rsidRPr="00A05C36">
          <w:rPr>
            <w:rStyle w:val="Hyperlink"/>
            <w:noProof/>
          </w:rPr>
          <w:t>Acronyms</w:t>
        </w:r>
        <w:r>
          <w:rPr>
            <w:noProof/>
            <w:webHidden/>
          </w:rPr>
          <w:tab/>
        </w:r>
        <w:r>
          <w:rPr>
            <w:noProof/>
            <w:webHidden/>
          </w:rPr>
          <w:fldChar w:fldCharType="begin"/>
        </w:r>
        <w:r>
          <w:rPr>
            <w:noProof/>
            <w:webHidden/>
          </w:rPr>
          <w:instrText xml:space="preserve"> PAGEREF _Toc191286630 \h </w:instrText>
        </w:r>
        <w:r>
          <w:rPr>
            <w:noProof/>
            <w:webHidden/>
          </w:rPr>
        </w:r>
        <w:r>
          <w:rPr>
            <w:noProof/>
            <w:webHidden/>
          </w:rPr>
          <w:fldChar w:fldCharType="separate"/>
        </w:r>
        <w:r>
          <w:rPr>
            <w:noProof/>
            <w:webHidden/>
          </w:rPr>
          <w:t>3</w:t>
        </w:r>
        <w:r>
          <w:rPr>
            <w:noProof/>
            <w:webHidden/>
          </w:rPr>
          <w:fldChar w:fldCharType="end"/>
        </w:r>
      </w:hyperlink>
    </w:p>
    <w:p w14:paraId="28D12395" w14:textId="4BA1E101" w:rsidR="00703F94" w:rsidRDefault="00703F94" w:rsidP="00703F94">
      <w:pPr>
        <w:pStyle w:val="TOC2"/>
        <w:rPr>
          <w:rFonts w:asciiTheme="minorHAnsi" w:eastAsiaTheme="minorEastAsia" w:hAnsiTheme="minorHAnsi"/>
          <w:noProof/>
          <w:color w:val="auto"/>
          <w:kern w:val="2"/>
          <w:sz w:val="24"/>
          <w:szCs w:val="24"/>
          <w:lang w:eastAsia="en-AU"/>
          <w14:ligatures w14:val="standardContextual"/>
        </w:rPr>
      </w:pPr>
      <w:hyperlink w:anchor="_Toc191286631" w:history="1">
        <w:r w:rsidRPr="00A05C36">
          <w:rPr>
            <w:rStyle w:val="Hyperlink"/>
            <w:noProof/>
          </w:rPr>
          <w:t>Definitions and concepts</w:t>
        </w:r>
        <w:r>
          <w:rPr>
            <w:noProof/>
            <w:webHidden/>
          </w:rPr>
          <w:tab/>
        </w:r>
        <w:r>
          <w:rPr>
            <w:noProof/>
            <w:webHidden/>
          </w:rPr>
          <w:fldChar w:fldCharType="begin"/>
        </w:r>
        <w:r>
          <w:rPr>
            <w:noProof/>
            <w:webHidden/>
          </w:rPr>
          <w:instrText xml:space="preserve"> PAGEREF _Toc191286631 \h </w:instrText>
        </w:r>
        <w:r>
          <w:rPr>
            <w:noProof/>
            <w:webHidden/>
          </w:rPr>
        </w:r>
        <w:r>
          <w:rPr>
            <w:noProof/>
            <w:webHidden/>
          </w:rPr>
          <w:fldChar w:fldCharType="separate"/>
        </w:r>
        <w:r>
          <w:rPr>
            <w:noProof/>
            <w:webHidden/>
          </w:rPr>
          <w:t>4</w:t>
        </w:r>
        <w:r>
          <w:rPr>
            <w:noProof/>
            <w:webHidden/>
          </w:rPr>
          <w:fldChar w:fldCharType="end"/>
        </w:r>
      </w:hyperlink>
    </w:p>
    <w:p w14:paraId="7A4EC99E" w14:textId="2E20CDD4" w:rsidR="00703F94" w:rsidRDefault="00703F94" w:rsidP="00703F94">
      <w:pPr>
        <w:pStyle w:val="TOC2"/>
        <w:rPr>
          <w:rFonts w:asciiTheme="minorHAnsi" w:eastAsiaTheme="minorEastAsia" w:hAnsiTheme="minorHAnsi"/>
          <w:noProof/>
          <w:color w:val="auto"/>
          <w:kern w:val="2"/>
          <w:sz w:val="24"/>
          <w:szCs w:val="24"/>
          <w:lang w:eastAsia="en-AU"/>
          <w14:ligatures w14:val="standardContextual"/>
        </w:rPr>
      </w:pPr>
      <w:hyperlink w:anchor="_Toc191286632" w:history="1">
        <w:r w:rsidRPr="00A05C36">
          <w:rPr>
            <w:rStyle w:val="Hyperlink"/>
            <w:noProof/>
          </w:rPr>
          <w:t>Executive summary</w:t>
        </w:r>
        <w:r>
          <w:rPr>
            <w:noProof/>
            <w:webHidden/>
          </w:rPr>
          <w:tab/>
        </w:r>
        <w:r>
          <w:rPr>
            <w:noProof/>
            <w:webHidden/>
          </w:rPr>
          <w:fldChar w:fldCharType="begin"/>
        </w:r>
        <w:r>
          <w:rPr>
            <w:noProof/>
            <w:webHidden/>
          </w:rPr>
          <w:instrText xml:space="preserve"> PAGEREF _Toc191286632 \h </w:instrText>
        </w:r>
        <w:r>
          <w:rPr>
            <w:noProof/>
            <w:webHidden/>
          </w:rPr>
        </w:r>
        <w:r>
          <w:rPr>
            <w:noProof/>
            <w:webHidden/>
          </w:rPr>
          <w:fldChar w:fldCharType="separate"/>
        </w:r>
        <w:r>
          <w:rPr>
            <w:noProof/>
            <w:webHidden/>
          </w:rPr>
          <w:t>6</w:t>
        </w:r>
        <w:r>
          <w:rPr>
            <w:noProof/>
            <w:webHidden/>
          </w:rPr>
          <w:fldChar w:fldCharType="end"/>
        </w:r>
      </w:hyperlink>
    </w:p>
    <w:p w14:paraId="3B999EF8" w14:textId="5DB46565"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33" w:history="1">
        <w:r w:rsidRPr="00A05C36">
          <w:rPr>
            <w:rStyle w:val="Hyperlink"/>
            <w:noProof/>
          </w:rPr>
          <w:t>Study aims</w:t>
        </w:r>
        <w:r>
          <w:rPr>
            <w:noProof/>
            <w:webHidden/>
          </w:rPr>
          <w:tab/>
        </w:r>
        <w:r>
          <w:rPr>
            <w:noProof/>
            <w:webHidden/>
          </w:rPr>
          <w:fldChar w:fldCharType="begin"/>
        </w:r>
        <w:r>
          <w:rPr>
            <w:noProof/>
            <w:webHidden/>
          </w:rPr>
          <w:instrText xml:space="preserve"> PAGEREF _Toc191286633 \h </w:instrText>
        </w:r>
        <w:r>
          <w:rPr>
            <w:noProof/>
            <w:webHidden/>
          </w:rPr>
        </w:r>
        <w:r>
          <w:rPr>
            <w:noProof/>
            <w:webHidden/>
          </w:rPr>
          <w:fldChar w:fldCharType="separate"/>
        </w:r>
        <w:r>
          <w:rPr>
            <w:noProof/>
            <w:webHidden/>
          </w:rPr>
          <w:t>6</w:t>
        </w:r>
        <w:r>
          <w:rPr>
            <w:noProof/>
            <w:webHidden/>
          </w:rPr>
          <w:fldChar w:fldCharType="end"/>
        </w:r>
      </w:hyperlink>
    </w:p>
    <w:p w14:paraId="0F747194" w14:textId="5D8EA471"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34" w:history="1">
        <w:r w:rsidRPr="00A05C36">
          <w:rPr>
            <w:rStyle w:val="Hyperlink"/>
            <w:noProof/>
          </w:rPr>
          <w:t>Key findings</w:t>
        </w:r>
        <w:r>
          <w:rPr>
            <w:noProof/>
            <w:webHidden/>
          </w:rPr>
          <w:tab/>
        </w:r>
        <w:r>
          <w:rPr>
            <w:noProof/>
            <w:webHidden/>
          </w:rPr>
          <w:fldChar w:fldCharType="begin"/>
        </w:r>
        <w:r>
          <w:rPr>
            <w:noProof/>
            <w:webHidden/>
          </w:rPr>
          <w:instrText xml:space="preserve"> PAGEREF _Toc191286634 \h </w:instrText>
        </w:r>
        <w:r>
          <w:rPr>
            <w:noProof/>
            <w:webHidden/>
          </w:rPr>
        </w:r>
        <w:r>
          <w:rPr>
            <w:noProof/>
            <w:webHidden/>
          </w:rPr>
          <w:fldChar w:fldCharType="separate"/>
        </w:r>
        <w:r>
          <w:rPr>
            <w:noProof/>
            <w:webHidden/>
          </w:rPr>
          <w:t>6</w:t>
        </w:r>
        <w:r>
          <w:rPr>
            <w:noProof/>
            <w:webHidden/>
          </w:rPr>
          <w:fldChar w:fldCharType="end"/>
        </w:r>
      </w:hyperlink>
    </w:p>
    <w:p w14:paraId="0135FA4F" w14:textId="1EAC78A0"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35" w:history="1">
        <w:r w:rsidRPr="00A05C36">
          <w:rPr>
            <w:rStyle w:val="Hyperlink"/>
            <w:noProof/>
          </w:rPr>
          <w:t>Implications</w:t>
        </w:r>
        <w:r>
          <w:rPr>
            <w:noProof/>
            <w:webHidden/>
          </w:rPr>
          <w:tab/>
        </w:r>
        <w:r>
          <w:rPr>
            <w:noProof/>
            <w:webHidden/>
          </w:rPr>
          <w:fldChar w:fldCharType="begin"/>
        </w:r>
        <w:r>
          <w:rPr>
            <w:noProof/>
            <w:webHidden/>
          </w:rPr>
          <w:instrText xml:space="preserve"> PAGEREF _Toc191286635 \h </w:instrText>
        </w:r>
        <w:r>
          <w:rPr>
            <w:noProof/>
            <w:webHidden/>
          </w:rPr>
        </w:r>
        <w:r>
          <w:rPr>
            <w:noProof/>
            <w:webHidden/>
          </w:rPr>
          <w:fldChar w:fldCharType="separate"/>
        </w:r>
        <w:r>
          <w:rPr>
            <w:noProof/>
            <w:webHidden/>
          </w:rPr>
          <w:t>8</w:t>
        </w:r>
        <w:r>
          <w:rPr>
            <w:noProof/>
            <w:webHidden/>
          </w:rPr>
          <w:fldChar w:fldCharType="end"/>
        </w:r>
      </w:hyperlink>
    </w:p>
    <w:p w14:paraId="0ED05D61" w14:textId="72591788" w:rsidR="00703F94" w:rsidRDefault="00703F94" w:rsidP="00703F94">
      <w:pPr>
        <w:pStyle w:val="TOC2"/>
        <w:rPr>
          <w:rFonts w:asciiTheme="minorHAnsi" w:eastAsiaTheme="minorEastAsia" w:hAnsiTheme="minorHAnsi"/>
          <w:noProof/>
          <w:color w:val="auto"/>
          <w:kern w:val="2"/>
          <w:sz w:val="24"/>
          <w:szCs w:val="24"/>
          <w:lang w:eastAsia="en-AU"/>
          <w14:ligatures w14:val="standardContextual"/>
        </w:rPr>
      </w:pPr>
      <w:hyperlink w:anchor="_Toc191286636" w:history="1">
        <w:r w:rsidRPr="00A05C36">
          <w:rPr>
            <w:rStyle w:val="Hyperlink"/>
            <w:noProof/>
          </w:rPr>
          <w:t>Introduction</w:t>
        </w:r>
        <w:r>
          <w:rPr>
            <w:noProof/>
            <w:webHidden/>
          </w:rPr>
          <w:tab/>
        </w:r>
        <w:r>
          <w:rPr>
            <w:noProof/>
            <w:webHidden/>
          </w:rPr>
          <w:fldChar w:fldCharType="begin"/>
        </w:r>
        <w:r>
          <w:rPr>
            <w:noProof/>
            <w:webHidden/>
          </w:rPr>
          <w:instrText xml:space="preserve"> PAGEREF _Toc191286636 \h </w:instrText>
        </w:r>
        <w:r>
          <w:rPr>
            <w:noProof/>
            <w:webHidden/>
          </w:rPr>
        </w:r>
        <w:r>
          <w:rPr>
            <w:noProof/>
            <w:webHidden/>
          </w:rPr>
          <w:fldChar w:fldCharType="separate"/>
        </w:r>
        <w:r>
          <w:rPr>
            <w:noProof/>
            <w:webHidden/>
          </w:rPr>
          <w:t>10</w:t>
        </w:r>
        <w:r>
          <w:rPr>
            <w:noProof/>
            <w:webHidden/>
          </w:rPr>
          <w:fldChar w:fldCharType="end"/>
        </w:r>
      </w:hyperlink>
    </w:p>
    <w:p w14:paraId="6A9AF9F3" w14:textId="09A41CD1"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37" w:history="1">
        <w:r w:rsidRPr="00A05C36">
          <w:rPr>
            <w:rStyle w:val="Hyperlink"/>
            <w:noProof/>
          </w:rPr>
          <w:t>Summary of findings from stage 1/research report 1 — Critical Interpretive Synthesis: Child Protection</w:t>
        </w:r>
        <w:r>
          <w:rPr>
            <w:rStyle w:val="Hyperlink"/>
            <w:noProof/>
          </w:rPr>
          <w:t> </w:t>
        </w:r>
        <w:r w:rsidRPr="00A05C36">
          <w:rPr>
            <w:rStyle w:val="Hyperlink"/>
            <w:noProof/>
          </w:rPr>
          <w:t>Involvement for Families with Domestic and Family Violence, Alcohol and Other Drug</w:t>
        </w:r>
        <w:r>
          <w:rPr>
            <w:rStyle w:val="Hyperlink"/>
            <w:noProof/>
          </w:rPr>
          <w:t> </w:t>
        </w:r>
        <w:r w:rsidRPr="00A05C36">
          <w:rPr>
            <w:rStyle w:val="Hyperlink"/>
            <w:noProof/>
          </w:rPr>
          <w:t>Issues, and Mental Health Issues</w:t>
        </w:r>
        <w:r>
          <w:rPr>
            <w:noProof/>
            <w:webHidden/>
          </w:rPr>
          <w:tab/>
        </w:r>
        <w:r>
          <w:rPr>
            <w:noProof/>
            <w:webHidden/>
          </w:rPr>
          <w:fldChar w:fldCharType="begin"/>
        </w:r>
        <w:r>
          <w:rPr>
            <w:noProof/>
            <w:webHidden/>
          </w:rPr>
          <w:instrText xml:space="preserve"> PAGEREF _Toc191286637 \h </w:instrText>
        </w:r>
        <w:r>
          <w:rPr>
            <w:noProof/>
            <w:webHidden/>
          </w:rPr>
        </w:r>
        <w:r>
          <w:rPr>
            <w:noProof/>
            <w:webHidden/>
          </w:rPr>
          <w:fldChar w:fldCharType="separate"/>
        </w:r>
        <w:r>
          <w:rPr>
            <w:noProof/>
            <w:webHidden/>
          </w:rPr>
          <w:t>10</w:t>
        </w:r>
        <w:r>
          <w:rPr>
            <w:noProof/>
            <w:webHidden/>
          </w:rPr>
          <w:fldChar w:fldCharType="end"/>
        </w:r>
      </w:hyperlink>
    </w:p>
    <w:p w14:paraId="5673CEF5" w14:textId="014F249B"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38" w:history="1">
        <w:r w:rsidRPr="00A05C36">
          <w:rPr>
            <w:rStyle w:val="Hyperlink"/>
            <w:noProof/>
          </w:rPr>
          <w:t>Stage 2/research report 2 — Analysis of Linked Longitudinal Administrative Data on Child Protection</w:t>
        </w:r>
        <w:r>
          <w:rPr>
            <w:rStyle w:val="Hyperlink"/>
            <w:noProof/>
          </w:rPr>
          <w:t> </w:t>
        </w:r>
        <w:r w:rsidRPr="00A05C36">
          <w:rPr>
            <w:rStyle w:val="Hyperlink"/>
            <w:noProof/>
          </w:rPr>
          <w:t>Involvement for NSW Families with Domestic and Family Violence, Alcohol and Other Drug</w:t>
        </w:r>
        <w:r>
          <w:rPr>
            <w:rStyle w:val="Hyperlink"/>
            <w:noProof/>
          </w:rPr>
          <w:t> </w:t>
        </w:r>
        <w:r w:rsidRPr="00A05C36">
          <w:rPr>
            <w:rStyle w:val="Hyperlink"/>
            <w:noProof/>
          </w:rPr>
          <w:t>Issues and Mental Health Issues</w:t>
        </w:r>
        <w:r>
          <w:rPr>
            <w:noProof/>
            <w:webHidden/>
          </w:rPr>
          <w:tab/>
        </w:r>
        <w:r>
          <w:rPr>
            <w:noProof/>
            <w:webHidden/>
          </w:rPr>
          <w:fldChar w:fldCharType="begin"/>
        </w:r>
        <w:r>
          <w:rPr>
            <w:noProof/>
            <w:webHidden/>
          </w:rPr>
          <w:instrText xml:space="preserve"> PAGEREF _Toc191286638 \h </w:instrText>
        </w:r>
        <w:r>
          <w:rPr>
            <w:noProof/>
            <w:webHidden/>
          </w:rPr>
        </w:r>
        <w:r>
          <w:rPr>
            <w:noProof/>
            <w:webHidden/>
          </w:rPr>
          <w:fldChar w:fldCharType="separate"/>
        </w:r>
        <w:r>
          <w:rPr>
            <w:noProof/>
            <w:webHidden/>
          </w:rPr>
          <w:t>11</w:t>
        </w:r>
        <w:r>
          <w:rPr>
            <w:noProof/>
            <w:webHidden/>
          </w:rPr>
          <w:fldChar w:fldCharType="end"/>
        </w:r>
      </w:hyperlink>
    </w:p>
    <w:p w14:paraId="33D76FE9" w14:textId="2C2D0758"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39" w:history="1">
        <w:r w:rsidRPr="00A05C36">
          <w:rPr>
            <w:rStyle w:val="Hyperlink"/>
            <w:noProof/>
          </w:rPr>
          <w:t>Literature review</w:t>
        </w:r>
        <w:r>
          <w:rPr>
            <w:noProof/>
            <w:webHidden/>
          </w:rPr>
          <w:tab/>
        </w:r>
        <w:r>
          <w:rPr>
            <w:noProof/>
            <w:webHidden/>
          </w:rPr>
          <w:fldChar w:fldCharType="begin"/>
        </w:r>
        <w:r>
          <w:rPr>
            <w:noProof/>
            <w:webHidden/>
          </w:rPr>
          <w:instrText xml:space="preserve"> PAGEREF _Toc191286639 \h </w:instrText>
        </w:r>
        <w:r>
          <w:rPr>
            <w:noProof/>
            <w:webHidden/>
          </w:rPr>
        </w:r>
        <w:r>
          <w:rPr>
            <w:noProof/>
            <w:webHidden/>
          </w:rPr>
          <w:fldChar w:fldCharType="separate"/>
        </w:r>
        <w:r>
          <w:rPr>
            <w:noProof/>
            <w:webHidden/>
          </w:rPr>
          <w:t>12</w:t>
        </w:r>
        <w:r>
          <w:rPr>
            <w:noProof/>
            <w:webHidden/>
          </w:rPr>
          <w:fldChar w:fldCharType="end"/>
        </w:r>
      </w:hyperlink>
    </w:p>
    <w:p w14:paraId="6AED0E7D" w14:textId="437FE2A6"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40" w:history="1">
        <w:r w:rsidRPr="00A05C36">
          <w:rPr>
            <w:rStyle w:val="Hyperlink"/>
            <w:noProof/>
          </w:rPr>
          <w:t>Methods</w:t>
        </w:r>
        <w:r>
          <w:rPr>
            <w:noProof/>
            <w:webHidden/>
          </w:rPr>
          <w:tab/>
        </w:r>
        <w:r>
          <w:rPr>
            <w:noProof/>
            <w:webHidden/>
          </w:rPr>
          <w:fldChar w:fldCharType="begin"/>
        </w:r>
        <w:r>
          <w:rPr>
            <w:noProof/>
            <w:webHidden/>
          </w:rPr>
          <w:instrText xml:space="preserve"> PAGEREF _Toc191286640 \h </w:instrText>
        </w:r>
        <w:r>
          <w:rPr>
            <w:noProof/>
            <w:webHidden/>
          </w:rPr>
        </w:r>
        <w:r>
          <w:rPr>
            <w:noProof/>
            <w:webHidden/>
          </w:rPr>
          <w:fldChar w:fldCharType="separate"/>
        </w:r>
        <w:r>
          <w:rPr>
            <w:noProof/>
            <w:webHidden/>
          </w:rPr>
          <w:t>12</w:t>
        </w:r>
        <w:r>
          <w:rPr>
            <w:noProof/>
            <w:webHidden/>
          </w:rPr>
          <w:fldChar w:fldCharType="end"/>
        </w:r>
      </w:hyperlink>
    </w:p>
    <w:p w14:paraId="2351D13D" w14:textId="17FBE103"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41" w:history="1">
        <w:r w:rsidRPr="00A05C36">
          <w:rPr>
            <w:rStyle w:val="Hyperlink"/>
            <w:noProof/>
          </w:rPr>
          <w:t>Literature from Australia</w:t>
        </w:r>
        <w:r>
          <w:rPr>
            <w:noProof/>
            <w:webHidden/>
          </w:rPr>
          <w:tab/>
        </w:r>
        <w:r>
          <w:rPr>
            <w:noProof/>
            <w:webHidden/>
          </w:rPr>
          <w:fldChar w:fldCharType="begin"/>
        </w:r>
        <w:r>
          <w:rPr>
            <w:noProof/>
            <w:webHidden/>
          </w:rPr>
          <w:instrText xml:space="preserve"> PAGEREF _Toc191286641 \h </w:instrText>
        </w:r>
        <w:r>
          <w:rPr>
            <w:noProof/>
            <w:webHidden/>
          </w:rPr>
        </w:r>
        <w:r>
          <w:rPr>
            <w:noProof/>
            <w:webHidden/>
          </w:rPr>
          <w:fldChar w:fldCharType="separate"/>
        </w:r>
        <w:r>
          <w:rPr>
            <w:noProof/>
            <w:webHidden/>
          </w:rPr>
          <w:t>13</w:t>
        </w:r>
        <w:r>
          <w:rPr>
            <w:noProof/>
            <w:webHidden/>
          </w:rPr>
          <w:fldChar w:fldCharType="end"/>
        </w:r>
      </w:hyperlink>
    </w:p>
    <w:p w14:paraId="14D4E682" w14:textId="21FF06DA"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42" w:history="1">
        <w:r w:rsidRPr="00A05C36">
          <w:rPr>
            <w:rStyle w:val="Hyperlink"/>
            <w:noProof/>
          </w:rPr>
          <w:t>Use of administrative data to investigate the causes of child maltreatment — co-occurrence of two or</w:t>
        </w:r>
        <w:r>
          <w:rPr>
            <w:rStyle w:val="Hyperlink"/>
            <w:noProof/>
          </w:rPr>
          <w:t> </w:t>
        </w:r>
        <w:r w:rsidRPr="00A05C36">
          <w:rPr>
            <w:rStyle w:val="Hyperlink"/>
            <w:noProof/>
          </w:rPr>
          <w:t>more factors with child protection</w:t>
        </w:r>
        <w:r>
          <w:rPr>
            <w:noProof/>
            <w:webHidden/>
          </w:rPr>
          <w:tab/>
        </w:r>
        <w:r>
          <w:rPr>
            <w:noProof/>
            <w:webHidden/>
          </w:rPr>
          <w:fldChar w:fldCharType="begin"/>
        </w:r>
        <w:r>
          <w:rPr>
            <w:noProof/>
            <w:webHidden/>
          </w:rPr>
          <w:instrText xml:space="preserve"> PAGEREF _Toc191286642 \h </w:instrText>
        </w:r>
        <w:r>
          <w:rPr>
            <w:noProof/>
            <w:webHidden/>
          </w:rPr>
        </w:r>
        <w:r>
          <w:rPr>
            <w:noProof/>
            <w:webHidden/>
          </w:rPr>
          <w:fldChar w:fldCharType="separate"/>
        </w:r>
        <w:r>
          <w:rPr>
            <w:noProof/>
            <w:webHidden/>
          </w:rPr>
          <w:t>13</w:t>
        </w:r>
        <w:r>
          <w:rPr>
            <w:noProof/>
            <w:webHidden/>
          </w:rPr>
          <w:fldChar w:fldCharType="end"/>
        </w:r>
      </w:hyperlink>
    </w:p>
    <w:p w14:paraId="469BB86E" w14:textId="68051488"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43" w:history="1">
        <w:r w:rsidRPr="00A05C36">
          <w:rPr>
            <w:rStyle w:val="Hyperlink"/>
            <w:noProof/>
          </w:rPr>
          <w:t>Use of administrative data to investigate the cause of a subtype of child maltreatment — co-occurrence of two or more factors with child protection</w:t>
        </w:r>
        <w:r>
          <w:rPr>
            <w:noProof/>
            <w:webHidden/>
          </w:rPr>
          <w:tab/>
        </w:r>
        <w:r>
          <w:rPr>
            <w:noProof/>
            <w:webHidden/>
          </w:rPr>
          <w:fldChar w:fldCharType="begin"/>
        </w:r>
        <w:r>
          <w:rPr>
            <w:noProof/>
            <w:webHidden/>
          </w:rPr>
          <w:instrText xml:space="preserve"> PAGEREF _Toc191286643 \h </w:instrText>
        </w:r>
        <w:r>
          <w:rPr>
            <w:noProof/>
            <w:webHidden/>
          </w:rPr>
        </w:r>
        <w:r>
          <w:rPr>
            <w:noProof/>
            <w:webHidden/>
          </w:rPr>
          <w:fldChar w:fldCharType="separate"/>
        </w:r>
        <w:r>
          <w:rPr>
            <w:noProof/>
            <w:webHidden/>
          </w:rPr>
          <w:t>14</w:t>
        </w:r>
        <w:r>
          <w:rPr>
            <w:noProof/>
            <w:webHidden/>
          </w:rPr>
          <w:fldChar w:fldCharType="end"/>
        </w:r>
      </w:hyperlink>
    </w:p>
    <w:p w14:paraId="5EFF3E6F" w14:textId="39199D7B"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44" w:history="1">
        <w:r w:rsidRPr="00A05C36">
          <w:rPr>
            <w:rStyle w:val="Hyperlink"/>
            <w:noProof/>
          </w:rPr>
          <w:t>Use of administrative data to investigate the cause of child maltreatment — the relationship between</w:t>
        </w:r>
        <w:r>
          <w:rPr>
            <w:rStyle w:val="Hyperlink"/>
            <w:noProof/>
          </w:rPr>
          <w:t> </w:t>
        </w:r>
        <w:r w:rsidRPr="00A05C36">
          <w:rPr>
            <w:rStyle w:val="Hyperlink"/>
            <w:noProof/>
          </w:rPr>
          <w:t>one risk factor and child protection</w:t>
        </w:r>
        <w:r>
          <w:rPr>
            <w:noProof/>
            <w:webHidden/>
          </w:rPr>
          <w:tab/>
        </w:r>
        <w:r>
          <w:rPr>
            <w:noProof/>
            <w:webHidden/>
          </w:rPr>
          <w:fldChar w:fldCharType="begin"/>
        </w:r>
        <w:r>
          <w:rPr>
            <w:noProof/>
            <w:webHidden/>
          </w:rPr>
          <w:instrText xml:space="preserve"> PAGEREF _Toc191286644 \h </w:instrText>
        </w:r>
        <w:r>
          <w:rPr>
            <w:noProof/>
            <w:webHidden/>
          </w:rPr>
        </w:r>
        <w:r>
          <w:rPr>
            <w:noProof/>
            <w:webHidden/>
          </w:rPr>
          <w:fldChar w:fldCharType="separate"/>
        </w:r>
        <w:r>
          <w:rPr>
            <w:noProof/>
            <w:webHidden/>
          </w:rPr>
          <w:t>15</w:t>
        </w:r>
        <w:r>
          <w:rPr>
            <w:noProof/>
            <w:webHidden/>
          </w:rPr>
          <w:fldChar w:fldCharType="end"/>
        </w:r>
      </w:hyperlink>
    </w:p>
    <w:p w14:paraId="010B0670" w14:textId="1853E2E3"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45" w:history="1">
        <w:r w:rsidRPr="00A05C36">
          <w:rPr>
            <w:rStyle w:val="Hyperlink"/>
            <w:noProof/>
          </w:rPr>
          <w:t>Summary</w:t>
        </w:r>
        <w:r>
          <w:rPr>
            <w:noProof/>
            <w:webHidden/>
          </w:rPr>
          <w:tab/>
        </w:r>
        <w:r>
          <w:rPr>
            <w:noProof/>
            <w:webHidden/>
          </w:rPr>
          <w:fldChar w:fldCharType="begin"/>
        </w:r>
        <w:r>
          <w:rPr>
            <w:noProof/>
            <w:webHidden/>
          </w:rPr>
          <w:instrText xml:space="preserve"> PAGEREF _Toc191286645 \h </w:instrText>
        </w:r>
        <w:r>
          <w:rPr>
            <w:noProof/>
            <w:webHidden/>
          </w:rPr>
        </w:r>
        <w:r>
          <w:rPr>
            <w:noProof/>
            <w:webHidden/>
          </w:rPr>
          <w:fldChar w:fldCharType="separate"/>
        </w:r>
        <w:r>
          <w:rPr>
            <w:noProof/>
            <w:webHidden/>
          </w:rPr>
          <w:t>15</w:t>
        </w:r>
        <w:r>
          <w:rPr>
            <w:noProof/>
            <w:webHidden/>
          </w:rPr>
          <w:fldChar w:fldCharType="end"/>
        </w:r>
      </w:hyperlink>
    </w:p>
    <w:p w14:paraId="1F02AF8F" w14:textId="0256217C"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46" w:history="1">
        <w:r w:rsidRPr="00A05C36">
          <w:rPr>
            <w:rStyle w:val="Hyperlink"/>
            <w:noProof/>
          </w:rPr>
          <w:t>Gaps in existing research</w:t>
        </w:r>
        <w:r>
          <w:rPr>
            <w:noProof/>
            <w:webHidden/>
          </w:rPr>
          <w:tab/>
        </w:r>
        <w:r>
          <w:rPr>
            <w:noProof/>
            <w:webHidden/>
          </w:rPr>
          <w:fldChar w:fldCharType="begin"/>
        </w:r>
        <w:r>
          <w:rPr>
            <w:noProof/>
            <w:webHidden/>
          </w:rPr>
          <w:instrText xml:space="preserve"> PAGEREF _Toc191286646 \h </w:instrText>
        </w:r>
        <w:r>
          <w:rPr>
            <w:noProof/>
            <w:webHidden/>
          </w:rPr>
        </w:r>
        <w:r>
          <w:rPr>
            <w:noProof/>
            <w:webHidden/>
          </w:rPr>
          <w:fldChar w:fldCharType="separate"/>
        </w:r>
        <w:r>
          <w:rPr>
            <w:noProof/>
            <w:webHidden/>
          </w:rPr>
          <w:t>15</w:t>
        </w:r>
        <w:r>
          <w:rPr>
            <w:noProof/>
            <w:webHidden/>
          </w:rPr>
          <w:fldChar w:fldCharType="end"/>
        </w:r>
      </w:hyperlink>
    </w:p>
    <w:p w14:paraId="4515D59F" w14:textId="2F2991ED" w:rsidR="00703F94" w:rsidRDefault="00703F94" w:rsidP="00703F94">
      <w:pPr>
        <w:pStyle w:val="TOC2"/>
        <w:rPr>
          <w:rFonts w:asciiTheme="minorHAnsi" w:eastAsiaTheme="minorEastAsia" w:hAnsiTheme="minorHAnsi"/>
          <w:noProof/>
          <w:color w:val="auto"/>
          <w:kern w:val="2"/>
          <w:sz w:val="24"/>
          <w:szCs w:val="24"/>
          <w:lang w:eastAsia="en-AU"/>
          <w14:ligatures w14:val="standardContextual"/>
        </w:rPr>
      </w:pPr>
      <w:hyperlink w:anchor="_Toc191286647" w:history="1">
        <w:r w:rsidRPr="00A05C36">
          <w:rPr>
            <w:rStyle w:val="Hyperlink"/>
            <w:noProof/>
          </w:rPr>
          <w:t>Methods</w:t>
        </w:r>
        <w:r>
          <w:rPr>
            <w:noProof/>
            <w:webHidden/>
          </w:rPr>
          <w:tab/>
        </w:r>
        <w:r>
          <w:rPr>
            <w:noProof/>
            <w:webHidden/>
          </w:rPr>
          <w:fldChar w:fldCharType="begin"/>
        </w:r>
        <w:r>
          <w:rPr>
            <w:noProof/>
            <w:webHidden/>
          </w:rPr>
          <w:instrText xml:space="preserve"> PAGEREF _Toc191286647 \h </w:instrText>
        </w:r>
        <w:r>
          <w:rPr>
            <w:noProof/>
            <w:webHidden/>
          </w:rPr>
        </w:r>
        <w:r>
          <w:rPr>
            <w:noProof/>
            <w:webHidden/>
          </w:rPr>
          <w:fldChar w:fldCharType="separate"/>
        </w:r>
        <w:r>
          <w:rPr>
            <w:noProof/>
            <w:webHidden/>
          </w:rPr>
          <w:t>17</w:t>
        </w:r>
        <w:r>
          <w:rPr>
            <w:noProof/>
            <w:webHidden/>
          </w:rPr>
          <w:fldChar w:fldCharType="end"/>
        </w:r>
      </w:hyperlink>
    </w:p>
    <w:p w14:paraId="71B0FD7A" w14:textId="12ADAAA3"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48" w:history="1">
        <w:r w:rsidRPr="00A05C36">
          <w:rPr>
            <w:rStyle w:val="Hyperlink"/>
            <w:noProof/>
          </w:rPr>
          <w:t>The NSW Human Services Dataset (HSDS)</w:t>
        </w:r>
        <w:r>
          <w:rPr>
            <w:noProof/>
            <w:webHidden/>
          </w:rPr>
          <w:tab/>
        </w:r>
        <w:r>
          <w:rPr>
            <w:noProof/>
            <w:webHidden/>
          </w:rPr>
          <w:fldChar w:fldCharType="begin"/>
        </w:r>
        <w:r>
          <w:rPr>
            <w:noProof/>
            <w:webHidden/>
          </w:rPr>
          <w:instrText xml:space="preserve"> PAGEREF _Toc191286648 \h </w:instrText>
        </w:r>
        <w:r>
          <w:rPr>
            <w:noProof/>
            <w:webHidden/>
          </w:rPr>
        </w:r>
        <w:r>
          <w:rPr>
            <w:noProof/>
            <w:webHidden/>
          </w:rPr>
          <w:fldChar w:fldCharType="separate"/>
        </w:r>
        <w:r>
          <w:rPr>
            <w:noProof/>
            <w:webHidden/>
          </w:rPr>
          <w:t>17</w:t>
        </w:r>
        <w:r>
          <w:rPr>
            <w:noProof/>
            <w:webHidden/>
          </w:rPr>
          <w:fldChar w:fldCharType="end"/>
        </w:r>
      </w:hyperlink>
    </w:p>
    <w:p w14:paraId="2DF92935" w14:textId="67395E6F"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49" w:history="1">
        <w:r w:rsidRPr="00A05C36">
          <w:rPr>
            <w:rStyle w:val="Hyperlink"/>
            <w:noProof/>
          </w:rPr>
          <w:t>Final sample selection and description</w:t>
        </w:r>
        <w:r>
          <w:rPr>
            <w:noProof/>
            <w:webHidden/>
          </w:rPr>
          <w:tab/>
        </w:r>
        <w:r>
          <w:rPr>
            <w:noProof/>
            <w:webHidden/>
          </w:rPr>
          <w:fldChar w:fldCharType="begin"/>
        </w:r>
        <w:r>
          <w:rPr>
            <w:noProof/>
            <w:webHidden/>
          </w:rPr>
          <w:instrText xml:space="preserve"> PAGEREF _Toc191286649 \h </w:instrText>
        </w:r>
        <w:r>
          <w:rPr>
            <w:noProof/>
            <w:webHidden/>
          </w:rPr>
        </w:r>
        <w:r>
          <w:rPr>
            <w:noProof/>
            <w:webHidden/>
          </w:rPr>
          <w:fldChar w:fldCharType="separate"/>
        </w:r>
        <w:r>
          <w:rPr>
            <w:noProof/>
            <w:webHidden/>
          </w:rPr>
          <w:t>21</w:t>
        </w:r>
        <w:r>
          <w:rPr>
            <w:noProof/>
            <w:webHidden/>
          </w:rPr>
          <w:fldChar w:fldCharType="end"/>
        </w:r>
      </w:hyperlink>
    </w:p>
    <w:p w14:paraId="4AAEA1B5" w14:textId="30C91AC9"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50" w:history="1">
        <w:r w:rsidRPr="00A05C36">
          <w:rPr>
            <w:rStyle w:val="Hyperlink"/>
            <w:noProof/>
          </w:rPr>
          <w:t>Data analysis</w:t>
        </w:r>
        <w:r>
          <w:rPr>
            <w:noProof/>
            <w:webHidden/>
          </w:rPr>
          <w:tab/>
        </w:r>
        <w:r>
          <w:rPr>
            <w:noProof/>
            <w:webHidden/>
          </w:rPr>
          <w:fldChar w:fldCharType="begin"/>
        </w:r>
        <w:r>
          <w:rPr>
            <w:noProof/>
            <w:webHidden/>
          </w:rPr>
          <w:instrText xml:space="preserve"> PAGEREF _Toc191286650 \h </w:instrText>
        </w:r>
        <w:r>
          <w:rPr>
            <w:noProof/>
            <w:webHidden/>
          </w:rPr>
        </w:r>
        <w:r>
          <w:rPr>
            <w:noProof/>
            <w:webHidden/>
          </w:rPr>
          <w:fldChar w:fldCharType="separate"/>
        </w:r>
        <w:r>
          <w:rPr>
            <w:noProof/>
            <w:webHidden/>
          </w:rPr>
          <w:t>23</w:t>
        </w:r>
        <w:r>
          <w:rPr>
            <w:noProof/>
            <w:webHidden/>
          </w:rPr>
          <w:fldChar w:fldCharType="end"/>
        </w:r>
      </w:hyperlink>
    </w:p>
    <w:p w14:paraId="287E7339" w14:textId="13C7872D" w:rsidR="00703F94" w:rsidRDefault="00703F94" w:rsidP="00703F94">
      <w:pPr>
        <w:pStyle w:val="TOC2"/>
        <w:rPr>
          <w:rFonts w:asciiTheme="minorHAnsi" w:eastAsiaTheme="minorEastAsia" w:hAnsiTheme="minorHAnsi"/>
          <w:noProof/>
          <w:color w:val="auto"/>
          <w:kern w:val="2"/>
          <w:sz w:val="24"/>
          <w:szCs w:val="24"/>
          <w:lang w:eastAsia="en-AU"/>
          <w14:ligatures w14:val="standardContextual"/>
        </w:rPr>
      </w:pPr>
      <w:hyperlink w:anchor="_Toc191286651" w:history="1">
        <w:r w:rsidRPr="00A05C36">
          <w:rPr>
            <w:rStyle w:val="Hyperlink"/>
            <w:noProof/>
          </w:rPr>
          <w:t>Results</w:t>
        </w:r>
        <w:r>
          <w:rPr>
            <w:noProof/>
            <w:webHidden/>
          </w:rPr>
          <w:tab/>
        </w:r>
        <w:r>
          <w:rPr>
            <w:noProof/>
            <w:webHidden/>
          </w:rPr>
          <w:fldChar w:fldCharType="begin"/>
        </w:r>
        <w:r>
          <w:rPr>
            <w:noProof/>
            <w:webHidden/>
          </w:rPr>
          <w:instrText xml:space="preserve"> PAGEREF _Toc191286651 \h </w:instrText>
        </w:r>
        <w:r>
          <w:rPr>
            <w:noProof/>
            <w:webHidden/>
          </w:rPr>
        </w:r>
        <w:r>
          <w:rPr>
            <w:noProof/>
            <w:webHidden/>
          </w:rPr>
          <w:fldChar w:fldCharType="separate"/>
        </w:r>
        <w:r>
          <w:rPr>
            <w:noProof/>
            <w:webHidden/>
          </w:rPr>
          <w:t>24</w:t>
        </w:r>
        <w:r>
          <w:rPr>
            <w:noProof/>
            <w:webHidden/>
          </w:rPr>
          <w:fldChar w:fldCharType="end"/>
        </w:r>
      </w:hyperlink>
    </w:p>
    <w:p w14:paraId="16171CB7" w14:textId="11D752F5" w:rsidR="00703F94" w:rsidRDefault="00703F94" w:rsidP="00703F94">
      <w:pPr>
        <w:pStyle w:val="TOC3"/>
        <w:rPr>
          <w:rStyle w:val="Hyperlink"/>
          <w:noProof/>
        </w:rPr>
      </w:pPr>
      <w:hyperlink w:anchor="_Toc191286652" w:history="1">
        <w:r w:rsidRPr="00A05C36">
          <w:rPr>
            <w:rStyle w:val="Hyperlink"/>
            <w:noProof/>
          </w:rPr>
          <w:t>What is the prevalence and co-occurrence of DFV, AOD use and MH issues in the sample?</w:t>
        </w:r>
        <w:r>
          <w:rPr>
            <w:noProof/>
            <w:webHidden/>
          </w:rPr>
          <w:tab/>
        </w:r>
        <w:r>
          <w:rPr>
            <w:noProof/>
            <w:webHidden/>
          </w:rPr>
          <w:fldChar w:fldCharType="begin"/>
        </w:r>
        <w:r>
          <w:rPr>
            <w:noProof/>
            <w:webHidden/>
          </w:rPr>
          <w:instrText xml:space="preserve"> PAGEREF _Toc191286652 \h </w:instrText>
        </w:r>
        <w:r>
          <w:rPr>
            <w:noProof/>
            <w:webHidden/>
          </w:rPr>
        </w:r>
        <w:r>
          <w:rPr>
            <w:noProof/>
            <w:webHidden/>
          </w:rPr>
          <w:fldChar w:fldCharType="separate"/>
        </w:r>
        <w:r>
          <w:rPr>
            <w:noProof/>
            <w:webHidden/>
          </w:rPr>
          <w:t>24</w:t>
        </w:r>
        <w:r>
          <w:rPr>
            <w:noProof/>
            <w:webHidden/>
          </w:rPr>
          <w:fldChar w:fldCharType="end"/>
        </w:r>
      </w:hyperlink>
    </w:p>
    <w:p w14:paraId="0C964C63" w14:textId="77777777" w:rsidR="00703F94" w:rsidRDefault="00703F94">
      <w:pPr>
        <w:rPr>
          <w:rStyle w:val="Hyperlink"/>
          <w:rFonts w:ascii="Arial" w:hAnsi="Arial"/>
          <w:b/>
          <w:noProof/>
          <w:sz w:val="20"/>
        </w:rPr>
      </w:pPr>
      <w:r>
        <w:rPr>
          <w:rStyle w:val="Hyperlink"/>
          <w:noProof/>
        </w:rPr>
        <w:br w:type="page"/>
      </w:r>
    </w:p>
    <w:p w14:paraId="0FB54524" w14:textId="39406DC0"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53" w:history="1">
        <w:r w:rsidRPr="00A05C36">
          <w:rPr>
            <w:rStyle w:val="Hyperlink"/>
            <w:noProof/>
          </w:rPr>
          <w:t>Are these risk factors associated with other markers of DFV, AOD use and MH issues outside of the</w:t>
        </w:r>
        <w:r>
          <w:rPr>
            <w:rStyle w:val="Hyperlink"/>
            <w:noProof/>
          </w:rPr>
          <w:t> </w:t>
        </w:r>
        <w:r w:rsidRPr="00A05C36">
          <w:rPr>
            <w:rStyle w:val="Hyperlink"/>
            <w:noProof/>
          </w:rPr>
          <w:t>NSW child protection system?</w:t>
        </w:r>
        <w:r>
          <w:rPr>
            <w:noProof/>
            <w:webHidden/>
          </w:rPr>
          <w:tab/>
        </w:r>
        <w:r>
          <w:rPr>
            <w:noProof/>
            <w:webHidden/>
          </w:rPr>
          <w:fldChar w:fldCharType="begin"/>
        </w:r>
        <w:r>
          <w:rPr>
            <w:noProof/>
            <w:webHidden/>
          </w:rPr>
          <w:instrText xml:space="preserve"> PAGEREF _Toc191286653 \h </w:instrText>
        </w:r>
        <w:r>
          <w:rPr>
            <w:noProof/>
            <w:webHidden/>
          </w:rPr>
        </w:r>
        <w:r>
          <w:rPr>
            <w:noProof/>
            <w:webHidden/>
          </w:rPr>
          <w:fldChar w:fldCharType="separate"/>
        </w:r>
        <w:r>
          <w:rPr>
            <w:noProof/>
            <w:webHidden/>
          </w:rPr>
          <w:t>25</w:t>
        </w:r>
        <w:r>
          <w:rPr>
            <w:noProof/>
            <w:webHidden/>
          </w:rPr>
          <w:fldChar w:fldCharType="end"/>
        </w:r>
      </w:hyperlink>
    </w:p>
    <w:p w14:paraId="382A3372" w14:textId="51421E6A"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54" w:history="1">
        <w:r w:rsidRPr="00A05C36">
          <w:rPr>
            <w:rStyle w:val="Hyperlink"/>
            <w:noProof/>
          </w:rPr>
          <w:t>What was the child and family service uptake of these families with co</w:t>
        </w:r>
        <w:r w:rsidRPr="00A05C36">
          <w:rPr>
            <w:rStyle w:val="Hyperlink"/>
            <w:noProof/>
          </w:rPr>
          <w:noBreakHyphen/>
          <w:t>occurring risk factors?</w:t>
        </w:r>
        <w:r>
          <w:rPr>
            <w:noProof/>
            <w:webHidden/>
          </w:rPr>
          <w:tab/>
        </w:r>
        <w:r>
          <w:rPr>
            <w:noProof/>
            <w:webHidden/>
          </w:rPr>
          <w:fldChar w:fldCharType="begin"/>
        </w:r>
        <w:r>
          <w:rPr>
            <w:noProof/>
            <w:webHidden/>
          </w:rPr>
          <w:instrText xml:space="preserve"> PAGEREF _Toc191286654 \h </w:instrText>
        </w:r>
        <w:r>
          <w:rPr>
            <w:noProof/>
            <w:webHidden/>
          </w:rPr>
        </w:r>
        <w:r>
          <w:rPr>
            <w:noProof/>
            <w:webHidden/>
          </w:rPr>
          <w:fldChar w:fldCharType="separate"/>
        </w:r>
        <w:r>
          <w:rPr>
            <w:noProof/>
            <w:webHidden/>
          </w:rPr>
          <w:t>29</w:t>
        </w:r>
        <w:r>
          <w:rPr>
            <w:noProof/>
            <w:webHidden/>
          </w:rPr>
          <w:fldChar w:fldCharType="end"/>
        </w:r>
      </w:hyperlink>
    </w:p>
    <w:p w14:paraId="46046D30" w14:textId="4DFEB52A"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55" w:history="1">
        <w:r w:rsidRPr="00A05C36">
          <w:rPr>
            <w:rStyle w:val="Hyperlink"/>
            <w:noProof/>
          </w:rPr>
          <w:t>How do risk factors differ by region classification?</w:t>
        </w:r>
        <w:r>
          <w:rPr>
            <w:noProof/>
            <w:webHidden/>
          </w:rPr>
          <w:tab/>
        </w:r>
        <w:r>
          <w:rPr>
            <w:noProof/>
            <w:webHidden/>
          </w:rPr>
          <w:fldChar w:fldCharType="begin"/>
        </w:r>
        <w:r>
          <w:rPr>
            <w:noProof/>
            <w:webHidden/>
          </w:rPr>
          <w:instrText xml:space="preserve"> PAGEREF _Toc191286655 \h </w:instrText>
        </w:r>
        <w:r>
          <w:rPr>
            <w:noProof/>
            <w:webHidden/>
          </w:rPr>
        </w:r>
        <w:r>
          <w:rPr>
            <w:noProof/>
            <w:webHidden/>
          </w:rPr>
          <w:fldChar w:fldCharType="separate"/>
        </w:r>
        <w:r>
          <w:rPr>
            <w:noProof/>
            <w:webHidden/>
          </w:rPr>
          <w:t>30</w:t>
        </w:r>
        <w:r>
          <w:rPr>
            <w:noProof/>
            <w:webHidden/>
          </w:rPr>
          <w:fldChar w:fldCharType="end"/>
        </w:r>
      </w:hyperlink>
    </w:p>
    <w:p w14:paraId="32DD9CEF" w14:textId="7DDC6B2C"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56" w:history="1">
        <w:r w:rsidRPr="00A05C36">
          <w:rPr>
            <w:rStyle w:val="Hyperlink"/>
            <w:noProof/>
          </w:rPr>
          <w:t>Number of children who entered OOHC for the first time in the 12 months after the first child concern</w:t>
        </w:r>
        <w:r>
          <w:rPr>
            <w:rStyle w:val="Hyperlink"/>
            <w:noProof/>
          </w:rPr>
          <w:t> </w:t>
        </w:r>
        <w:r w:rsidRPr="00A05C36">
          <w:rPr>
            <w:rStyle w:val="Hyperlink"/>
            <w:noProof/>
          </w:rPr>
          <w:t>report and associations with co-occurring risk factors</w:t>
        </w:r>
        <w:r>
          <w:rPr>
            <w:noProof/>
            <w:webHidden/>
          </w:rPr>
          <w:tab/>
        </w:r>
        <w:r>
          <w:rPr>
            <w:noProof/>
            <w:webHidden/>
          </w:rPr>
          <w:fldChar w:fldCharType="begin"/>
        </w:r>
        <w:r>
          <w:rPr>
            <w:noProof/>
            <w:webHidden/>
          </w:rPr>
          <w:instrText xml:space="preserve"> PAGEREF _Toc191286656 \h </w:instrText>
        </w:r>
        <w:r>
          <w:rPr>
            <w:noProof/>
            <w:webHidden/>
          </w:rPr>
        </w:r>
        <w:r>
          <w:rPr>
            <w:noProof/>
            <w:webHidden/>
          </w:rPr>
          <w:fldChar w:fldCharType="separate"/>
        </w:r>
        <w:r>
          <w:rPr>
            <w:noProof/>
            <w:webHidden/>
          </w:rPr>
          <w:t>33</w:t>
        </w:r>
        <w:r>
          <w:rPr>
            <w:noProof/>
            <w:webHidden/>
          </w:rPr>
          <w:fldChar w:fldCharType="end"/>
        </w:r>
      </w:hyperlink>
    </w:p>
    <w:p w14:paraId="7ADA5623" w14:textId="252BF2A6" w:rsidR="00703F94" w:rsidRDefault="00703F94" w:rsidP="00703F94">
      <w:pPr>
        <w:pStyle w:val="TOC2"/>
        <w:rPr>
          <w:rFonts w:asciiTheme="minorHAnsi" w:eastAsiaTheme="minorEastAsia" w:hAnsiTheme="minorHAnsi"/>
          <w:noProof/>
          <w:color w:val="auto"/>
          <w:kern w:val="2"/>
          <w:sz w:val="24"/>
          <w:szCs w:val="24"/>
          <w:lang w:eastAsia="en-AU"/>
          <w14:ligatures w14:val="standardContextual"/>
        </w:rPr>
      </w:pPr>
      <w:hyperlink w:anchor="_Toc191286657" w:history="1">
        <w:r w:rsidRPr="00A05C36">
          <w:rPr>
            <w:rStyle w:val="Hyperlink"/>
            <w:noProof/>
          </w:rPr>
          <w:t>Discussion</w:t>
        </w:r>
        <w:r>
          <w:rPr>
            <w:noProof/>
            <w:webHidden/>
          </w:rPr>
          <w:tab/>
        </w:r>
        <w:r>
          <w:rPr>
            <w:noProof/>
            <w:webHidden/>
          </w:rPr>
          <w:fldChar w:fldCharType="begin"/>
        </w:r>
        <w:r>
          <w:rPr>
            <w:noProof/>
            <w:webHidden/>
          </w:rPr>
          <w:instrText xml:space="preserve"> PAGEREF _Toc191286657 \h </w:instrText>
        </w:r>
        <w:r>
          <w:rPr>
            <w:noProof/>
            <w:webHidden/>
          </w:rPr>
        </w:r>
        <w:r>
          <w:rPr>
            <w:noProof/>
            <w:webHidden/>
          </w:rPr>
          <w:fldChar w:fldCharType="separate"/>
        </w:r>
        <w:r>
          <w:rPr>
            <w:noProof/>
            <w:webHidden/>
          </w:rPr>
          <w:t>44</w:t>
        </w:r>
        <w:r>
          <w:rPr>
            <w:noProof/>
            <w:webHidden/>
          </w:rPr>
          <w:fldChar w:fldCharType="end"/>
        </w:r>
      </w:hyperlink>
    </w:p>
    <w:p w14:paraId="25276A56" w14:textId="0F0B8024"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58" w:history="1">
        <w:r w:rsidRPr="00A05C36">
          <w:rPr>
            <w:rStyle w:val="Hyperlink"/>
            <w:noProof/>
          </w:rPr>
          <w:t>Strengths and limitations</w:t>
        </w:r>
        <w:r>
          <w:rPr>
            <w:noProof/>
            <w:webHidden/>
          </w:rPr>
          <w:tab/>
        </w:r>
        <w:r>
          <w:rPr>
            <w:noProof/>
            <w:webHidden/>
          </w:rPr>
          <w:fldChar w:fldCharType="begin"/>
        </w:r>
        <w:r>
          <w:rPr>
            <w:noProof/>
            <w:webHidden/>
          </w:rPr>
          <w:instrText xml:space="preserve"> PAGEREF _Toc191286658 \h </w:instrText>
        </w:r>
        <w:r>
          <w:rPr>
            <w:noProof/>
            <w:webHidden/>
          </w:rPr>
        </w:r>
        <w:r>
          <w:rPr>
            <w:noProof/>
            <w:webHidden/>
          </w:rPr>
          <w:fldChar w:fldCharType="separate"/>
        </w:r>
        <w:r>
          <w:rPr>
            <w:noProof/>
            <w:webHidden/>
          </w:rPr>
          <w:t>46</w:t>
        </w:r>
        <w:r>
          <w:rPr>
            <w:noProof/>
            <w:webHidden/>
          </w:rPr>
          <w:fldChar w:fldCharType="end"/>
        </w:r>
      </w:hyperlink>
    </w:p>
    <w:p w14:paraId="74273530" w14:textId="508E6369"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59" w:history="1">
        <w:r w:rsidRPr="00A05C36">
          <w:rPr>
            <w:rStyle w:val="Hyperlink"/>
            <w:noProof/>
          </w:rPr>
          <w:t>Directions for future research</w:t>
        </w:r>
        <w:r>
          <w:rPr>
            <w:noProof/>
            <w:webHidden/>
          </w:rPr>
          <w:tab/>
        </w:r>
        <w:r>
          <w:rPr>
            <w:noProof/>
            <w:webHidden/>
          </w:rPr>
          <w:fldChar w:fldCharType="begin"/>
        </w:r>
        <w:r>
          <w:rPr>
            <w:noProof/>
            <w:webHidden/>
          </w:rPr>
          <w:instrText xml:space="preserve"> PAGEREF _Toc191286659 \h </w:instrText>
        </w:r>
        <w:r>
          <w:rPr>
            <w:noProof/>
            <w:webHidden/>
          </w:rPr>
        </w:r>
        <w:r>
          <w:rPr>
            <w:noProof/>
            <w:webHidden/>
          </w:rPr>
          <w:fldChar w:fldCharType="separate"/>
        </w:r>
        <w:r>
          <w:rPr>
            <w:noProof/>
            <w:webHidden/>
          </w:rPr>
          <w:t>48</w:t>
        </w:r>
        <w:r>
          <w:rPr>
            <w:noProof/>
            <w:webHidden/>
          </w:rPr>
          <w:fldChar w:fldCharType="end"/>
        </w:r>
      </w:hyperlink>
    </w:p>
    <w:p w14:paraId="1F306B60" w14:textId="357012EB" w:rsidR="00703F94" w:rsidRDefault="00703F94" w:rsidP="00703F94">
      <w:pPr>
        <w:pStyle w:val="TOC3"/>
        <w:rPr>
          <w:rFonts w:asciiTheme="minorHAnsi" w:eastAsiaTheme="minorEastAsia" w:hAnsiTheme="minorHAnsi"/>
          <w:noProof/>
          <w:kern w:val="2"/>
          <w:sz w:val="24"/>
          <w:szCs w:val="24"/>
          <w:lang w:eastAsia="en-AU"/>
          <w14:ligatures w14:val="standardContextual"/>
        </w:rPr>
      </w:pPr>
      <w:hyperlink w:anchor="_Toc191286660" w:history="1">
        <w:r w:rsidRPr="00A05C36">
          <w:rPr>
            <w:rStyle w:val="Hyperlink"/>
            <w:noProof/>
          </w:rPr>
          <w:t>Implications and recommendations for policy and practice</w:t>
        </w:r>
        <w:r>
          <w:rPr>
            <w:noProof/>
            <w:webHidden/>
          </w:rPr>
          <w:tab/>
        </w:r>
        <w:r>
          <w:rPr>
            <w:noProof/>
            <w:webHidden/>
          </w:rPr>
          <w:fldChar w:fldCharType="begin"/>
        </w:r>
        <w:r>
          <w:rPr>
            <w:noProof/>
            <w:webHidden/>
          </w:rPr>
          <w:instrText xml:space="preserve"> PAGEREF _Toc191286660 \h </w:instrText>
        </w:r>
        <w:r>
          <w:rPr>
            <w:noProof/>
            <w:webHidden/>
          </w:rPr>
        </w:r>
        <w:r>
          <w:rPr>
            <w:noProof/>
            <w:webHidden/>
          </w:rPr>
          <w:fldChar w:fldCharType="separate"/>
        </w:r>
        <w:r>
          <w:rPr>
            <w:noProof/>
            <w:webHidden/>
          </w:rPr>
          <w:t>49</w:t>
        </w:r>
        <w:r>
          <w:rPr>
            <w:noProof/>
            <w:webHidden/>
          </w:rPr>
          <w:fldChar w:fldCharType="end"/>
        </w:r>
      </w:hyperlink>
    </w:p>
    <w:p w14:paraId="1F93FBF2" w14:textId="491AF933" w:rsidR="00703F94" w:rsidRDefault="00703F94" w:rsidP="00703F94">
      <w:pPr>
        <w:pStyle w:val="TOC2"/>
        <w:rPr>
          <w:rFonts w:asciiTheme="minorHAnsi" w:eastAsiaTheme="minorEastAsia" w:hAnsiTheme="minorHAnsi"/>
          <w:noProof/>
          <w:color w:val="auto"/>
          <w:kern w:val="2"/>
          <w:sz w:val="24"/>
          <w:szCs w:val="24"/>
          <w:lang w:eastAsia="en-AU"/>
          <w14:ligatures w14:val="standardContextual"/>
        </w:rPr>
      </w:pPr>
      <w:hyperlink w:anchor="_Toc191286661" w:history="1">
        <w:r w:rsidRPr="00A05C36">
          <w:rPr>
            <w:rStyle w:val="Hyperlink"/>
            <w:noProof/>
          </w:rPr>
          <w:t>Conclusion</w:t>
        </w:r>
        <w:r>
          <w:rPr>
            <w:noProof/>
            <w:webHidden/>
          </w:rPr>
          <w:tab/>
        </w:r>
        <w:r>
          <w:rPr>
            <w:noProof/>
            <w:webHidden/>
          </w:rPr>
          <w:fldChar w:fldCharType="begin"/>
        </w:r>
        <w:r>
          <w:rPr>
            <w:noProof/>
            <w:webHidden/>
          </w:rPr>
          <w:instrText xml:space="preserve"> PAGEREF _Toc191286661 \h </w:instrText>
        </w:r>
        <w:r>
          <w:rPr>
            <w:noProof/>
            <w:webHidden/>
          </w:rPr>
        </w:r>
        <w:r>
          <w:rPr>
            <w:noProof/>
            <w:webHidden/>
          </w:rPr>
          <w:fldChar w:fldCharType="separate"/>
        </w:r>
        <w:r>
          <w:rPr>
            <w:noProof/>
            <w:webHidden/>
          </w:rPr>
          <w:t>50</w:t>
        </w:r>
        <w:r>
          <w:rPr>
            <w:noProof/>
            <w:webHidden/>
          </w:rPr>
          <w:fldChar w:fldCharType="end"/>
        </w:r>
      </w:hyperlink>
    </w:p>
    <w:p w14:paraId="0B3543FD" w14:textId="63B1B754" w:rsidR="00703F94" w:rsidRDefault="00703F94" w:rsidP="00703F94">
      <w:pPr>
        <w:pStyle w:val="TOC2"/>
        <w:rPr>
          <w:rFonts w:asciiTheme="minorHAnsi" w:eastAsiaTheme="minorEastAsia" w:hAnsiTheme="minorHAnsi"/>
          <w:noProof/>
          <w:color w:val="auto"/>
          <w:kern w:val="2"/>
          <w:sz w:val="24"/>
          <w:szCs w:val="24"/>
          <w:lang w:eastAsia="en-AU"/>
          <w14:ligatures w14:val="standardContextual"/>
        </w:rPr>
      </w:pPr>
      <w:hyperlink w:anchor="_Toc191286662" w:history="1">
        <w:r w:rsidRPr="00A05C36">
          <w:rPr>
            <w:rStyle w:val="Hyperlink"/>
            <w:noProof/>
          </w:rPr>
          <w:t>Author contributions</w:t>
        </w:r>
        <w:r>
          <w:rPr>
            <w:noProof/>
            <w:webHidden/>
          </w:rPr>
          <w:tab/>
        </w:r>
        <w:r>
          <w:rPr>
            <w:noProof/>
            <w:webHidden/>
          </w:rPr>
          <w:fldChar w:fldCharType="begin"/>
        </w:r>
        <w:r>
          <w:rPr>
            <w:noProof/>
            <w:webHidden/>
          </w:rPr>
          <w:instrText xml:space="preserve"> PAGEREF _Toc191286662 \h </w:instrText>
        </w:r>
        <w:r>
          <w:rPr>
            <w:noProof/>
            <w:webHidden/>
          </w:rPr>
        </w:r>
        <w:r>
          <w:rPr>
            <w:noProof/>
            <w:webHidden/>
          </w:rPr>
          <w:fldChar w:fldCharType="separate"/>
        </w:r>
        <w:r>
          <w:rPr>
            <w:noProof/>
            <w:webHidden/>
          </w:rPr>
          <w:t>51</w:t>
        </w:r>
        <w:r>
          <w:rPr>
            <w:noProof/>
            <w:webHidden/>
          </w:rPr>
          <w:fldChar w:fldCharType="end"/>
        </w:r>
      </w:hyperlink>
    </w:p>
    <w:p w14:paraId="157E08EB" w14:textId="513D477B" w:rsidR="00703F94" w:rsidRDefault="00703F94" w:rsidP="00703F94">
      <w:pPr>
        <w:pStyle w:val="TOC2"/>
        <w:rPr>
          <w:rFonts w:asciiTheme="minorHAnsi" w:eastAsiaTheme="minorEastAsia" w:hAnsiTheme="minorHAnsi"/>
          <w:noProof/>
          <w:color w:val="auto"/>
          <w:kern w:val="2"/>
          <w:sz w:val="24"/>
          <w:szCs w:val="24"/>
          <w:lang w:eastAsia="en-AU"/>
          <w14:ligatures w14:val="standardContextual"/>
        </w:rPr>
      </w:pPr>
      <w:hyperlink w:anchor="_Toc191286663" w:history="1">
        <w:r w:rsidRPr="00A05C36">
          <w:rPr>
            <w:rStyle w:val="Hyperlink"/>
            <w:noProof/>
          </w:rPr>
          <w:t>References</w:t>
        </w:r>
        <w:r>
          <w:rPr>
            <w:noProof/>
            <w:webHidden/>
          </w:rPr>
          <w:tab/>
        </w:r>
        <w:r>
          <w:rPr>
            <w:noProof/>
            <w:webHidden/>
          </w:rPr>
          <w:fldChar w:fldCharType="begin"/>
        </w:r>
        <w:r>
          <w:rPr>
            <w:noProof/>
            <w:webHidden/>
          </w:rPr>
          <w:instrText xml:space="preserve"> PAGEREF _Toc191286663 \h </w:instrText>
        </w:r>
        <w:r>
          <w:rPr>
            <w:noProof/>
            <w:webHidden/>
          </w:rPr>
        </w:r>
        <w:r>
          <w:rPr>
            <w:noProof/>
            <w:webHidden/>
          </w:rPr>
          <w:fldChar w:fldCharType="separate"/>
        </w:r>
        <w:r>
          <w:rPr>
            <w:noProof/>
            <w:webHidden/>
          </w:rPr>
          <w:t>52</w:t>
        </w:r>
        <w:r>
          <w:rPr>
            <w:noProof/>
            <w:webHidden/>
          </w:rPr>
          <w:fldChar w:fldCharType="end"/>
        </w:r>
      </w:hyperlink>
    </w:p>
    <w:p w14:paraId="742F2036" w14:textId="4FB68BC5" w:rsidR="004020C5" w:rsidRPr="004020C5" w:rsidRDefault="00703F94" w:rsidP="00703F94">
      <w:pPr>
        <w:pStyle w:val="H2SectionTitle"/>
      </w:pPr>
      <w:r>
        <w:rPr>
          <w:rFonts w:eastAsiaTheme="minorHAnsi" w:cstheme="minorBidi"/>
          <w:b/>
          <w:color w:val="787700"/>
          <w:sz w:val="23"/>
          <w:lang w:eastAsia="en-US"/>
        </w:rPr>
        <w:lastRenderedPageBreak/>
        <w:fldChar w:fldCharType="end"/>
      </w:r>
      <w:bookmarkStart w:id="4" w:name="_Toc191286630"/>
      <w:r w:rsidR="004020C5" w:rsidRPr="004020C5">
        <w:t>Acronyms</w:t>
      </w:r>
      <w:bookmarkEnd w:id="4"/>
    </w:p>
    <w:tbl>
      <w:tblPr>
        <w:tblStyle w:val="Definitionstable"/>
        <w:tblW w:w="0" w:type="auto"/>
        <w:tblLook w:val="04A0" w:firstRow="1" w:lastRow="0" w:firstColumn="1" w:lastColumn="0" w:noHBand="0" w:noVBand="1"/>
      </w:tblPr>
      <w:tblGrid>
        <w:gridCol w:w="1341"/>
        <w:gridCol w:w="8863"/>
      </w:tblGrid>
      <w:tr w:rsidR="004020C5" w:rsidRPr="004020C5" w14:paraId="4344EB4D" w14:textId="77777777" w:rsidTr="00A310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EF39BF2" w14:textId="6FF65B63" w:rsidR="004020C5" w:rsidRPr="004020C5" w:rsidRDefault="00A31013" w:rsidP="004020C5">
            <w:pPr>
              <w:pStyle w:val="BodySans"/>
            </w:pPr>
            <w:r>
              <w:t>Acronym</w:t>
            </w:r>
          </w:p>
        </w:tc>
        <w:tc>
          <w:tcPr>
            <w:tcW w:w="0" w:type="auto"/>
          </w:tcPr>
          <w:p w14:paraId="72B27524" w14:textId="4971AD82" w:rsidR="004020C5" w:rsidRPr="004020C5" w:rsidRDefault="00A31013" w:rsidP="004020C5">
            <w:pPr>
              <w:pStyle w:val="BodySans"/>
              <w:cnfStyle w:val="100000000000" w:firstRow="1" w:lastRow="0" w:firstColumn="0" w:lastColumn="0" w:oddVBand="0" w:evenVBand="0" w:oddHBand="0" w:evenHBand="0" w:firstRowFirstColumn="0" w:firstRowLastColumn="0" w:lastRowFirstColumn="0" w:lastRowLastColumn="0"/>
            </w:pPr>
            <w:r>
              <w:t>Definition</w:t>
            </w:r>
          </w:p>
        </w:tc>
      </w:tr>
      <w:tr w:rsidR="00A31013" w:rsidRPr="004020C5" w14:paraId="614BCC5F" w14:textId="77777777" w:rsidTr="00A31013">
        <w:tc>
          <w:tcPr>
            <w:cnfStyle w:val="001000000000" w:firstRow="0" w:lastRow="0" w:firstColumn="1" w:lastColumn="0" w:oddVBand="0" w:evenVBand="0" w:oddHBand="0" w:evenHBand="0" w:firstRowFirstColumn="0" w:firstRowLastColumn="0" w:lastRowFirstColumn="0" w:lastRowLastColumn="0"/>
            <w:tcW w:w="0" w:type="auto"/>
          </w:tcPr>
          <w:p w14:paraId="4603C150" w14:textId="1DA0D259" w:rsidR="00A31013" w:rsidRPr="004020C5" w:rsidRDefault="00A31013" w:rsidP="00A31013">
            <w:pPr>
              <w:pStyle w:val="BodySans"/>
            </w:pPr>
            <w:r w:rsidRPr="004020C5">
              <w:t>AOD</w:t>
            </w:r>
          </w:p>
        </w:tc>
        <w:tc>
          <w:tcPr>
            <w:tcW w:w="0" w:type="auto"/>
          </w:tcPr>
          <w:p w14:paraId="191BF9D3" w14:textId="3DB26557"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Alcohol and other drugs (parental)</w:t>
            </w:r>
          </w:p>
        </w:tc>
      </w:tr>
      <w:tr w:rsidR="00A31013" w:rsidRPr="004020C5" w14:paraId="07D6B510" w14:textId="77777777" w:rsidTr="00D654CB">
        <w:tc>
          <w:tcPr>
            <w:cnfStyle w:val="001000000000" w:firstRow="0" w:lastRow="0" w:firstColumn="1" w:lastColumn="0" w:oddVBand="0" w:evenVBand="0" w:oddHBand="0" w:evenHBand="0" w:firstRowFirstColumn="0" w:firstRowLastColumn="0" w:lastRowFirstColumn="0" w:lastRowLastColumn="0"/>
            <w:tcW w:w="0" w:type="auto"/>
          </w:tcPr>
          <w:p w14:paraId="20398D8F" w14:textId="67962118" w:rsidR="00A31013" w:rsidRPr="004020C5" w:rsidRDefault="00A31013" w:rsidP="00A31013">
            <w:pPr>
              <w:pStyle w:val="BodySans"/>
            </w:pPr>
            <w:r w:rsidRPr="004020C5">
              <w:t>APDC</w:t>
            </w:r>
          </w:p>
        </w:tc>
        <w:tc>
          <w:tcPr>
            <w:tcW w:w="0" w:type="auto"/>
          </w:tcPr>
          <w:p w14:paraId="5AF86F67" w14:textId="05808F42"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Admitted Patient Data Collection</w:t>
            </w:r>
          </w:p>
        </w:tc>
      </w:tr>
      <w:tr w:rsidR="00A31013" w:rsidRPr="004020C5" w14:paraId="034AD571"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33EC459C" w14:textId="50E6BE3E" w:rsidR="00A31013" w:rsidRPr="004020C5" w:rsidRDefault="00A31013" w:rsidP="00A31013">
            <w:pPr>
              <w:pStyle w:val="BodySans"/>
            </w:pPr>
            <w:r w:rsidRPr="004020C5">
              <w:t>BOCSAR</w:t>
            </w:r>
          </w:p>
        </w:tc>
        <w:tc>
          <w:tcPr>
            <w:tcW w:w="0" w:type="auto"/>
            <w:hideMark/>
          </w:tcPr>
          <w:p w14:paraId="0A373722" w14:textId="3F1D1FA6"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Bureau of Crime Statistics and Research (NSW)</w:t>
            </w:r>
          </w:p>
        </w:tc>
      </w:tr>
      <w:tr w:rsidR="00A31013" w:rsidRPr="004020C5" w14:paraId="25D5EC49"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68EB0B77" w14:textId="5B53F5F3" w:rsidR="00A31013" w:rsidRPr="004020C5" w:rsidRDefault="00A31013" w:rsidP="00A31013">
            <w:pPr>
              <w:pStyle w:val="BodySans"/>
            </w:pPr>
            <w:r w:rsidRPr="004020C5">
              <w:t>CHeReL</w:t>
            </w:r>
          </w:p>
        </w:tc>
        <w:tc>
          <w:tcPr>
            <w:tcW w:w="0" w:type="auto"/>
            <w:hideMark/>
          </w:tcPr>
          <w:p w14:paraId="1C23D603" w14:textId="3F0F5287"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Centre for Health Record Linkage</w:t>
            </w:r>
          </w:p>
        </w:tc>
      </w:tr>
      <w:tr w:rsidR="00A31013" w:rsidRPr="004020C5" w14:paraId="31233F51"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1AD67308" w14:textId="49DDEA6C" w:rsidR="00A31013" w:rsidRPr="004020C5" w:rsidRDefault="00A31013" w:rsidP="00A31013">
            <w:pPr>
              <w:pStyle w:val="BodySans"/>
            </w:pPr>
            <w:r w:rsidRPr="004020C5">
              <w:t>DAC</w:t>
            </w:r>
          </w:p>
        </w:tc>
        <w:tc>
          <w:tcPr>
            <w:tcW w:w="0" w:type="auto"/>
            <w:hideMark/>
          </w:tcPr>
          <w:p w14:paraId="3007AA76" w14:textId="617701DB"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Data Analytics Centre (NSW)</w:t>
            </w:r>
          </w:p>
        </w:tc>
      </w:tr>
      <w:tr w:rsidR="00A31013" w:rsidRPr="004020C5" w14:paraId="781A7A50"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3040E716" w14:textId="2D8F197C" w:rsidR="00A31013" w:rsidRPr="004020C5" w:rsidRDefault="00A31013" w:rsidP="00A31013">
            <w:pPr>
              <w:pStyle w:val="BodySans"/>
            </w:pPr>
            <w:r w:rsidRPr="004020C5">
              <w:t>DCJ</w:t>
            </w:r>
          </w:p>
        </w:tc>
        <w:tc>
          <w:tcPr>
            <w:tcW w:w="0" w:type="auto"/>
            <w:hideMark/>
          </w:tcPr>
          <w:p w14:paraId="44EDF69B" w14:textId="41BD2F3F"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Department of Communities and Justice (NSW), formerly Family and Community Services and</w:t>
            </w:r>
            <w:r w:rsidR="00EE65C1">
              <w:t> </w:t>
            </w:r>
            <w:r w:rsidRPr="004020C5">
              <w:t>Department of Justice (NSW)</w:t>
            </w:r>
          </w:p>
        </w:tc>
      </w:tr>
      <w:tr w:rsidR="00A31013" w:rsidRPr="004020C5" w14:paraId="1CB22C51"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2AD33F62" w14:textId="2D25C208" w:rsidR="00A31013" w:rsidRPr="004020C5" w:rsidRDefault="00A31013" w:rsidP="00A31013">
            <w:pPr>
              <w:pStyle w:val="BodySans"/>
            </w:pPr>
            <w:r w:rsidRPr="004020C5">
              <w:t>DFV</w:t>
            </w:r>
          </w:p>
        </w:tc>
        <w:tc>
          <w:tcPr>
            <w:tcW w:w="0" w:type="auto"/>
            <w:hideMark/>
          </w:tcPr>
          <w:p w14:paraId="053350DF" w14:textId="1C9183D3"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Domestic and family violence</w:t>
            </w:r>
          </w:p>
        </w:tc>
      </w:tr>
      <w:tr w:rsidR="00A31013" w:rsidRPr="004020C5" w14:paraId="675BB629"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7A5AE6D4" w14:textId="157B041B" w:rsidR="00A31013" w:rsidRPr="004020C5" w:rsidRDefault="00A31013" w:rsidP="00A31013">
            <w:pPr>
              <w:pStyle w:val="BodySans"/>
            </w:pPr>
            <w:r w:rsidRPr="004020C5">
              <w:t>FACSIAR</w:t>
            </w:r>
          </w:p>
        </w:tc>
        <w:tc>
          <w:tcPr>
            <w:tcW w:w="0" w:type="auto"/>
            <w:hideMark/>
          </w:tcPr>
          <w:p w14:paraId="0C565731" w14:textId="2B593A1B"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Family and Community Services Insights, Analysis and Research</w:t>
            </w:r>
          </w:p>
        </w:tc>
      </w:tr>
      <w:tr w:rsidR="00A31013" w:rsidRPr="004020C5" w14:paraId="10965DFA"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4468280C" w14:textId="1916DD6D" w:rsidR="00A31013" w:rsidRPr="004020C5" w:rsidRDefault="00A31013" w:rsidP="00A31013">
            <w:pPr>
              <w:pStyle w:val="BodySans"/>
            </w:pPr>
            <w:r w:rsidRPr="004020C5">
              <w:t>HSDS</w:t>
            </w:r>
          </w:p>
        </w:tc>
        <w:tc>
          <w:tcPr>
            <w:tcW w:w="0" w:type="auto"/>
            <w:hideMark/>
          </w:tcPr>
          <w:p w14:paraId="6AD53670" w14:textId="1D395A3E"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Human Services Dataset (NSW)</w:t>
            </w:r>
          </w:p>
        </w:tc>
      </w:tr>
      <w:tr w:rsidR="00A31013" w:rsidRPr="004020C5" w14:paraId="1EF21614"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739FF9E3" w14:textId="3C47C67A" w:rsidR="00A31013" w:rsidRPr="004020C5" w:rsidRDefault="00A31013" w:rsidP="00A31013">
            <w:pPr>
              <w:pStyle w:val="BodySans"/>
            </w:pPr>
            <w:r w:rsidRPr="004020C5">
              <w:t>KTS</w:t>
            </w:r>
          </w:p>
        </w:tc>
        <w:tc>
          <w:tcPr>
            <w:tcW w:w="0" w:type="auto"/>
            <w:hideMark/>
          </w:tcPr>
          <w:p w14:paraId="5B4270E6" w14:textId="28961AE0"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Keep Them Safe (reforms)</w:t>
            </w:r>
          </w:p>
        </w:tc>
      </w:tr>
      <w:tr w:rsidR="00A31013" w:rsidRPr="004020C5" w14:paraId="7283A289"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4845ADAB" w14:textId="2191D413" w:rsidR="00A31013" w:rsidRPr="004020C5" w:rsidRDefault="00A31013" w:rsidP="00A31013">
            <w:pPr>
              <w:pStyle w:val="BodySans"/>
            </w:pPr>
            <w:r w:rsidRPr="004020C5">
              <w:t>MDC</w:t>
            </w:r>
          </w:p>
        </w:tc>
        <w:tc>
          <w:tcPr>
            <w:tcW w:w="0" w:type="auto"/>
            <w:hideMark/>
          </w:tcPr>
          <w:p w14:paraId="34246000" w14:textId="7281A86D"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Major Diagnostic Category</w:t>
            </w:r>
          </w:p>
        </w:tc>
      </w:tr>
      <w:tr w:rsidR="00A31013" w:rsidRPr="004020C5" w14:paraId="3A72459C"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3EFF4700" w14:textId="73276165" w:rsidR="00A31013" w:rsidRPr="004020C5" w:rsidRDefault="00A31013" w:rsidP="00A31013">
            <w:pPr>
              <w:pStyle w:val="BodySans"/>
            </w:pPr>
            <w:r w:rsidRPr="004020C5">
              <w:t>MH</w:t>
            </w:r>
          </w:p>
        </w:tc>
        <w:tc>
          <w:tcPr>
            <w:tcW w:w="0" w:type="auto"/>
            <w:hideMark/>
          </w:tcPr>
          <w:p w14:paraId="62538DC2" w14:textId="48D04D03"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Mental health (parental)</w:t>
            </w:r>
          </w:p>
        </w:tc>
      </w:tr>
      <w:tr w:rsidR="00A31013" w:rsidRPr="004020C5" w14:paraId="42CD4593"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4CE54E5C" w14:textId="7A274686" w:rsidR="00A31013" w:rsidRPr="004020C5" w:rsidRDefault="00A31013" w:rsidP="00A31013">
            <w:pPr>
              <w:pStyle w:val="BodySans"/>
            </w:pPr>
            <w:r w:rsidRPr="004020C5">
              <w:t>MHAMB</w:t>
            </w:r>
          </w:p>
        </w:tc>
        <w:tc>
          <w:tcPr>
            <w:tcW w:w="0" w:type="auto"/>
            <w:hideMark/>
          </w:tcPr>
          <w:p w14:paraId="13FBED5A" w14:textId="4FC98C19"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Mental Health Ambulatory (NSW)</w:t>
            </w:r>
          </w:p>
        </w:tc>
      </w:tr>
      <w:tr w:rsidR="00A31013" w:rsidRPr="004020C5" w14:paraId="464EFFBA"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57F2F4DD" w14:textId="02107A05" w:rsidR="00A31013" w:rsidRPr="004020C5" w:rsidRDefault="00A31013" w:rsidP="00A31013">
            <w:pPr>
              <w:pStyle w:val="BodySans"/>
            </w:pPr>
            <w:r w:rsidRPr="004020C5">
              <w:t>OOHC</w:t>
            </w:r>
          </w:p>
        </w:tc>
        <w:tc>
          <w:tcPr>
            <w:tcW w:w="0" w:type="auto"/>
            <w:hideMark/>
          </w:tcPr>
          <w:p w14:paraId="1EA8A1AC" w14:textId="4D25CA9D"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Out-of-home care</w:t>
            </w:r>
          </w:p>
        </w:tc>
      </w:tr>
      <w:tr w:rsidR="00A31013" w:rsidRPr="004020C5" w14:paraId="7D4AE620"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5FB55DE8" w14:textId="3DDAB6BD" w:rsidR="00A31013" w:rsidRPr="004020C5" w:rsidRDefault="00A31013" w:rsidP="00A31013">
            <w:pPr>
              <w:pStyle w:val="BodySans"/>
            </w:pPr>
            <w:r w:rsidRPr="004020C5">
              <w:t>RoSH</w:t>
            </w:r>
          </w:p>
        </w:tc>
        <w:tc>
          <w:tcPr>
            <w:tcW w:w="0" w:type="auto"/>
            <w:hideMark/>
          </w:tcPr>
          <w:p w14:paraId="4BE0773B" w14:textId="0AA14901"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Risk of Significant Harm</w:t>
            </w:r>
          </w:p>
        </w:tc>
      </w:tr>
      <w:tr w:rsidR="00A31013" w:rsidRPr="004020C5" w14:paraId="487AD857"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3D6B55B5" w14:textId="687A64C2" w:rsidR="00A31013" w:rsidRPr="004020C5" w:rsidRDefault="00A31013" w:rsidP="00A31013">
            <w:pPr>
              <w:pStyle w:val="BodySans"/>
            </w:pPr>
            <w:r w:rsidRPr="004020C5">
              <w:t>SA2</w:t>
            </w:r>
          </w:p>
        </w:tc>
        <w:tc>
          <w:tcPr>
            <w:tcW w:w="0" w:type="auto"/>
            <w:hideMark/>
          </w:tcPr>
          <w:p w14:paraId="59C3D2CD" w14:textId="3A784590"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Statistical Area Level 2</w:t>
            </w:r>
          </w:p>
        </w:tc>
      </w:tr>
      <w:tr w:rsidR="00A31013" w:rsidRPr="004020C5" w14:paraId="63D56E6A" w14:textId="77777777" w:rsidTr="00D654CB">
        <w:tc>
          <w:tcPr>
            <w:cnfStyle w:val="001000000000" w:firstRow="0" w:lastRow="0" w:firstColumn="1" w:lastColumn="0" w:oddVBand="0" w:evenVBand="0" w:oddHBand="0" w:evenHBand="0" w:firstRowFirstColumn="0" w:firstRowLastColumn="0" w:lastRowFirstColumn="0" w:lastRowLastColumn="0"/>
            <w:tcW w:w="0" w:type="auto"/>
            <w:hideMark/>
          </w:tcPr>
          <w:p w14:paraId="2BCA6197" w14:textId="33116C0C" w:rsidR="00A31013" w:rsidRPr="004020C5" w:rsidRDefault="00A31013" w:rsidP="00A31013">
            <w:pPr>
              <w:pStyle w:val="BodySans"/>
            </w:pPr>
            <w:r w:rsidRPr="004020C5">
              <w:t>SHFL</w:t>
            </w:r>
          </w:p>
        </w:tc>
        <w:tc>
          <w:tcPr>
            <w:tcW w:w="0" w:type="auto"/>
            <w:hideMark/>
          </w:tcPr>
          <w:p w14:paraId="0E0EAB7C" w14:textId="3E6ACDD1" w:rsidR="00A31013" w:rsidRPr="004020C5" w:rsidRDefault="00A31013" w:rsidP="00A31013">
            <w:pPr>
              <w:pStyle w:val="BodySans"/>
              <w:cnfStyle w:val="000000000000" w:firstRow="0" w:lastRow="0" w:firstColumn="0" w:lastColumn="0" w:oddVBand="0" w:evenVBand="0" w:oddHBand="0" w:evenHBand="0" w:firstRowFirstColumn="0" w:firstRowLastColumn="0" w:lastRowFirstColumn="0" w:lastRowLastColumn="0"/>
            </w:pPr>
            <w:r w:rsidRPr="004020C5">
              <w:t>Safe Home for Life (reforms)</w:t>
            </w:r>
          </w:p>
        </w:tc>
      </w:tr>
    </w:tbl>
    <w:p w14:paraId="0DF9C575" w14:textId="2266B361" w:rsidR="004020C5" w:rsidRPr="004020C5" w:rsidRDefault="004020C5" w:rsidP="004020C5">
      <w:pPr>
        <w:pStyle w:val="H2SectionTitle"/>
      </w:pPr>
      <w:bookmarkStart w:id="5" w:name="_Toc191286631"/>
      <w:r w:rsidRPr="004020C5">
        <w:lastRenderedPageBreak/>
        <w:t>Definitions and concepts</w:t>
      </w:r>
      <w:bookmarkEnd w:id="5"/>
    </w:p>
    <w:tbl>
      <w:tblPr>
        <w:tblStyle w:val="Definitionstable"/>
        <w:tblW w:w="0" w:type="auto"/>
        <w:tblLook w:val="04A0" w:firstRow="1" w:lastRow="0" w:firstColumn="1" w:lastColumn="0" w:noHBand="0" w:noVBand="1"/>
      </w:tblPr>
      <w:tblGrid>
        <w:gridCol w:w="2088"/>
        <w:gridCol w:w="8116"/>
      </w:tblGrid>
      <w:tr w:rsidR="004020C5" w:rsidRPr="004020C5" w14:paraId="23C2230C" w14:textId="77777777" w:rsidTr="007E62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218D107" w14:textId="54DB02DF" w:rsidR="004020C5" w:rsidRPr="004020C5" w:rsidRDefault="007E6239" w:rsidP="004020C5">
            <w:pPr>
              <w:pStyle w:val="BodySans"/>
            </w:pPr>
            <w:r>
              <w:t>Concept</w:t>
            </w:r>
          </w:p>
        </w:tc>
        <w:tc>
          <w:tcPr>
            <w:tcW w:w="0" w:type="auto"/>
          </w:tcPr>
          <w:p w14:paraId="4D17C3DF" w14:textId="39229576" w:rsidR="004020C5" w:rsidRPr="004020C5" w:rsidRDefault="007E6239" w:rsidP="004020C5">
            <w:pPr>
              <w:pStyle w:val="BodySans"/>
              <w:cnfStyle w:val="100000000000" w:firstRow="1" w:lastRow="0" w:firstColumn="0" w:lastColumn="0" w:oddVBand="0" w:evenVBand="0" w:oddHBand="0" w:evenHBand="0" w:firstRowFirstColumn="0" w:firstRowLastColumn="0" w:lastRowFirstColumn="0" w:lastRowLastColumn="0"/>
            </w:pPr>
            <w:r>
              <w:t>Definition</w:t>
            </w:r>
          </w:p>
        </w:tc>
      </w:tr>
      <w:tr w:rsidR="007E6239" w:rsidRPr="004020C5" w14:paraId="18062A54" w14:textId="77777777" w:rsidTr="007E6239">
        <w:tc>
          <w:tcPr>
            <w:cnfStyle w:val="001000000000" w:firstRow="0" w:lastRow="0" w:firstColumn="1" w:lastColumn="0" w:oddVBand="0" w:evenVBand="0" w:oddHBand="0" w:evenHBand="0" w:firstRowFirstColumn="0" w:firstRowLastColumn="0" w:lastRowFirstColumn="0" w:lastRowLastColumn="0"/>
            <w:tcW w:w="0" w:type="auto"/>
          </w:tcPr>
          <w:p w14:paraId="69C73F73" w14:textId="4FB31621" w:rsidR="007E6239" w:rsidRPr="004020C5" w:rsidRDefault="007E6239" w:rsidP="00B86822">
            <w:pPr>
              <w:pStyle w:val="BodySans"/>
              <w:spacing w:before="120"/>
            </w:pPr>
            <w:r w:rsidRPr="004020C5">
              <w:t>Admitted Patient Data Collection (APDC)</w:t>
            </w:r>
          </w:p>
        </w:tc>
        <w:tc>
          <w:tcPr>
            <w:tcW w:w="0" w:type="auto"/>
          </w:tcPr>
          <w:p w14:paraId="1BDA128B" w14:textId="237E5622" w:rsidR="007E6239" w:rsidRPr="004020C5" w:rsidRDefault="007E6239" w:rsidP="007E6239">
            <w:pPr>
              <w:pStyle w:val="BodySans"/>
              <w:cnfStyle w:val="000000000000" w:firstRow="0" w:lastRow="0" w:firstColumn="0" w:lastColumn="0" w:oddVBand="0" w:evenVBand="0" w:oddHBand="0" w:evenHBand="0" w:firstRowFirstColumn="0" w:firstRowLastColumn="0" w:lastRowFirstColumn="0" w:lastRowLastColumn="0"/>
            </w:pPr>
            <w:r w:rsidRPr="004020C5">
              <w:t>Data recorded by NSW Health of all admitted patient services provided by NSW public</w:t>
            </w:r>
            <w:r w:rsidR="007E1F57">
              <w:t> </w:t>
            </w:r>
            <w:r w:rsidRPr="004020C5">
              <w:t>and private hospitals.</w:t>
            </w:r>
          </w:p>
        </w:tc>
      </w:tr>
      <w:tr w:rsidR="007E6239" w:rsidRPr="004020C5" w14:paraId="097418D3" w14:textId="77777777" w:rsidTr="007E6239">
        <w:tc>
          <w:tcPr>
            <w:cnfStyle w:val="001000000000" w:firstRow="0" w:lastRow="0" w:firstColumn="1" w:lastColumn="0" w:oddVBand="0" w:evenVBand="0" w:oddHBand="0" w:evenHBand="0" w:firstRowFirstColumn="0" w:firstRowLastColumn="0" w:lastRowFirstColumn="0" w:lastRowLastColumn="0"/>
            <w:tcW w:w="0" w:type="auto"/>
          </w:tcPr>
          <w:p w14:paraId="61D5BE0E" w14:textId="27EC50EF" w:rsidR="007E6239" w:rsidRPr="004020C5" w:rsidRDefault="007E6239" w:rsidP="00B86822">
            <w:pPr>
              <w:pStyle w:val="BodySans"/>
              <w:spacing w:before="120"/>
            </w:pPr>
            <w:r w:rsidRPr="004020C5">
              <w:t>Alcohol and other drug (AOD) use</w:t>
            </w:r>
          </w:p>
        </w:tc>
        <w:tc>
          <w:tcPr>
            <w:tcW w:w="0" w:type="auto"/>
          </w:tcPr>
          <w:p w14:paraId="5FE90510" w14:textId="3C094987" w:rsidR="007E6239" w:rsidRPr="004020C5" w:rsidRDefault="007E6239" w:rsidP="007E6239">
            <w:pPr>
              <w:pStyle w:val="BodySans"/>
              <w:cnfStyle w:val="000000000000" w:firstRow="0" w:lastRow="0" w:firstColumn="0" w:lastColumn="0" w:oddVBand="0" w:evenVBand="0" w:oddHBand="0" w:evenHBand="0" w:firstRowFirstColumn="0" w:firstRowLastColumn="0" w:lastRowFirstColumn="0" w:lastRowLastColumn="0"/>
            </w:pPr>
            <w:r w:rsidRPr="004020C5">
              <w:t>Alcohol and other drug use refers to the use of, or dependence on, alcohol, illicit</w:t>
            </w:r>
            <w:r w:rsidR="00EE65C1">
              <w:t> </w:t>
            </w:r>
            <w:r w:rsidRPr="004020C5">
              <w:t>drugs</w:t>
            </w:r>
            <w:r w:rsidR="00EE65C1">
              <w:t> </w:t>
            </w:r>
            <w:r w:rsidRPr="004020C5">
              <w:t>or substances and other non-illicit drugs (e.g. benzodiazepines, opioids; see</w:t>
            </w:r>
            <w:r w:rsidR="00EE65C1">
              <w:t> </w:t>
            </w:r>
            <w:r w:rsidRPr="004020C5">
              <w:t>Their</w:t>
            </w:r>
            <w:r w:rsidR="00EE65C1">
              <w:t> </w:t>
            </w:r>
            <w:r w:rsidRPr="004020C5">
              <w:t>Futures Matter, 2019). For the purposes of this report, we are only looking at</w:t>
            </w:r>
            <w:r w:rsidR="00EE65C1">
              <w:t> </w:t>
            </w:r>
            <w:r w:rsidRPr="004020C5">
              <w:t>AOD use as documented in Child Protection Helpline reports and hospital data in</w:t>
            </w:r>
            <w:r w:rsidR="00EE65C1">
              <w:t> </w:t>
            </w:r>
            <w:r w:rsidRPr="004020C5">
              <w:t>the Admitted Patient Data Collection where the Major Diagnostic Category is</w:t>
            </w:r>
            <w:r w:rsidR="00EE65C1">
              <w:t> </w:t>
            </w:r>
            <w:r w:rsidRPr="004020C5">
              <w:t>“substance use and substance induced organic mental disorders” or “injury, poisoning, and toxic effects of drugs” (NSW Ministry of Health, 2020).</w:t>
            </w:r>
          </w:p>
        </w:tc>
      </w:tr>
      <w:tr w:rsidR="007E6239" w:rsidRPr="004020C5" w14:paraId="3872EF5D" w14:textId="77777777" w:rsidTr="007E6239">
        <w:tc>
          <w:tcPr>
            <w:cnfStyle w:val="001000000000" w:firstRow="0" w:lastRow="0" w:firstColumn="1" w:lastColumn="0" w:oddVBand="0" w:evenVBand="0" w:oddHBand="0" w:evenHBand="0" w:firstRowFirstColumn="0" w:firstRowLastColumn="0" w:lastRowFirstColumn="0" w:lastRowLastColumn="0"/>
            <w:tcW w:w="0" w:type="auto"/>
            <w:hideMark/>
          </w:tcPr>
          <w:p w14:paraId="3F928519" w14:textId="7E7F6536" w:rsidR="007E6239" w:rsidRPr="004020C5" w:rsidRDefault="007E6239" w:rsidP="00B86822">
            <w:pPr>
              <w:pStyle w:val="BodySans"/>
              <w:spacing w:before="120"/>
            </w:pPr>
            <w:r w:rsidRPr="004020C5">
              <w:t>Co-occurring risk factors</w:t>
            </w:r>
          </w:p>
        </w:tc>
        <w:tc>
          <w:tcPr>
            <w:tcW w:w="0" w:type="auto"/>
            <w:hideMark/>
          </w:tcPr>
          <w:p w14:paraId="7308ECD7" w14:textId="785ABD81" w:rsidR="007E6239" w:rsidRPr="004020C5" w:rsidRDefault="007E6239" w:rsidP="007E6239">
            <w:pPr>
              <w:pStyle w:val="BodySans"/>
              <w:cnfStyle w:val="000000000000" w:firstRow="0" w:lastRow="0" w:firstColumn="0" w:lastColumn="0" w:oddVBand="0" w:evenVBand="0" w:oddHBand="0" w:evenHBand="0" w:firstRowFirstColumn="0" w:firstRowLastColumn="0" w:lastRowFirstColumn="0" w:lastRowLastColumn="0"/>
            </w:pPr>
            <w:r w:rsidRPr="004020C5">
              <w:t>Refers to domestic and family violence, parental alcohol and other drug use and parental mental health issues that are recorded as occurring for children across all child concern reports over time as well as when such issues occur within the same child concern report at one point in time.</w:t>
            </w:r>
          </w:p>
        </w:tc>
      </w:tr>
      <w:tr w:rsidR="007E6239" w:rsidRPr="004020C5" w14:paraId="650075A6" w14:textId="77777777" w:rsidTr="007E6239">
        <w:tc>
          <w:tcPr>
            <w:cnfStyle w:val="001000000000" w:firstRow="0" w:lastRow="0" w:firstColumn="1" w:lastColumn="0" w:oddVBand="0" w:evenVBand="0" w:oddHBand="0" w:evenHBand="0" w:firstRowFirstColumn="0" w:firstRowLastColumn="0" w:lastRowFirstColumn="0" w:lastRowLastColumn="0"/>
            <w:tcW w:w="0" w:type="auto"/>
            <w:hideMark/>
          </w:tcPr>
          <w:p w14:paraId="2C5594FC" w14:textId="4C24E57D" w:rsidR="007E6239" w:rsidRPr="004020C5" w:rsidRDefault="007E6239" w:rsidP="00B86822">
            <w:pPr>
              <w:pStyle w:val="BodySans"/>
              <w:spacing w:before="120"/>
            </w:pPr>
            <w:r w:rsidRPr="004020C5">
              <w:t>Domestic and family violence (DFV)</w:t>
            </w:r>
          </w:p>
        </w:tc>
        <w:tc>
          <w:tcPr>
            <w:tcW w:w="0" w:type="auto"/>
            <w:hideMark/>
          </w:tcPr>
          <w:p w14:paraId="6A4144FC" w14:textId="33A6B05D" w:rsidR="007E6239" w:rsidRPr="004020C5" w:rsidRDefault="007E6239" w:rsidP="007E6239">
            <w:pPr>
              <w:pStyle w:val="BodySans"/>
              <w:cnfStyle w:val="000000000000" w:firstRow="0" w:lastRow="0" w:firstColumn="0" w:lastColumn="0" w:oddVBand="0" w:evenVBand="0" w:oddHBand="0" w:evenHBand="0" w:firstRowFirstColumn="0" w:firstRowLastColumn="0" w:lastRowFirstColumn="0" w:lastRowLastColumn="0"/>
            </w:pPr>
            <w:r w:rsidRPr="004020C5">
              <w:t>Domestic violence is defined, in the </w:t>
            </w:r>
            <w:r w:rsidRPr="004020C5">
              <w:rPr>
                <w:i/>
                <w:iCs/>
              </w:rPr>
              <w:t>National Plan to Reduce Violence against Women</w:t>
            </w:r>
            <w:r w:rsidR="00EE65C1">
              <w:rPr>
                <w:i/>
                <w:iCs/>
              </w:rPr>
              <w:t> </w:t>
            </w:r>
            <w:r w:rsidRPr="004020C5">
              <w:rPr>
                <w:i/>
                <w:iCs/>
              </w:rPr>
              <w:t>and their Children 2010–2022</w:t>
            </w:r>
            <w:r w:rsidRPr="004020C5">
              <w:t> (the National Plan), as “acts of violence that</w:t>
            </w:r>
            <w:r w:rsidR="00EE65C1">
              <w:t> </w:t>
            </w:r>
            <w:r w:rsidRPr="004020C5">
              <w:t>occur between people who have, or have had, an intimate relationship” (Council</w:t>
            </w:r>
            <w:r w:rsidR="00EE65C1">
              <w:t> </w:t>
            </w:r>
            <w:r w:rsidRPr="004020C5">
              <w:t>of</w:t>
            </w:r>
            <w:r w:rsidR="00EE65C1">
              <w:t> </w:t>
            </w:r>
            <w:r w:rsidRPr="004020C5">
              <w:t>Australian Governments [COAG], 2010, p. 2). Domestic violence can include physical, sexual, emotional and psychological abuse. The National Plan defines family violence as a broader term that refers to “violence between family members, as well as violence between intimate partners” (COAG, 2010, p. 2). While</w:t>
            </w:r>
            <w:r w:rsidR="00EE65C1">
              <w:t> </w:t>
            </w:r>
            <w:r w:rsidRPr="004020C5">
              <w:t>this is a broad concept, for the purposes of this report, we are only looking at</w:t>
            </w:r>
            <w:r w:rsidR="00EE65C1">
              <w:t> </w:t>
            </w:r>
            <w:r w:rsidRPr="004020C5">
              <w:t>DFV based on Child Protection Helpline reports flagging domestic violence (DV), NSW Bureau of Crime Statistics and Research (BOCSAR) data “DV – Finalised charge involving DV (incl. court appearance)” and NSW Police Force data “DV</w:t>
            </w:r>
            <w:r w:rsidR="00EE65C1">
              <w:t> </w:t>
            </w:r>
            <w:r w:rsidRPr="004020C5">
              <w:t>–</w:t>
            </w:r>
            <w:r w:rsidR="00EE65C1">
              <w:t> </w:t>
            </w:r>
            <w:r w:rsidRPr="004020C5">
              <w:t>police reports where victim is partner or ex-partner of perpetrator”.</w:t>
            </w:r>
          </w:p>
        </w:tc>
      </w:tr>
      <w:tr w:rsidR="007E6239" w:rsidRPr="004020C5" w14:paraId="03A4CCAD" w14:textId="77777777" w:rsidTr="007E6239">
        <w:tc>
          <w:tcPr>
            <w:cnfStyle w:val="001000000000" w:firstRow="0" w:lastRow="0" w:firstColumn="1" w:lastColumn="0" w:oddVBand="0" w:evenVBand="0" w:oddHBand="0" w:evenHBand="0" w:firstRowFirstColumn="0" w:firstRowLastColumn="0" w:lastRowFirstColumn="0" w:lastRowLastColumn="0"/>
            <w:tcW w:w="0" w:type="auto"/>
            <w:hideMark/>
          </w:tcPr>
          <w:p w14:paraId="5DAE560B" w14:textId="07ECC8F5" w:rsidR="007E6239" w:rsidRPr="004020C5" w:rsidRDefault="007E6239" w:rsidP="00B86822">
            <w:pPr>
              <w:pStyle w:val="BodySans"/>
              <w:spacing w:before="120"/>
            </w:pPr>
            <w:r w:rsidRPr="004020C5">
              <w:t>Mental Health Ambulatory (MHAMB) data</w:t>
            </w:r>
          </w:p>
        </w:tc>
        <w:tc>
          <w:tcPr>
            <w:tcW w:w="0" w:type="auto"/>
            <w:hideMark/>
          </w:tcPr>
          <w:p w14:paraId="0427BDB0" w14:textId="0BFE6E90" w:rsidR="007E6239" w:rsidRPr="004020C5" w:rsidRDefault="007E6239" w:rsidP="007E6239">
            <w:pPr>
              <w:pStyle w:val="BodySans"/>
              <w:cnfStyle w:val="000000000000" w:firstRow="0" w:lastRow="0" w:firstColumn="0" w:lastColumn="0" w:oddVBand="0" w:evenVBand="0" w:oddHBand="0" w:evenHBand="0" w:firstRowFirstColumn="0" w:firstRowLastColumn="0" w:lastRowFirstColumn="0" w:lastRowLastColumn="0"/>
            </w:pPr>
            <w:r w:rsidRPr="004020C5">
              <w:t>Data collated by NSW Health of patients’/clients’ service contacts provided by specialised mental health services (e.g. assessment, treatment, rehabilitation or care), other than those admitted to public psychiatric hospitals or designated public psychiatric units in acute care hospitals. Data is recorded from the perspective of</w:t>
            </w:r>
            <w:r w:rsidR="00EE65C1">
              <w:t> </w:t>
            </w:r>
            <w:r w:rsidRPr="004020C5">
              <w:t>clinicians.</w:t>
            </w:r>
          </w:p>
        </w:tc>
      </w:tr>
      <w:tr w:rsidR="007E6239" w:rsidRPr="004020C5" w14:paraId="2AA5B5AC" w14:textId="77777777" w:rsidTr="00C35BE6">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44CC41D" w14:textId="1498F0C0" w:rsidR="007E6239" w:rsidRPr="004020C5" w:rsidRDefault="007E6239" w:rsidP="00B86822">
            <w:pPr>
              <w:pStyle w:val="BodySans"/>
              <w:spacing w:before="120"/>
            </w:pPr>
            <w:r w:rsidRPr="004020C5">
              <w:lastRenderedPageBreak/>
              <w:t>Mental health (MH) issues</w:t>
            </w:r>
          </w:p>
        </w:tc>
        <w:tc>
          <w:tcPr>
            <w:tcW w:w="0" w:type="auto"/>
            <w:hideMark/>
          </w:tcPr>
          <w:p w14:paraId="700C805F" w14:textId="40ACB0D2" w:rsidR="007E6239" w:rsidRPr="004020C5" w:rsidRDefault="007E6239" w:rsidP="007E6239">
            <w:pPr>
              <w:pStyle w:val="BodySans"/>
              <w:cnfStyle w:val="000000000000" w:firstRow="0" w:lastRow="0" w:firstColumn="0" w:lastColumn="0" w:oddVBand="0" w:evenVBand="0" w:oddHBand="0" w:evenHBand="0" w:firstRowFirstColumn="0" w:firstRowLastColumn="0" w:lastRowFirstColumn="0" w:lastRowLastColumn="0"/>
            </w:pPr>
            <w:r w:rsidRPr="004020C5">
              <w:t>Mental health issues refer to problems or deficits with one’s cognitive, behavioural or</w:t>
            </w:r>
            <w:r w:rsidR="0024386F">
              <w:t> </w:t>
            </w:r>
            <w:r w:rsidRPr="004020C5">
              <w:t>emotional wellbeing. The definition includes “mental disorders and psychosocial disabilities as well as other mental states associated with significant distress, impairment in functioning, or risk of self-harm” (World Health Organization [WHO], 2024). For the purposes of this report, we are only looking at parental mental health as</w:t>
            </w:r>
            <w:r w:rsidR="0024386F">
              <w:t> </w:t>
            </w:r>
            <w:r w:rsidRPr="004020C5">
              <w:t>documented in Child Protection Helpline reports, mental health ambulatory services and hospital data in the Admitted Patient Data Collection where the Major</w:t>
            </w:r>
            <w:r w:rsidR="0024386F">
              <w:t> </w:t>
            </w:r>
            <w:r w:rsidRPr="004020C5">
              <w:t>Diagnostic Category was for “mental diseases and disorders” (NSW</w:t>
            </w:r>
            <w:r w:rsidR="0024386F">
              <w:t> </w:t>
            </w:r>
            <w:r w:rsidRPr="004020C5">
              <w:t>Ministry</w:t>
            </w:r>
            <w:r w:rsidR="0024386F">
              <w:t> </w:t>
            </w:r>
            <w:r w:rsidRPr="004020C5">
              <w:t>of</w:t>
            </w:r>
            <w:r w:rsidR="00B86822">
              <w:t> </w:t>
            </w:r>
            <w:r w:rsidRPr="004020C5">
              <w:t>Health, 2020).</w:t>
            </w:r>
          </w:p>
        </w:tc>
      </w:tr>
      <w:tr w:rsidR="007E6239" w:rsidRPr="004020C5" w14:paraId="7DEEDA00" w14:textId="77777777" w:rsidTr="007E6239">
        <w:tc>
          <w:tcPr>
            <w:cnfStyle w:val="001000000000" w:firstRow="0" w:lastRow="0" w:firstColumn="1" w:lastColumn="0" w:oddVBand="0" w:evenVBand="0" w:oddHBand="0" w:evenHBand="0" w:firstRowFirstColumn="0" w:firstRowLastColumn="0" w:lastRowFirstColumn="0" w:lastRowLastColumn="0"/>
            <w:tcW w:w="0" w:type="auto"/>
            <w:hideMark/>
          </w:tcPr>
          <w:p w14:paraId="32375663" w14:textId="4A82B826" w:rsidR="007E6239" w:rsidRPr="004020C5" w:rsidRDefault="007E6239" w:rsidP="00B86822">
            <w:pPr>
              <w:pStyle w:val="BodySans"/>
              <w:spacing w:before="120"/>
            </w:pPr>
            <w:r w:rsidRPr="004020C5">
              <w:t>Out-of-home care (OOHC)</w:t>
            </w:r>
          </w:p>
        </w:tc>
        <w:tc>
          <w:tcPr>
            <w:tcW w:w="0" w:type="auto"/>
            <w:hideMark/>
          </w:tcPr>
          <w:p w14:paraId="0FF9D1B6" w14:textId="13DF752E" w:rsidR="007E6239" w:rsidRPr="004020C5" w:rsidRDefault="007E6239" w:rsidP="007E6239">
            <w:pPr>
              <w:pStyle w:val="BodySans"/>
              <w:cnfStyle w:val="000000000000" w:firstRow="0" w:lastRow="0" w:firstColumn="0" w:lastColumn="0" w:oddVBand="0" w:evenVBand="0" w:oddHBand="0" w:evenHBand="0" w:firstRowFirstColumn="0" w:firstRowLastColumn="0" w:lastRowFirstColumn="0" w:lastRowLastColumn="0"/>
            </w:pPr>
            <w:r w:rsidRPr="004020C5">
              <w:t>Out-of-home care is alternative accommodation provided to children and young people who are unable to live with their own families (Department of Communities and Justice [DCJ], 2019a).</w:t>
            </w:r>
          </w:p>
        </w:tc>
      </w:tr>
      <w:tr w:rsidR="007E6239" w:rsidRPr="004020C5" w14:paraId="75379A3E" w14:textId="77777777" w:rsidTr="007E6239">
        <w:tc>
          <w:tcPr>
            <w:cnfStyle w:val="001000000000" w:firstRow="0" w:lastRow="0" w:firstColumn="1" w:lastColumn="0" w:oddVBand="0" w:evenVBand="0" w:oddHBand="0" w:evenHBand="0" w:firstRowFirstColumn="0" w:firstRowLastColumn="0" w:lastRowFirstColumn="0" w:lastRowLastColumn="0"/>
            <w:tcW w:w="0" w:type="auto"/>
            <w:hideMark/>
          </w:tcPr>
          <w:p w14:paraId="4F2E3C9E" w14:textId="7E9F2459" w:rsidR="007E6239" w:rsidRPr="004020C5" w:rsidRDefault="007E6239" w:rsidP="00B86822">
            <w:pPr>
              <w:pStyle w:val="BodySans"/>
              <w:spacing w:before="120"/>
            </w:pPr>
            <w:r w:rsidRPr="004020C5">
              <w:t>Parental risk factors</w:t>
            </w:r>
          </w:p>
        </w:tc>
        <w:tc>
          <w:tcPr>
            <w:tcW w:w="0" w:type="auto"/>
            <w:hideMark/>
          </w:tcPr>
          <w:p w14:paraId="3BD854BD" w14:textId="57DDDE05" w:rsidR="007E6239" w:rsidRPr="004020C5" w:rsidRDefault="007E6239" w:rsidP="007E6239">
            <w:pPr>
              <w:pStyle w:val="BodySans"/>
              <w:cnfStyle w:val="000000000000" w:firstRow="0" w:lastRow="0" w:firstColumn="0" w:lastColumn="0" w:oddVBand="0" w:evenVBand="0" w:oddHBand="0" w:evenHBand="0" w:firstRowFirstColumn="0" w:firstRowLastColumn="0" w:lastRowFirstColumn="0" w:lastRowLastColumn="0"/>
            </w:pPr>
            <w:r w:rsidRPr="004020C5">
              <w:t>Indicators associated with parental domestic and family violence, mental health, and</w:t>
            </w:r>
            <w:r w:rsidR="00B86822">
              <w:t> </w:t>
            </w:r>
            <w:r w:rsidRPr="004020C5">
              <w:t>alcohol and other drug use.</w:t>
            </w:r>
          </w:p>
        </w:tc>
      </w:tr>
      <w:tr w:rsidR="007E6239" w:rsidRPr="004020C5" w14:paraId="482181D3" w14:textId="77777777" w:rsidTr="007E6239">
        <w:tc>
          <w:tcPr>
            <w:cnfStyle w:val="001000000000" w:firstRow="0" w:lastRow="0" w:firstColumn="1" w:lastColumn="0" w:oddVBand="0" w:evenVBand="0" w:oddHBand="0" w:evenHBand="0" w:firstRowFirstColumn="0" w:firstRowLastColumn="0" w:lastRowFirstColumn="0" w:lastRowLastColumn="0"/>
            <w:tcW w:w="0" w:type="auto"/>
            <w:hideMark/>
          </w:tcPr>
          <w:p w14:paraId="71253694" w14:textId="20236559" w:rsidR="007E6239" w:rsidRPr="004020C5" w:rsidRDefault="007E6239" w:rsidP="00B86822">
            <w:pPr>
              <w:pStyle w:val="BodySans"/>
              <w:spacing w:before="120"/>
            </w:pPr>
            <w:r w:rsidRPr="004020C5">
              <w:t>Restoration</w:t>
            </w:r>
          </w:p>
        </w:tc>
        <w:tc>
          <w:tcPr>
            <w:tcW w:w="0" w:type="auto"/>
            <w:hideMark/>
          </w:tcPr>
          <w:p w14:paraId="3BABC7EC" w14:textId="08F3C7A0" w:rsidR="007E6239" w:rsidRPr="004020C5" w:rsidRDefault="007E6239" w:rsidP="007E6239">
            <w:pPr>
              <w:pStyle w:val="BodySans"/>
              <w:cnfStyle w:val="000000000000" w:firstRow="0" w:lastRow="0" w:firstColumn="0" w:lastColumn="0" w:oddVBand="0" w:evenVBand="0" w:oddHBand="0" w:evenHBand="0" w:firstRowFirstColumn="0" w:firstRowLastColumn="0" w:lastRowFirstColumn="0" w:lastRowLastColumn="0"/>
            </w:pPr>
            <w:r w:rsidRPr="004020C5">
              <w:t>A child or young person leaves out-of-home care and returns to live in the care of their parents permanently.</w:t>
            </w:r>
          </w:p>
        </w:tc>
      </w:tr>
      <w:tr w:rsidR="007E6239" w:rsidRPr="004020C5" w14:paraId="4F057E71" w14:textId="77777777" w:rsidTr="007E6239">
        <w:tc>
          <w:tcPr>
            <w:cnfStyle w:val="001000000000" w:firstRow="0" w:lastRow="0" w:firstColumn="1" w:lastColumn="0" w:oddVBand="0" w:evenVBand="0" w:oddHBand="0" w:evenHBand="0" w:firstRowFirstColumn="0" w:firstRowLastColumn="0" w:lastRowFirstColumn="0" w:lastRowLastColumn="0"/>
            <w:tcW w:w="0" w:type="auto"/>
            <w:hideMark/>
          </w:tcPr>
          <w:p w14:paraId="487E545E" w14:textId="0B3DF2C3" w:rsidR="007E6239" w:rsidRPr="004020C5" w:rsidRDefault="007E6239" w:rsidP="00B86822">
            <w:pPr>
              <w:pStyle w:val="BodySans"/>
              <w:spacing w:before="120"/>
            </w:pPr>
            <w:r w:rsidRPr="004020C5">
              <w:t>Risk of Significant Harm (RoSH)</w:t>
            </w:r>
          </w:p>
        </w:tc>
        <w:tc>
          <w:tcPr>
            <w:tcW w:w="0" w:type="auto"/>
            <w:hideMark/>
          </w:tcPr>
          <w:p w14:paraId="31777663" w14:textId="5EF18CB2" w:rsidR="007E6239" w:rsidRPr="004020C5" w:rsidRDefault="007E6239" w:rsidP="007E6239">
            <w:pPr>
              <w:pStyle w:val="BodySans"/>
              <w:cnfStyle w:val="000000000000" w:firstRow="0" w:lastRow="0" w:firstColumn="0" w:lastColumn="0" w:oddVBand="0" w:evenVBand="0" w:oddHBand="0" w:evenHBand="0" w:firstRowFirstColumn="0" w:firstRowLastColumn="0" w:lastRowFirstColumn="0" w:lastRowLastColumn="0"/>
            </w:pPr>
            <w:r w:rsidRPr="004020C5">
              <w:t xml:space="preserve"> (RoSH) – A child or young person is assessed as at RoSH if the circumstances that are causing concern for the safety, welfare or wellbeing of the child or young person are present to a significant extent (DCJ, 2019b). This means it is sufficiently serious to</w:t>
            </w:r>
            <w:r w:rsidR="00B86822">
              <w:t> </w:t>
            </w:r>
            <w:r w:rsidRPr="004020C5">
              <w:t>warrant a response by a statutory authority, irrespective of a family’s consent.</w:t>
            </w:r>
          </w:p>
        </w:tc>
      </w:tr>
      <w:tr w:rsidR="007E6239" w:rsidRPr="004020C5" w14:paraId="1CBFB70F" w14:textId="77777777" w:rsidTr="007E6239">
        <w:tc>
          <w:tcPr>
            <w:cnfStyle w:val="001000000000" w:firstRow="0" w:lastRow="0" w:firstColumn="1" w:lastColumn="0" w:oddVBand="0" w:evenVBand="0" w:oddHBand="0" w:evenHBand="0" w:firstRowFirstColumn="0" w:firstRowLastColumn="0" w:lastRowFirstColumn="0" w:lastRowLastColumn="0"/>
            <w:tcW w:w="0" w:type="auto"/>
            <w:hideMark/>
          </w:tcPr>
          <w:p w14:paraId="20D0A406" w14:textId="1648F6CC" w:rsidR="007E6239" w:rsidRPr="004020C5" w:rsidRDefault="007E6239" w:rsidP="00B86822">
            <w:pPr>
              <w:pStyle w:val="BodySans"/>
              <w:spacing w:before="120"/>
            </w:pPr>
            <w:r w:rsidRPr="004020C5">
              <w:t>Statistical Area Level 2 (SA2)</w:t>
            </w:r>
          </w:p>
        </w:tc>
        <w:tc>
          <w:tcPr>
            <w:tcW w:w="0" w:type="auto"/>
            <w:hideMark/>
          </w:tcPr>
          <w:p w14:paraId="7F312E07" w14:textId="42C3852D" w:rsidR="007E6239" w:rsidRPr="004020C5" w:rsidRDefault="007E6239" w:rsidP="007E6239">
            <w:pPr>
              <w:pStyle w:val="BodySans"/>
              <w:cnfStyle w:val="000000000000" w:firstRow="0" w:lastRow="0" w:firstColumn="0" w:lastColumn="0" w:oddVBand="0" w:evenVBand="0" w:oddHBand="0" w:evenHBand="0" w:firstRowFirstColumn="0" w:firstRowLastColumn="0" w:lastRowFirstColumn="0" w:lastRowLastColumn="0"/>
            </w:pPr>
            <w:r w:rsidRPr="004020C5">
              <w:t>Under the Australian Statistical Geography Standard (ASGS) 2016, an SA2 is</w:t>
            </w:r>
            <w:r w:rsidR="00B86822">
              <w:t> </w:t>
            </w:r>
            <w:r w:rsidRPr="004020C5">
              <w:t>a</w:t>
            </w:r>
            <w:r w:rsidR="00B86822">
              <w:t> </w:t>
            </w:r>
            <w:r w:rsidRPr="004020C5">
              <w:t>designated region with a pre-determined population describing location which represents a medium-sized general-purpose area aggregated from whole Statistical Areas Level 1 (SA1s; Australian Bureau of Statistics [ABS], 2016a). The purpose of</w:t>
            </w:r>
            <w:r w:rsidR="00B86822">
              <w:t> </w:t>
            </w:r>
            <w:r w:rsidRPr="004020C5">
              <w:t>an SA2 is to represent a community that interacts together socially and economically. SA2s generally have a population between 3,000 and 25,000 with an</w:t>
            </w:r>
            <w:r w:rsidR="00F52B2A">
              <w:t> </w:t>
            </w:r>
            <w:r w:rsidRPr="004020C5">
              <w:t>average of about 10,000 people. SA2s in remote and regional areas generally have smaller populations than those in urban areas. The SA2s used in this report are 2016</w:t>
            </w:r>
            <w:r w:rsidR="00F52B2A">
              <w:t> </w:t>
            </w:r>
            <w:r w:rsidRPr="004020C5">
              <w:t>boundaries.</w:t>
            </w:r>
          </w:p>
        </w:tc>
      </w:tr>
    </w:tbl>
    <w:p w14:paraId="01DE7F50" w14:textId="4BCFD0DF" w:rsidR="004020C5" w:rsidRPr="004020C5" w:rsidRDefault="004020C5" w:rsidP="004020C5">
      <w:pPr>
        <w:pStyle w:val="H2SectionTitle"/>
      </w:pPr>
      <w:bookmarkStart w:id="6" w:name="_Toc191286632"/>
      <w:r w:rsidRPr="004020C5">
        <w:lastRenderedPageBreak/>
        <w:t>Executive summary</w:t>
      </w:r>
      <w:bookmarkEnd w:id="6"/>
    </w:p>
    <w:p w14:paraId="4FC6D0C4" w14:textId="6E91A364" w:rsidR="004020C5" w:rsidRPr="004020C5" w:rsidRDefault="004020C5" w:rsidP="004020C5">
      <w:pPr>
        <w:pStyle w:val="BodySerif"/>
      </w:pPr>
      <w:r w:rsidRPr="004020C5">
        <w:t>Families with complex needs that include domestic and family violence (DFV), alcohol and other drug (AOD) issues and mental health (MH) issues, have been identified as a national priority in </w:t>
      </w:r>
      <w:r w:rsidRPr="004020C5">
        <w:rPr>
          <w:i/>
          <w:iCs/>
        </w:rPr>
        <w:t>Safe and Supported: The National Framework for Protecting Australia’s Children 2021–2031</w:t>
      </w:r>
      <w:r w:rsidRPr="004020C5">
        <w:t> (Department of Social Services [DSS], 2021). These complex needs are considered key parental behavioural risk factors to children’s safety (Heward-Belle et al., 2020). What is less well understood is the degree to which these factors intersect and interact with each other within child protection and out</w:t>
      </w:r>
      <w:r w:rsidR="001645B1">
        <w:noBreakHyphen/>
      </w:r>
      <w:r w:rsidRPr="004020C5">
        <w:t>of</w:t>
      </w:r>
      <w:r w:rsidR="001645B1">
        <w:noBreakHyphen/>
      </w:r>
      <w:r w:rsidRPr="004020C5">
        <w:t>home care (Humphreys et al., 2018). Approaches to addressing DFV, AOD issues and MH issues have historically been siloed and adult-focused, with efforts shifting only recently towards examination of intersections in the context of child protection (Holly &amp; Horvath, 2012). Moreover, our understanding of the prevalence and service needs of</w:t>
      </w:r>
      <w:r w:rsidR="001645B1">
        <w:t> </w:t>
      </w:r>
      <w:r w:rsidRPr="004020C5">
        <w:t>Australian families facing multiple risk factors and child protection involvement has been limited by a lack of studies examining comprehensive, population-level data (Wright et al., 2021). Linked administrative data provides a critical opportunity to</w:t>
      </w:r>
      <w:r w:rsidR="001645B1">
        <w:t> </w:t>
      </w:r>
      <w:r w:rsidRPr="004020C5">
        <w:t>build a broader understanding of the needs of these families and the services required to support them.</w:t>
      </w:r>
    </w:p>
    <w:p w14:paraId="1943CB98" w14:textId="7DF66808" w:rsidR="004020C5" w:rsidRPr="004020C5" w:rsidRDefault="004020C5" w:rsidP="004020C5">
      <w:pPr>
        <w:pStyle w:val="H3"/>
      </w:pPr>
      <w:bookmarkStart w:id="7" w:name="_Toc191286633"/>
      <w:r w:rsidRPr="004020C5">
        <w:t>Study aims</w:t>
      </w:r>
      <w:bookmarkEnd w:id="7"/>
    </w:p>
    <w:p w14:paraId="58E64F46" w14:textId="601A1C84" w:rsidR="004020C5" w:rsidRPr="004020C5" w:rsidRDefault="004020C5" w:rsidP="00EE65C1">
      <w:pPr>
        <w:pStyle w:val="BodySerif"/>
      </w:pPr>
      <w:r w:rsidRPr="004020C5">
        <w:t>The aim of this research is to produce New South Wales (NSW) prevalence statistics to build the evidence base for children and young people involved with child protection services, whose parents are impacted by these intersecting risk factors. Analyses were conducted on the NSW Human Services Dataset (HSDS), which contains linked administrative data on children born or living in NSW since 1 January 1990 (</w:t>
      </w:r>
      <w:r w:rsidRPr="004020C5">
        <w:rPr>
          <w:i/>
          <w:iCs/>
        </w:rPr>
        <w:t>n</w:t>
      </w:r>
      <w:r w:rsidRPr="004020C5">
        <w:t> = 3,379,922) and family members, with over 8 million records, representing 135 datasets from 11 government agencies, over a 30-year period (HSDS, 2020 version). For the purposes of this report, analyses are restricted to children who had their first ever report to the NSW Child Protection Helpline (the Helpline) from January 2004 to June 2018 (</w:t>
      </w:r>
      <w:r w:rsidRPr="004020C5">
        <w:rPr>
          <w:i/>
          <w:iCs/>
        </w:rPr>
        <w:t>n </w:t>
      </w:r>
      <w:r w:rsidRPr="004020C5">
        <w:t>= 584,365) and the characteristics of their parents. The</w:t>
      </w:r>
      <w:r w:rsidR="00EE65C1">
        <w:t> </w:t>
      </w:r>
      <w:r w:rsidRPr="004020C5">
        <w:t>data</w:t>
      </w:r>
      <w:r w:rsidR="00EE65C1">
        <w:t> </w:t>
      </w:r>
      <w:r w:rsidRPr="004020C5">
        <w:t>contain systematic records of parental DFV, AOD use and MH issues in the Helpline reports (otherwise</w:t>
      </w:r>
      <w:r w:rsidR="00EE65C1">
        <w:t> </w:t>
      </w:r>
      <w:r w:rsidRPr="004020C5">
        <w:t>referred to</w:t>
      </w:r>
      <w:r w:rsidR="001A2029">
        <w:t> </w:t>
      </w:r>
      <w:r w:rsidRPr="004020C5">
        <w:t>as</w:t>
      </w:r>
      <w:r w:rsidR="001A2029">
        <w:t> </w:t>
      </w:r>
      <w:r w:rsidRPr="004020C5">
        <w:t>“child concern reports”) derived from the current ChildStory and legacy KiDS management information systems.</w:t>
      </w:r>
      <w:r w:rsidR="001645B1">
        <w:rPr>
          <w:rStyle w:val="FootnoteReference"/>
        </w:rPr>
        <w:footnoteReference w:id="1"/>
      </w:r>
      <w:r w:rsidR="001645B1">
        <w:t xml:space="preserve"> </w:t>
      </w:r>
      <w:r w:rsidRPr="004020C5">
        <w:t>The</w:t>
      </w:r>
      <w:r w:rsidR="001A2029">
        <w:t> </w:t>
      </w:r>
      <w:r w:rsidRPr="004020C5">
        <w:t>12-month period after the first child concern report was received was the follow-up period for</w:t>
      </w:r>
      <w:r w:rsidR="00EE65C1">
        <w:t> </w:t>
      </w:r>
      <w:r w:rsidRPr="004020C5">
        <w:t>examining</w:t>
      </w:r>
      <w:r w:rsidR="001645B1">
        <w:t> </w:t>
      </w:r>
      <w:r w:rsidRPr="004020C5">
        <w:t>the co</w:t>
      </w:r>
      <w:r w:rsidR="001A2029">
        <w:noBreakHyphen/>
      </w:r>
      <w:r w:rsidRPr="004020C5">
        <w:t>occurrence of parental DFV, AOD use, MH issues and children’s entry into OOHC. Notwithstanding</w:t>
      </w:r>
      <w:r w:rsidR="001645B1">
        <w:t> </w:t>
      </w:r>
      <w:r w:rsidRPr="004020C5">
        <w:t>the limitations of</w:t>
      </w:r>
      <w:r w:rsidR="001A2029">
        <w:t> </w:t>
      </w:r>
      <w:r w:rsidRPr="004020C5">
        <w:t>administrative data whereby issues and risk factors may be underestimated because</w:t>
      </w:r>
      <w:r w:rsidR="001645B1">
        <w:t> </w:t>
      </w:r>
      <w:r w:rsidRPr="004020C5">
        <w:t>of</w:t>
      </w:r>
      <w:r w:rsidR="001645B1">
        <w:t> </w:t>
      </w:r>
      <w:r w:rsidRPr="004020C5">
        <w:t>how the data are recorded in</w:t>
      </w:r>
      <w:r w:rsidR="001A2029">
        <w:t> </w:t>
      </w:r>
      <w:r w:rsidRPr="004020C5">
        <w:t>ChildStory and KiDS, these data capture, on a broad scale, families’ interactions</w:t>
      </w:r>
      <w:r w:rsidR="001645B1">
        <w:t> </w:t>
      </w:r>
      <w:r w:rsidRPr="004020C5">
        <w:t>with the child</w:t>
      </w:r>
      <w:r w:rsidR="001645B1">
        <w:t> </w:t>
      </w:r>
      <w:r w:rsidRPr="004020C5">
        <w:t>protection</w:t>
      </w:r>
      <w:r w:rsidR="001645B1">
        <w:t> </w:t>
      </w:r>
      <w:r w:rsidRPr="004020C5">
        <w:t>system.</w:t>
      </w:r>
      <w:r w:rsidR="001645B1">
        <w:rPr>
          <w:rStyle w:val="FootnoteReference"/>
        </w:rPr>
        <w:footnoteReference w:id="2"/>
      </w:r>
    </w:p>
    <w:p w14:paraId="167C0E18" w14:textId="76279A9A" w:rsidR="004020C5" w:rsidRPr="004020C5" w:rsidRDefault="004020C5" w:rsidP="004020C5">
      <w:pPr>
        <w:pStyle w:val="H3"/>
      </w:pPr>
      <w:bookmarkStart w:id="8" w:name="_Toc191286634"/>
      <w:r w:rsidRPr="004020C5">
        <w:t>Key findings</w:t>
      </w:r>
      <w:bookmarkEnd w:id="8"/>
    </w:p>
    <w:p w14:paraId="30356425" w14:textId="6B7E3B2D" w:rsidR="004020C5" w:rsidRPr="004020C5" w:rsidRDefault="004020C5" w:rsidP="004020C5">
      <w:pPr>
        <w:pStyle w:val="BodySerif"/>
      </w:pPr>
      <w:r w:rsidRPr="004020C5">
        <w:t>Key findings from the analysis that enhance our understanding of the experiences of families with co-occurrence of</w:t>
      </w:r>
      <w:r w:rsidR="001A2029">
        <w:t> </w:t>
      </w:r>
      <w:r w:rsidRPr="004020C5">
        <w:t>parental DFV with AOD use and/or MH issues include:</w:t>
      </w:r>
    </w:p>
    <w:p w14:paraId="0B4FA67A" w14:textId="788FB59C" w:rsidR="004020C5" w:rsidRPr="004020C5" w:rsidRDefault="004020C5" w:rsidP="004020C5">
      <w:pPr>
        <w:pStyle w:val="BodySerifBullet1"/>
      </w:pPr>
      <w:r w:rsidRPr="004020C5">
        <w:t>Of the children who had a first report to the Helpline between January 2004 and June 2018 (</w:t>
      </w:r>
      <w:r w:rsidRPr="004020C5">
        <w:rPr>
          <w:i/>
          <w:iCs/>
        </w:rPr>
        <w:t>n</w:t>
      </w:r>
      <w:r w:rsidRPr="004020C5">
        <w:t> = 584,365), 193,705 children (about 33%) had either parental DFV or DFV alongside parental AOD use and/or MH issues as identified concerns in Helpline reports in the subsequent 12 months. The most frequent concern was DFV on</w:t>
      </w:r>
      <w:r w:rsidR="001A2029">
        <w:t> </w:t>
      </w:r>
      <w:r w:rsidRPr="004020C5">
        <w:t>its own (82%). The most common concern identified alongside DFV was parental AOD use (16%).</w:t>
      </w:r>
    </w:p>
    <w:p w14:paraId="09B2514B" w14:textId="102E57E5" w:rsidR="004020C5" w:rsidRPr="004020C5" w:rsidRDefault="004020C5" w:rsidP="004020C5">
      <w:pPr>
        <w:pStyle w:val="BodySerifBullet1"/>
      </w:pPr>
      <w:r w:rsidRPr="004020C5">
        <w:t>Children whose families had more co-occurring risk factors for DFV or DFV alongside parental AOD use and/or MH issues were younger at first report, had more child concern reports and more reports that met the threshold for Risk of Significant Harm (RoSH) throughout their interactions with the child protection system.</w:t>
      </w:r>
    </w:p>
    <w:p w14:paraId="18E55BDA" w14:textId="5CEEB1CC" w:rsidR="004020C5" w:rsidRPr="004020C5" w:rsidRDefault="004020C5" w:rsidP="004020C5">
      <w:pPr>
        <w:pStyle w:val="H4"/>
      </w:pPr>
      <w:r w:rsidRPr="004020C5">
        <w:lastRenderedPageBreak/>
        <w:t>Parents’ interactions with services beyond child protection</w:t>
      </w:r>
    </w:p>
    <w:p w14:paraId="3201771D" w14:textId="7A90BC3A" w:rsidR="004020C5" w:rsidRPr="004020C5" w:rsidRDefault="004020C5" w:rsidP="004020C5">
      <w:pPr>
        <w:pStyle w:val="BodySerifBullet1"/>
      </w:pPr>
      <w:r w:rsidRPr="004020C5">
        <w:t>For children in the child protection system that could be matched with their parents (</w:t>
      </w:r>
      <w:r w:rsidRPr="004020C5">
        <w:rPr>
          <w:i/>
          <w:iCs/>
        </w:rPr>
        <w:t>n</w:t>
      </w:r>
      <w:r w:rsidRPr="004020C5">
        <w:t> = 330,168): when</w:t>
      </w:r>
      <w:r w:rsidR="00EE65C1">
        <w:t> </w:t>
      </w:r>
      <w:r w:rsidRPr="004020C5">
        <w:t>parental DFV, AOD use and MH issues were identified in child concern reports, there were often markers</w:t>
      </w:r>
      <w:r w:rsidR="00EE65C1">
        <w:t> </w:t>
      </w:r>
      <w:r w:rsidRPr="004020C5">
        <w:t>of</w:t>
      </w:r>
      <w:r w:rsidR="001A2029">
        <w:t> </w:t>
      </w:r>
      <w:r w:rsidRPr="004020C5">
        <w:t>these issues in parental records in other services and systems before the children’s first Helpline</w:t>
      </w:r>
      <w:r w:rsidR="00EE65C1">
        <w:t> </w:t>
      </w:r>
      <w:r w:rsidRPr="004020C5">
        <w:t>report. These</w:t>
      </w:r>
      <w:r w:rsidR="00EE65C1">
        <w:t> </w:t>
      </w:r>
      <w:r w:rsidRPr="004020C5">
        <w:t>records included court appearances, police reports, use of mental health services, and</w:t>
      </w:r>
      <w:r w:rsidR="00EE65C1">
        <w:t> </w:t>
      </w:r>
      <w:r w:rsidRPr="004020C5">
        <w:t>admissions to hospital for MH issues or AOD use. Over 40 per cent of the 127,884 children reported to</w:t>
      </w:r>
      <w:r w:rsidR="00EE65C1">
        <w:t> </w:t>
      </w:r>
      <w:r w:rsidRPr="004020C5">
        <w:t>child protection who experienced DFV (either alone or in conjunction with parental AOD use and/or MH issues) in</w:t>
      </w:r>
      <w:r w:rsidR="00EE65C1">
        <w:t> </w:t>
      </w:r>
      <w:r w:rsidRPr="004020C5">
        <w:t>the 12 months after the first report had at least one parent (usually the mother) who was previously recorded in police reports as a victim of</w:t>
      </w:r>
      <w:r w:rsidR="001A2029">
        <w:t> </w:t>
      </w:r>
      <w:r w:rsidRPr="004020C5">
        <w:t>a</w:t>
      </w:r>
      <w:r w:rsidR="001A2029">
        <w:t> </w:t>
      </w:r>
      <w:r w:rsidRPr="004020C5">
        <w:t>DFV incident.</w:t>
      </w:r>
    </w:p>
    <w:p w14:paraId="7D4360DC" w14:textId="2F3642AD" w:rsidR="004020C5" w:rsidRPr="004020C5" w:rsidRDefault="004020C5" w:rsidP="004020C5">
      <w:pPr>
        <w:pStyle w:val="BodySerifBullet1"/>
      </w:pPr>
      <w:r w:rsidRPr="004020C5">
        <w:t>A greater number of the three co-occurring risk factors flagged in child concern reports was generally associated with more parental court appearances, police victim reports for DFV incidents, use of mental health services, and hospitalisations for AOD use or MH issues.</w:t>
      </w:r>
    </w:p>
    <w:p w14:paraId="1CE7C326" w14:textId="7EF79933" w:rsidR="004020C5" w:rsidRPr="004020C5" w:rsidRDefault="004020C5" w:rsidP="004020C5">
      <w:pPr>
        <w:pStyle w:val="BodySerifBullet1"/>
      </w:pPr>
      <w:r w:rsidRPr="004020C5">
        <w:t>Where parental AOD use and/or MH issues co-occurred with DFV as recorded in child concern reports, associations of parents’ use of mental health services as well as hospitalisations due to AOD use and/or MH issues were observed. However, there were instances in which there was a mismatch between parental issues flagged in child concern reports and parents’ interactions with social services. For example, children who had flags for DFV-only in child concern reports also had parents who had accessed mental health services or were hospitalised for AOD use and/or MH issues prior to the first Helpline report. Only 26 per cent of children with flags for parental MH issues in their child concern reports had at least one parent with a record of access to</w:t>
      </w:r>
      <w:r w:rsidR="001A2029">
        <w:t> </w:t>
      </w:r>
      <w:r w:rsidRPr="004020C5">
        <w:t>mental health services prior to the first Helpline report.</w:t>
      </w:r>
    </w:p>
    <w:p w14:paraId="02363996" w14:textId="78B7FE51" w:rsidR="004020C5" w:rsidRPr="004020C5" w:rsidRDefault="004020C5" w:rsidP="004020C5">
      <w:pPr>
        <w:pStyle w:val="BodySerifBullet1"/>
      </w:pPr>
      <w:r w:rsidRPr="004020C5">
        <w:t>Among this group of parents, engagement in the targeted family support program, Brighter Futures,</w:t>
      </w:r>
      <w:r w:rsidR="001645B1">
        <w:rPr>
          <w:rStyle w:val="FootnoteReference"/>
        </w:rPr>
        <w:footnoteReference w:id="3"/>
      </w:r>
      <w:r w:rsidRPr="004020C5">
        <w:t> prior to</w:t>
      </w:r>
      <w:r w:rsidR="001A2029">
        <w:t> </w:t>
      </w:r>
      <w:r w:rsidRPr="004020C5">
        <w:t>the children’s first child concern report was low, and there was a higher representation of mothers (10%) compared with other parents i.e. fathers (4%). More parents took part in the Brighter Futures program in</w:t>
      </w:r>
      <w:r w:rsidR="001A2029">
        <w:t> </w:t>
      </w:r>
      <w:r w:rsidRPr="004020C5">
        <w:t>metropolitan areas compared to regional or remote areas.</w:t>
      </w:r>
    </w:p>
    <w:p w14:paraId="754BEC7B" w14:textId="056C99AD" w:rsidR="004020C5" w:rsidRPr="004020C5" w:rsidRDefault="004020C5" w:rsidP="004020C5">
      <w:pPr>
        <w:pStyle w:val="H4"/>
      </w:pPr>
      <w:r w:rsidRPr="004020C5">
        <w:t>Risk factors within region classification and geographic areas</w:t>
      </w:r>
    </w:p>
    <w:p w14:paraId="7CBC2557" w14:textId="26813387" w:rsidR="004020C5" w:rsidRPr="004020C5" w:rsidRDefault="004020C5" w:rsidP="004020C5">
      <w:pPr>
        <w:pStyle w:val="BodySerifBullet1"/>
      </w:pPr>
      <w:r w:rsidRPr="004020C5">
        <w:t>Statistical Area Level 2 (SA2) location was available for a subsample of children experiencing parental DFV or</w:t>
      </w:r>
      <w:r w:rsidR="001A2029">
        <w:t> </w:t>
      </w:r>
      <w:r w:rsidRPr="004020C5">
        <w:t>DFV alongside parental AOD use and/or MH issues (</w:t>
      </w:r>
      <w:r w:rsidRPr="004020C5">
        <w:rPr>
          <w:i/>
          <w:iCs/>
        </w:rPr>
        <w:t>n</w:t>
      </w:r>
      <w:r w:rsidRPr="004020C5">
        <w:t> = 103,532 children), and this information was used to</w:t>
      </w:r>
      <w:r w:rsidR="001A2029">
        <w:t> </w:t>
      </w:r>
      <w:r w:rsidRPr="004020C5">
        <w:t>classify SA2 by region types (metropolitan, inner regional, outer regional, remote/very remote). Children</w:t>
      </w:r>
      <w:r w:rsidR="00EE65C1">
        <w:t> </w:t>
      </w:r>
      <w:r w:rsidRPr="004020C5">
        <w:t>flagged for DFV-only in child concern reports were most common across region types (over 74%), and</w:t>
      </w:r>
      <w:r w:rsidR="001A2029">
        <w:t> </w:t>
      </w:r>
      <w:r w:rsidRPr="004020C5">
        <w:t>percentages of children decreased with more co-occurring risk factors. The percentage of children flagged for all three risk factors (DFV-AOD-MH) were similar across all region types at about 2 to 4 per cent.</w:t>
      </w:r>
    </w:p>
    <w:p w14:paraId="58F178B5" w14:textId="7D421A90" w:rsidR="004020C5" w:rsidRPr="004020C5" w:rsidRDefault="004020C5" w:rsidP="004020C5">
      <w:pPr>
        <w:pStyle w:val="BodySerifBullet1"/>
      </w:pPr>
      <w:r w:rsidRPr="004020C5">
        <w:t>Families reported to child protection for parental DFV with AOD use and/or MH issues most frequently resided in certain areas of NSW. SA2s that appeared in the top quartile for all categories of DFV-only, DFV-AOD/MH, DFV-AOD-MH, and all combinations are the Sydney metropolitan SA2 areas of Blacktown (East) – Kings Park, Jamisontown – South Penrith, Kingswood – Werrington, Liverpool, Mount Druitt – Whalan, Rosemeadow</w:t>
      </w:r>
      <w:r w:rsidR="00EE65C1">
        <w:t> </w:t>
      </w:r>
      <w:r w:rsidRPr="004020C5">
        <w:t>– Glen Alpine, and St Marys – North St Marys; metropolitan SA2 areas outside Sydney of</w:t>
      </w:r>
      <w:r w:rsidR="00EE65C1">
        <w:t> </w:t>
      </w:r>
      <w:r w:rsidRPr="004020C5">
        <w:t>Bateau</w:t>
      </w:r>
      <w:r w:rsidR="00EE65C1">
        <w:t> </w:t>
      </w:r>
      <w:r w:rsidRPr="004020C5">
        <w:t>Bay</w:t>
      </w:r>
      <w:r w:rsidR="00EE65C1">
        <w:t> </w:t>
      </w:r>
      <w:r w:rsidRPr="004020C5">
        <w:t>–</w:t>
      </w:r>
      <w:r w:rsidR="00EE65C1">
        <w:t> </w:t>
      </w:r>
      <w:r w:rsidRPr="004020C5">
        <w:t>Killarney Vale, Gosford – Springfield, Warnervale – Wadalba, and inner regional SA2 areas</w:t>
      </w:r>
      <w:r w:rsidR="00EE65C1">
        <w:t> </w:t>
      </w:r>
      <w:r w:rsidRPr="004020C5">
        <w:t>of</w:t>
      </w:r>
      <w:r w:rsidR="00EE65C1">
        <w:t> </w:t>
      </w:r>
      <w:r w:rsidRPr="004020C5">
        <w:t>Dubbo</w:t>
      </w:r>
      <w:r w:rsidR="00EE65C1">
        <w:t> </w:t>
      </w:r>
      <w:r w:rsidRPr="004020C5">
        <w:t>–</w:t>
      </w:r>
      <w:r w:rsidR="00EE65C1">
        <w:t> </w:t>
      </w:r>
      <w:r w:rsidRPr="004020C5">
        <w:t>South,</w:t>
      </w:r>
      <w:r w:rsidR="00EE65C1">
        <w:t> </w:t>
      </w:r>
      <w:r w:rsidRPr="004020C5">
        <w:t>Orange – North, Tamworth – East, and Wagga Wagga – South.</w:t>
      </w:r>
    </w:p>
    <w:p w14:paraId="42B0AC91" w14:textId="56019078" w:rsidR="004020C5" w:rsidRPr="004020C5" w:rsidRDefault="004020C5" w:rsidP="00D157E6">
      <w:pPr>
        <w:pStyle w:val="H4"/>
        <w:keepLines/>
      </w:pPr>
      <w:r w:rsidRPr="004020C5">
        <w:lastRenderedPageBreak/>
        <w:t>Children’s first entry into OOHC</w:t>
      </w:r>
    </w:p>
    <w:p w14:paraId="0ED91756" w14:textId="005E25BD" w:rsidR="004020C5" w:rsidRPr="004020C5" w:rsidRDefault="004020C5" w:rsidP="00D157E6">
      <w:pPr>
        <w:pStyle w:val="BodySerifBullet1"/>
        <w:keepNext/>
        <w:keepLines/>
      </w:pPr>
      <w:r w:rsidRPr="004020C5">
        <w:t>Of the 584,365 children who had a first child concern report between 2004 and 2018, 5 per cent (</w:t>
      </w:r>
      <w:r w:rsidRPr="004020C5">
        <w:rPr>
          <w:i/>
          <w:iCs/>
        </w:rPr>
        <w:t>n</w:t>
      </w:r>
      <w:r w:rsidRPr="004020C5">
        <w:t> = 28,325) entered out-of-home care (OOHC) at least once, and 2 per cent (</w:t>
      </w:r>
      <w:r w:rsidRPr="004020C5">
        <w:rPr>
          <w:i/>
          <w:iCs/>
        </w:rPr>
        <w:t>n</w:t>
      </w:r>
      <w:r w:rsidRPr="004020C5">
        <w:t> = 11,746) entered OOHC for the first time in</w:t>
      </w:r>
      <w:r w:rsidR="001A2029">
        <w:t> </w:t>
      </w:r>
      <w:r w:rsidRPr="004020C5">
        <w:t>the 12 months after the first child concern report. Most placements were into foster care (65%), followed by</w:t>
      </w:r>
      <w:r w:rsidR="001A2029">
        <w:t> </w:t>
      </w:r>
      <w:r w:rsidRPr="004020C5">
        <w:t>kinship care</w:t>
      </w:r>
      <w:r w:rsidR="001645B1">
        <w:rPr>
          <w:rStyle w:val="FootnoteReference"/>
        </w:rPr>
        <w:footnoteReference w:id="4"/>
      </w:r>
      <w:r w:rsidRPr="004020C5">
        <w:t> (33%) and residential care (2%). Compared to children who did not enter OOHC, children who entered OOHC were younger at first child concern report, had more child concern reports and total reports considered RoSH. In addition, the average number of co-occurring risk factors related to parental DFV, AOD use and MH issues was higher for children who had entered OOHC than those who did not.</w:t>
      </w:r>
    </w:p>
    <w:p w14:paraId="3960FDDB" w14:textId="2AC114F4" w:rsidR="004020C5" w:rsidRPr="004020C5" w:rsidRDefault="004020C5" w:rsidP="004020C5">
      <w:pPr>
        <w:pStyle w:val="BodySerifBullet1"/>
      </w:pPr>
      <w:r w:rsidRPr="004020C5">
        <w:t>In binomial logistic regressions using generalised estimating equations, the odds of entering OOHC within a</w:t>
      </w:r>
      <w:r w:rsidR="001A2029">
        <w:t> </w:t>
      </w:r>
      <w:r w:rsidRPr="004020C5">
        <w:t>year of first child concern report increased with more co-occurring risk factors related to parental AOD use and/or MH issues compared to children who experienced DFV alone: 6.6 times (</w:t>
      </w:r>
      <w:r w:rsidRPr="004020C5">
        <w:rPr>
          <w:i/>
          <w:iCs/>
        </w:rPr>
        <w:t>OR</w:t>
      </w:r>
      <w:r w:rsidRPr="004020C5">
        <w:t> = 6.58, 95%CI [5.76, 7.51]) for two risk factors (DFV-AOD/MH) and 22.2 times (</w:t>
      </w:r>
      <w:r w:rsidRPr="004020C5">
        <w:rPr>
          <w:i/>
          <w:iCs/>
        </w:rPr>
        <w:t>OR</w:t>
      </w:r>
      <w:r w:rsidRPr="004020C5">
        <w:t> = 22.16, 95%CI [18.87, 26.03]) for three risk factors (DFV-AOD-MH). When other variables in the model such as regionality, sex, age at first report, total RoSH reports, year of first report, sibling order and total number of siblings were controlled for, each additional risk factor was associated with a change in the odds of entering OOHC within a year of the first child concern report when compared to children who experienced DFV alone: a decrease by 0.53 times (</w:t>
      </w:r>
      <w:r w:rsidRPr="004020C5">
        <w:rPr>
          <w:i/>
          <w:iCs/>
        </w:rPr>
        <w:t>OR</w:t>
      </w:r>
      <w:r w:rsidRPr="004020C5">
        <w:t> = 0.53, 95%CI [0.43, 0.65]) for DFV-AOD/MH and an increase by 2.1 times (</w:t>
      </w:r>
      <w:r w:rsidRPr="004020C5">
        <w:rPr>
          <w:i/>
          <w:iCs/>
        </w:rPr>
        <w:t>OR</w:t>
      </w:r>
      <w:r w:rsidRPr="004020C5">
        <w:t> = 2.13, 95%CI [1.70, 2.66]) for DFV-AOD-MH. This suggests that the period from the first report to entry into OOHC for children experiencing all three co</w:t>
      </w:r>
      <w:r w:rsidR="001A2029">
        <w:noBreakHyphen/>
      </w:r>
      <w:r w:rsidRPr="004020C5">
        <w:t>occurring risk factors is shorter when compared to those experiencing less risk factors.</w:t>
      </w:r>
    </w:p>
    <w:p w14:paraId="58F79C90" w14:textId="2A3046D9" w:rsidR="004020C5" w:rsidRPr="004020C5" w:rsidRDefault="004020C5" w:rsidP="004020C5">
      <w:pPr>
        <w:pStyle w:val="H3"/>
      </w:pPr>
      <w:bookmarkStart w:id="9" w:name="_Toc191286635"/>
      <w:r w:rsidRPr="004020C5">
        <w:t>Implications</w:t>
      </w:r>
      <w:bookmarkEnd w:id="9"/>
    </w:p>
    <w:p w14:paraId="2E3E30A2" w14:textId="6B17F378" w:rsidR="004020C5" w:rsidRPr="004020C5" w:rsidRDefault="004020C5" w:rsidP="004020C5">
      <w:pPr>
        <w:pStyle w:val="BodySerif"/>
      </w:pPr>
      <w:r w:rsidRPr="004020C5">
        <w:t>While there is a general understanding that families experiencing parental DFV, AOD use and MH issues represent a</w:t>
      </w:r>
      <w:r w:rsidR="001A2029">
        <w:t> </w:t>
      </w:r>
      <w:r w:rsidRPr="004020C5">
        <w:t>high proportion of those involved in child protection, this report substantiates this widely held view for the first time with statistics on the interactions of children, and their parents, with NSW Child Protection and other services. The</w:t>
      </w:r>
      <w:r w:rsidR="001A2029">
        <w:t> </w:t>
      </w:r>
      <w:r w:rsidRPr="004020C5">
        <w:t>report reveals that children and families who come to the attention of child protection are likely to be experiencing parental DFV, often in concert with parental AOD use, MH issues or both. Moreover, these children are more likely to</w:t>
      </w:r>
      <w:r w:rsidR="001A2029">
        <w:t> </w:t>
      </w:r>
      <w:r w:rsidRPr="004020C5">
        <w:t>enter OOHC, with that likelihood particularly marked for those experiencing all three risk factors. An implication of</w:t>
      </w:r>
      <w:r w:rsidR="001A2029">
        <w:t> </w:t>
      </w:r>
      <w:r w:rsidRPr="004020C5">
        <w:t>this finding is the need to invest in early intervention. By doing so, parents experiencing these challenges are proactively supported rather than waiting until issues have escalated to be then offered a crisis-driven intervention through the child protection system. Early intervention also offers an opportunity to break intergenerational cycles of</w:t>
      </w:r>
      <w:r w:rsidR="001A2029">
        <w:t> </w:t>
      </w:r>
      <w:r w:rsidRPr="004020C5">
        <w:t>violence and prevent child protection agencies’ ongoing engagement and monitoring of families. The research findings offer an opportunity to</w:t>
      </w:r>
      <w:r w:rsidR="001A2029">
        <w:t> </w:t>
      </w:r>
      <w:r w:rsidRPr="004020C5">
        <w:t>understand how parents’ interactions with services related to AOD use and MH issues could provide a support pathway for children who are experiencing such parental risk factors at home.</w:t>
      </w:r>
    </w:p>
    <w:p w14:paraId="22DC750B" w14:textId="5506F9EF" w:rsidR="004020C5" w:rsidRPr="004020C5" w:rsidRDefault="004020C5" w:rsidP="004020C5">
      <w:pPr>
        <w:pStyle w:val="BodySerif"/>
      </w:pPr>
      <w:r w:rsidRPr="004020C5">
        <w:t>These research findings also demonstrate the role of current safety assessment practices in determining risk. The NSW Department of Communities and Justice’s (DCJ) safety and risk assessment process (SARA) utilises a suite of Structured Decision Making (SDM) tools, which identify potential dangers to be assessed in tandem with protective factors and planned safety interventions. Safety assessment criteria include “drug use impairing parenting”, “domestic/family violence”, “psychological harm”, and “parent unable to provide care”. These criteria align with the significant role of</w:t>
      </w:r>
      <w:r w:rsidR="001A2029">
        <w:t> </w:t>
      </w:r>
      <w:r w:rsidRPr="004020C5">
        <w:t>concurrent parental DFV, AOD use and MH issues in contributing to child protection and OOHC agencies becoming engaged with families. This report has also identified geographic locations in NSW where families experiencing these risks have been most frequently reported to child protection. These findings offer guidance on some of the areas in NSW where opportunities for more, and more effective, child abuse prevention and early intervention services, including DFV, MH and AOD services, should be explored. However, considering the limitations of the data (discussed below), it</w:t>
      </w:r>
      <w:r w:rsidR="001A2029">
        <w:t> </w:t>
      </w:r>
      <w:r w:rsidRPr="004020C5">
        <w:t>is</w:t>
      </w:r>
      <w:r w:rsidR="001A2029">
        <w:t> </w:t>
      </w:r>
      <w:r w:rsidRPr="004020C5">
        <w:t>important to emphasise that these risk factors are a serious problem in communities across NSW, and continued effort is needed across the state to effectively address them.</w:t>
      </w:r>
    </w:p>
    <w:p w14:paraId="7E82F7B1" w14:textId="5CEA19B8" w:rsidR="004020C5" w:rsidRPr="004020C5" w:rsidRDefault="004020C5" w:rsidP="00D157E6">
      <w:pPr>
        <w:pStyle w:val="H4"/>
        <w:keepLines/>
      </w:pPr>
      <w:r w:rsidRPr="004020C5">
        <w:lastRenderedPageBreak/>
        <w:t>Limitations of the study</w:t>
      </w:r>
    </w:p>
    <w:p w14:paraId="01653332" w14:textId="2AB319F2" w:rsidR="004020C5" w:rsidRPr="004020C5" w:rsidRDefault="004020C5" w:rsidP="00D157E6">
      <w:pPr>
        <w:pStyle w:val="BodySerif"/>
        <w:keepNext/>
        <w:keepLines/>
      </w:pPr>
      <w:r w:rsidRPr="004020C5">
        <w:t>It should be noted that while administrative data has significant strengths, it also has some limitations. Through services data available via the HSDS, it is possible to see how families interact over time with child protection as well as other services systems that are unavailable through any other current source. Much of the existing body of research on families with complex needs and their involvement with child protection has substantial limitations including small sample sizes and is drawn primarily from overseas (Wright et al., 2021); therefore, the value of this research is the provision of local population-level data. However, the data available through service interactions are high level and primarily composed of</w:t>
      </w:r>
      <w:r w:rsidR="001A2029">
        <w:t> </w:t>
      </w:r>
      <w:r w:rsidRPr="004020C5">
        <w:t>dates (of reports and service interactions). Moreover, since this dataset is limited to administrative data records of</w:t>
      </w:r>
      <w:r w:rsidR="001A2029">
        <w:t> </w:t>
      </w:r>
      <w:r w:rsidRPr="004020C5">
        <w:t>contact with police, health, child protection and other services, it may underreport the true incidence of these factors in the population if they have not received services associated with MH issues, DFV and AOD use or not had contact with police. In particular, non-physical and sexual DFV are likely to be underestimated since they are more difficult for services to detect. The location-based findings should be interpreted with caution. Evidence suggests that some communities, such as Aboriginal and Torres Strait Islander communities, have been disproportionately surveilled by</w:t>
      </w:r>
      <w:r w:rsidR="001A2029">
        <w:t> </w:t>
      </w:r>
      <w:r w:rsidRPr="004020C5">
        <w:t>police over the study time period (Law Enforcement Conduct Commission, 2020; Redfern Legal Centre, 2023). This</w:t>
      </w:r>
      <w:r w:rsidR="001A2029">
        <w:t> </w:t>
      </w:r>
      <w:r w:rsidRPr="004020C5">
        <w:t>could inflate the number of records in areas where these communities live. There is also limited health and police access in some rural and remote regions, which may reduce the likelihood of reports to child protection.</w:t>
      </w:r>
    </w:p>
    <w:p w14:paraId="2269BC3D" w14:textId="206EF2E2" w:rsidR="004020C5" w:rsidRPr="004020C5" w:rsidRDefault="004020C5" w:rsidP="004020C5">
      <w:pPr>
        <w:pStyle w:val="BodySerif"/>
      </w:pPr>
      <w:r w:rsidRPr="004020C5">
        <w:t>Ultimately, data collected for administrative purposes do not necessarily capture information that offers a complete picture of individual, familial and environmental factors and circumstances. Categorising complex issues as simple binary variables obscures lived realities and the important issues of power highlighted by intersectional theorists. Future research should delve more deeply through qualitative research into lived experiences of DFV, MH issues and AOD use, and how these intersect and play out over time to build understanding of how to intervene appropriately. As highlighted in intersectionality theory, people do not lead lives along a single axis and their lived experiences are shaped by multiple forms of oppression (Crenshaw, 1991).</w:t>
      </w:r>
    </w:p>
    <w:p w14:paraId="4D67370B" w14:textId="5B688158" w:rsidR="004020C5" w:rsidRPr="004020C5" w:rsidRDefault="004020C5" w:rsidP="004020C5">
      <w:pPr>
        <w:pStyle w:val="BodySerif"/>
      </w:pPr>
      <w:r w:rsidRPr="004020C5">
        <w:t>This project generates new evidence about the prevalence of parental DFV, AOD use and MH issues, and the intersection of these issues for families with child protection involvement in NSW. </w:t>
      </w:r>
      <w:r w:rsidRPr="004020C5">
        <w:rPr>
          <w:i/>
          <w:iCs/>
        </w:rPr>
        <w:t>The National Plan to End Violence against Women and Children 2022–2032</w:t>
      </w:r>
      <w:r w:rsidRPr="004020C5">
        <w:t> prioritises improving support and service responses to enable cross-sector collaboration (DSS, 2022). Similarly, </w:t>
      </w:r>
      <w:r w:rsidRPr="004020C5">
        <w:rPr>
          <w:i/>
          <w:iCs/>
        </w:rPr>
        <w:t>Safe and Supported: The National Framework for Protecting Australia’s Children 2021–2031</w:t>
      </w:r>
      <w:r w:rsidRPr="004020C5">
        <w:t> aims to strengthen the interface between child and family services and adult-focused services in DFV, AOD and MH, towards multidisciplinary models that can offer timely help to families (DSS, 2021). Understanding the prevalence and intersection of these issues informs service design and illustrates the need for policy and service delivery that addresses these issues in a coordinated approach. This is in line with practice guidance from the “Safe &amp; Together Addressing ComplexitY (STACY)” project about working at the intersection of these issues (Healey et al., 2020; Humphreys et al., 2020).</w:t>
      </w:r>
    </w:p>
    <w:p w14:paraId="6228E4FD" w14:textId="5337047B" w:rsidR="004020C5" w:rsidRPr="004020C5" w:rsidRDefault="004020C5" w:rsidP="00EE65C1">
      <w:pPr>
        <w:pStyle w:val="H2SectionTitle"/>
      </w:pPr>
      <w:bookmarkStart w:id="10" w:name="_Toc191286636"/>
      <w:r w:rsidRPr="004020C5">
        <w:lastRenderedPageBreak/>
        <w:t>Introduction</w:t>
      </w:r>
      <w:bookmarkEnd w:id="10"/>
    </w:p>
    <w:p w14:paraId="55E5B306" w14:textId="7E31F899" w:rsidR="004020C5" w:rsidRPr="004020C5" w:rsidRDefault="004020C5" w:rsidP="004020C5">
      <w:pPr>
        <w:pStyle w:val="BodySerif"/>
      </w:pPr>
      <w:r w:rsidRPr="004020C5">
        <w:t>Recent Australian research suggests that domestic and family violence (DFV) often co-occurs with parental alcohol and other drug (AOD) use and mental health (MH) issues in reports of child abuse and/or neglect, and the co-reporting of</w:t>
      </w:r>
      <w:r w:rsidR="00A16F09">
        <w:t> </w:t>
      </w:r>
      <w:r w:rsidRPr="004020C5">
        <w:t>these three risk factors often precipitates child protection involvement (see Humphreys et al., 2020). An enquiry into child protection services in New South Wales (NSW) undertaken by Wood (2008) found that families in contact with the child protection system are characterised by a range of complex risk factors including DFV, AOD use, MH issues, limited social supports, low income and a history of incarceration. Additionally, between 2017 and 2020, Humphreys led a team of researchers, experts from the Safe &amp; Together Institute, and practitioners across multiple Australian states in</w:t>
      </w:r>
      <w:r w:rsidR="00A16F09">
        <w:t> </w:t>
      </w:r>
      <w:r w:rsidRPr="004020C5">
        <w:t>a</w:t>
      </w:r>
      <w:r w:rsidR="00A16F09">
        <w:t> </w:t>
      </w:r>
      <w:r w:rsidRPr="004020C5">
        <w:t>suite of action research projects that shared the broad goals of developing DFV-informed child protection and family</w:t>
      </w:r>
      <w:r w:rsidR="00EE65C1">
        <w:t> </w:t>
      </w:r>
      <w:r w:rsidRPr="004020C5">
        <w:t>support services, including:</w:t>
      </w:r>
    </w:p>
    <w:p w14:paraId="6811C358" w14:textId="36516BC8" w:rsidR="004020C5" w:rsidRPr="004020C5" w:rsidRDefault="004020C5" w:rsidP="004020C5">
      <w:pPr>
        <w:pStyle w:val="BodySerifBullet1"/>
      </w:pPr>
      <w:r w:rsidRPr="004020C5">
        <w:t>the PATRICIA (“PaThways and Research Into Collaborative Inter-Agency practice”) project, which focused on</w:t>
      </w:r>
      <w:r w:rsidR="001A2029">
        <w:t> </w:t>
      </w:r>
      <w:r w:rsidRPr="004020C5">
        <w:t>the collaborative relationship between specialist community-based DFV support services for women and their children and statutory child protection organisations (Humphreys &amp; Healey, 2017)</w:t>
      </w:r>
    </w:p>
    <w:p w14:paraId="0C8002D4" w14:textId="6CE879BF" w:rsidR="004020C5" w:rsidRPr="004020C5" w:rsidRDefault="004020C5" w:rsidP="004020C5">
      <w:pPr>
        <w:pStyle w:val="BodySerifBullet1"/>
      </w:pPr>
      <w:r w:rsidRPr="004020C5">
        <w:t xml:space="preserve"> “Invisible practices: Intervention with fathers who use violence” project, which examined the evidence base for</w:t>
      </w:r>
      <w:r w:rsidR="001A2029">
        <w:t> </w:t>
      </w:r>
      <w:r w:rsidRPr="004020C5">
        <w:t>intervening with fathers who use DFV to enhance support for women and children living with DFV (Heward</w:t>
      </w:r>
      <w:r w:rsidR="001A2029">
        <w:noBreakHyphen/>
      </w:r>
      <w:r w:rsidRPr="004020C5">
        <w:t>Belle et al., 2019)</w:t>
      </w:r>
    </w:p>
    <w:p w14:paraId="25F93C29" w14:textId="284A61C8" w:rsidR="004020C5" w:rsidRPr="004020C5" w:rsidRDefault="004020C5" w:rsidP="004020C5">
      <w:pPr>
        <w:pStyle w:val="BodySerifBullet1"/>
      </w:pPr>
      <w:r w:rsidRPr="004020C5">
        <w:t>the STACY (“Safe &amp; Together Addressing ComplexitY”) project, which aimed to investigate and develop practitioner and organisational capacity to work across services providing interventions to children and families living with DFV where there are parental issues of MH and AOD use (Healey et al., 2020)</w:t>
      </w:r>
    </w:p>
    <w:p w14:paraId="6585ACC3" w14:textId="6F76105F" w:rsidR="004020C5" w:rsidRPr="004020C5" w:rsidRDefault="004020C5" w:rsidP="004020C5">
      <w:pPr>
        <w:pStyle w:val="BodySerifBullet1"/>
      </w:pPr>
      <w:r w:rsidRPr="004020C5">
        <w:t>the STACY for Children (“Safe &amp; Together Addressing ComplexitY focusing on children”) project, which</w:t>
      </w:r>
      <w:r w:rsidR="001A2029">
        <w:t> </w:t>
      </w:r>
      <w:r w:rsidRPr="004020C5">
        <w:t>focused on the impacts for children living with parental DFV, MH issues and AOD use (Humphreys</w:t>
      </w:r>
      <w:r w:rsidR="001A2029">
        <w:t> </w:t>
      </w:r>
      <w:r w:rsidRPr="004020C5">
        <w:t>et</w:t>
      </w:r>
      <w:r w:rsidR="001A2029">
        <w:t> </w:t>
      </w:r>
      <w:r w:rsidRPr="004020C5">
        <w:t>al.,</w:t>
      </w:r>
      <w:r w:rsidR="001A2029">
        <w:t> </w:t>
      </w:r>
      <w:r w:rsidRPr="004020C5">
        <w:t>2020).</w:t>
      </w:r>
    </w:p>
    <w:p w14:paraId="544193B3" w14:textId="0CC76F82" w:rsidR="004020C5" w:rsidRPr="004020C5" w:rsidRDefault="004020C5" w:rsidP="004020C5">
      <w:pPr>
        <w:pStyle w:val="BodySerif"/>
      </w:pPr>
      <w:r w:rsidRPr="004020C5">
        <w:t>The Safe &amp; Together Institute offers a model and suite of tools to promote DFV-informed practice that is gaining traction both internationally and nationally. For example, large-scale rollout of Safe &amp; Together training and participation in the action research projects created a “cultural tsunami” of workforce development and led to the establishment of the Office of the Child and Family Official Solicitor in the Queensland Government Department of</w:t>
      </w:r>
      <w:r w:rsidR="001A2029">
        <w:t> </w:t>
      </w:r>
      <w:r w:rsidRPr="004020C5">
        <w:t>Child Safety, Youth and Women (De Simone &amp; Heward-Belle, 2020).</w:t>
      </w:r>
    </w:p>
    <w:p w14:paraId="72CC1237" w14:textId="4C0A952A" w:rsidR="004020C5" w:rsidRPr="004020C5" w:rsidRDefault="004020C5" w:rsidP="004020C5">
      <w:pPr>
        <w:pStyle w:val="BodySerif"/>
      </w:pPr>
      <w:r w:rsidRPr="004020C5">
        <w:t>Recent empirical research was undertaken in Queensland to analyse the co-reporting of DFV, AOD use and MH issues across 947 reports that had reached finalised investigation and assessment phases and the associated family risk evaluation forms (Humphreys et al., 2020). This analysis demonstrated that co-reporting of DFV with both AOD use and</w:t>
      </w:r>
      <w:r w:rsidR="00EE65C1">
        <w:t> </w:t>
      </w:r>
      <w:r w:rsidRPr="004020C5">
        <w:t>MH issues was the most prevalent pattern across the reviewed family risk evaluations (Humphreys et al., 2020). Moreover, this research found that the combination of DFV with AOD use and MH issues in reports of child abuse or</w:t>
      </w:r>
      <w:r w:rsidR="001A2029">
        <w:t> </w:t>
      </w:r>
      <w:r w:rsidRPr="004020C5">
        <w:t>neglect often precipitated children’s and families’ involvement in the child protection system.</w:t>
      </w:r>
    </w:p>
    <w:p w14:paraId="19E3C02B" w14:textId="4784EB25" w:rsidR="004020C5" w:rsidRPr="004020C5" w:rsidRDefault="004020C5" w:rsidP="00EE65C1">
      <w:pPr>
        <w:pStyle w:val="H3"/>
      </w:pPr>
      <w:bookmarkStart w:id="11" w:name="_Toc191286637"/>
      <w:r w:rsidRPr="004020C5">
        <w:t xml:space="preserve">Summary of findings from stage 1/research report 1 </w:t>
      </w:r>
      <w:r w:rsidR="00703F94">
        <w:t>–</w:t>
      </w:r>
      <w:r w:rsidRPr="004020C5">
        <w:t xml:space="preserve"> </w:t>
      </w:r>
      <w:r w:rsidRPr="00703F94">
        <w:rPr>
          <w:rStyle w:val="Emphasis"/>
        </w:rPr>
        <w:t>Critical Interpretive Synthesis: Child Protection Involvement for Families with Domestic and Family Violence, Alcohol and Other Drug Issues, and Mental Health Issues</w:t>
      </w:r>
      <w:bookmarkEnd w:id="11"/>
    </w:p>
    <w:p w14:paraId="514FF295" w14:textId="148980C9" w:rsidR="004020C5" w:rsidRPr="004020C5" w:rsidRDefault="004020C5" w:rsidP="004020C5">
      <w:pPr>
        <w:pStyle w:val="BodySerif"/>
      </w:pPr>
      <w:r w:rsidRPr="004020C5">
        <w:t>Research report 1 of this project, </w:t>
      </w:r>
      <w:r w:rsidRPr="000139EC">
        <w:rPr>
          <w:i/>
          <w:iCs/>
        </w:rPr>
        <w:t>Critical Interpretive Synthesis: Child Protection Involvement for Families with Domestic and Family Violence, Alcohol and Other Drug Issues, and Mental Health Issues</w:t>
      </w:r>
      <w:r w:rsidRPr="004020C5">
        <w:t>, reported the findings of</w:t>
      </w:r>
      <w:r w:rsidR="001A2029">
        <w:t> </w:t>
      </w:r>
      <w:r w:rsidRPr="004020C5">
        <w:t>a</w:t>
      </w:r>
      <w:r w:rsidR="001A2029">
        <w:t> </w:t>
      </w:r>
      <w:r w:rsidRPr="004020C5">
        <w:t>critical interpretive synthesis of academic and grey literature on the intersections of DFV, AOD use and MH issues in the context of child protection (Wright et al., 2021). The research questions that guided this report were:</w:t>
      </w:r>
    </w:p>
    <w:p w14:paraId="031A2A7B" w14:textId="4739F5AE" w:rsidR="004020C5" w:rsidRPr="004020C5" w:rsidRDefault="004020C5" w:rsidP="004020C5">
      <w:pPr>
        <w:pStyle w:val="BodySerifBullet1"/>
      </w:pPr>
      <w:r w:rsidRPr="004020C5">
        <w:t>How are risk factors of DFV, AOD use and MH issues described and framed in the literature?</w:t>
      </w:r>
    </w:p>
    <w:p w14:paraId="1DDC56D3" w14:textId="1592F625" w:rsidR="004020C5" w:rsidRPr="004020C5" w:rsidRDefault="004020C5" w:rsidP="004020C5">
      <w:pPr>
        <w:pStyle w:val="BodySerifBullet1"/>
      </w:pPr>
      <w:r w:rsidRPr="004020C5">
        <w:t>What other factors are considered to co-occur with these risk factors?</w:t>
      </w:r>
    </w:p>
    <w:p w14:paraId="28FBA197" w14:textId="41F9AC6D" w:rsidR="004020C5" w:rsidRPr="004020C5" w:rsidRDefault="004020C5" w:rsidP="004020C5">
      <w:pPr>
        <w:pStyle w:val="BodySerifBullet1"/>
      </w:pPr>
      <w:r w:rsidRPr="004020C5">
        <w:t>What theoretical perspectives are used to understand these factors?</w:t>
      </w:r>
    </w:p>
    <w:p w14:paraId="5872EC87" w14:textId="0453664B" w:rsidR="004020C5" w:rsidRPr="004020C5" w:rsidRDefault="004020C5" w:rsidP="004020C5">
      <w:pPr>
        <w:pStyle w:val="BodySerif"/>
      </w:pPr>
      <w:r w:rsidRPr="004020C5">
        <w:lastRenderedPageBreak/>
        <w:t>A total of 45 articles were included in the synthesis, with the majority (</w:t>
      </w:r>
      <w:r w:rsidRPr="004020C5">
        <w:rPr>
          <w:i/>
          <w:iCs/>
        </w:rPr>
        <w:t>n</w:t>
      </w:r>
      <w:r w:rsidRPr="004020C5">
        <w:t> =32) published in other countries (the</w:t>
      </w:r>
      <w:r w:rsidR="00F6771F">
        <w:t> </w:t>
      </w:r>
      <w:r w:rsidRPr="004020C5">
        <w:t>United</w:t>
      </w:r>
      <w:r w:rsidR="00F6771F">
        <w:t> </w:t>
      </w:r>
      <w:r w:rsidRPr="004020C5">
        <w:t>States [US], United Kingdom [UK], Canada, Japan, Germany and New Zealand) and the remainder published in</w:t>
      </w:r>
      <w:r w:rsidR="00F6771F">
        <w:t> </w:t>
      </w:r>
      <w:r w:rsidRPr="004020C5">
        <w:t>Australia (</w:t>
      </w:r>
      <w:r w:rsidRPr="004020C5">
        <w:rPr>
          <w:i/>
          <w:iCs/>
        </w:rPr>
        <w:t>n</w:t>
      </w:r>
      <w:r w:rsidRPr="004020C5">
        <w:t> =13). The critical synthesis highlighted several limitations in the evidence base for the prevalence and</w:t>
      </w:r>
      <w:r w:rsidR="00F6771F">
        <w:t> </w:t>
      </w:r>
      <w:r w:rsidRPr="004020C5">
        <w:t>outcomes of DFV, AOD use and MH issues. Namely, there is a lack of:</w:t>
      </w:r>
    </w:p>
    <w:p w14:paraId="4BE8EC9B" w14:textId="40EEDFC1" w:rsidR="004020C5" w:rsidRPr="004020C5" w:rsidRDefault="004020C5" w:rsidP="004020C5">
      <w:pPr>
        <w:pStyle w:val="BodySerifBullet1"/>
      </w:pPr>
      <w:r w:rsidRPr="004020C5">
        <w:t>specificity and consistency around key terminology</w:t>
      </w:r>
    </w:p>
    <w:p w14:paraId="41C9CFEC" w14:textId="270ABE2A" w:rsidR="004020C5" w:rsidRPr="004020C5" w:rsidRDefault="004020C5" w:rsidP="004020C5">
      <w:pPr>
        <w:pStyle w:val="BodySerifBullet1"/>
      </w:pPr>
      <w:r w:rsidRPr="004020C5">
        <w:t>nuanced understanding of the correlations between risk factors and outcomes</w:t>
      </w:r>
    </w:p>
    <w:p w14:paraId="763A73DD" w14:textId="538D1426" w:rsidR="004020C5" w:rsidRPr="004020C5" w:rsidRDefault="004020C5" w:rsidP="004020C5">
      <w:pPr>
        <w:pStyle w:val="BodySerifBullet1"/>
      </w:pPr>
      <w:r w:rsidRPr="004020C5">
        <w:t>theory and concepts to frame the mechanisms by which DFV, AOD use and MH issues interact and</w:t>
      </w:r>
      <w:r w:rsidR="00F6771F">
        <w:t> </w:t>
      </w:r>
      <w:r w:rsidRPr="004020C5">
        <w:t>increase</w:t>
      </w:r>
      <w:r w:rsidR="00F6771F">
        <w:t> </w:t>
      </w:r>
      <w:r w:rsidRPr="004020C5">
        <w:t>risk</w:t>
      </w:r>
      <w:r w:rsidR="00F6771F">
        <w:t> </w:t>
      </w:r>
      <w:r w:rsidRPr="004020C5">
        <w:t>factors and poorer outcomes</w:t>
      </w:r>
    </w:p>
    <w:p w14:paraId="3B7BCB0A" w14:textId="1E18E833" w:rsidR="004020C5" w:rsidRPr="004020C5" w:rsidRDefault="004020C5" w:rsidP="004020C5">
      <w:pPr>
        <w:pStyle w:val="BodySerifBullet1"/>
      </w:pPr>
      <w:r w:rsidRPr="004020C5">
        <w:t>consistently applied measurement tools across studies</w:t>
      </w:r>
    </w:p>
    <w:p w14:paraId="17290BE3" w14:textId="6DF28D6A" w:rsidR="004020C5" w:rsidRPr="004020C5" w:rsidRDefault="004020C5" w:rsidP="004020C5">
      <w:pPr>
        <w:pStyle w:val="BodySerifBullet1"/>
      </w:pPr>
      <w:r w:rsidRPr="004020C5">
        <w:t>exploration and analysis of the interactions among DFV, AOD use and MH issues and broader socio</w:t>
      </w:r>
      <w:r w:rsidR="00F6771F">
        <w:noBreakHyphen/>
      </w:r>
      <w:r w:rsidRPr="004020C5">
        <w:t>economic,</w:t>
      </w:r>
      <w:r w:rsidR="00F6771F">
        <w:t> </w:t>
      </w:r>
      <w:r w:rsidRPr="004020C5">
        <w:t>demographic and contextual factors</w:t>
      </w:r>
    </w:p>
    <w:p w14:paraId="1CB9C15C" w14:textId="150364C5" w:rsidR="004020C5" w:rsidRPr="004020C5" w:rsidRDefault="004020C5" w:rsidP="004020C5">
      <w:pPr>
        <w:pStyle w:val="BodySerifBullet1"/>
      </w:pPr>
      <w:r w:rsidRPr="004020C5">
        <w:t>robust empirical research undertaken in an Australian context.</w:t>
      </w:r>
    </w:p>
    <w:p w14:paraId="1D3B9B40" w14:textId="7A5E2F30" w:rsidR="004020C5" w:rsidRPr="004020C5" w:rsidRDefault="004020C5" w:rsidP="004020C5">
      <w:pPr>
        <w:pStyle w:val="BodySerif"/>
      </w:pPr>
      <w:r w:rsidRPr="004020C5">
        <w:t>In light of the substantial gaps in existing research as detailed in research report 1, further rigorous research is needed to</w:t>
      </w:r>
      <w:r w:rsidR="00F6771F">
        <w:t> </w:t>
      </w:r>
      <w:r w:rsidRPr="004020C5">
        <w:t>understand the mechanisms by which DFV, AOD use and MH issues interact with one another; operate at micro, meso</w:t>
      </w:r>
      <w:r w:rsidR="00F6771F">
        <w:t> </w:t>
      </w:r>
      <w:r w:rsidRPr="004020C5">
        <w:t>and macro levels; and intersect with broader socio-economic, contextual and demographic factors to increase risk for poorer child outcomes.</w:t>
      </w:r>
    </w:p>
    <w:p w14:paraId="12BF9BE7" w14:textId="4E3E5805" w:rsidR="004020C5" w:rsidRPr="004020C5" w:rsidRDefault="004020C5" w:rsidP="004020C5">
      <w:pPr>
        <w:pStyle w:val="H3"/>
      </w:pPr>
      <w:bookmarkStart w:id="12" w:name="_Toc191286638"/>
      <w:r w:rsidRPr="004020C5">
        <w:t xml:space="preserve">Stage 2/research report 2 </w:t>
      </w:r>
      <w:r w:rsidR="00703F94">
        <w:t>–</w:t>
      </w:r>
      <w:r w:rsidRPr="004020C5">
        <w:t xml:space="preserve"> </w:t>
      </w:r>
      <w:r w:rsidRPr="00703F94">
        <w:rPr>
          <w:rStyle w:val="Emphasis"/>
        </w:rPr>
        <w:t>Analysis of Linked Longitudinal Administrative Data on Child Protection Involvement for NSW Families with Domestic and Family Violence, Alcohol and Other Drug Issues and Mental Health Issues</w:t>
      </w:r>
      <w:bookmarkEnd w:id="12"/>
    </w:p>
    <w:p w14:paraId="5BCCA27E" w14:textId="2BABEF54" w:rsidR="004020C5" w:rsidRPr="004020C5" w:rsidRDefault="004020C5" w:rsidP="004020C5">
      <w:pPr>
        <w:pStyle w:val="BodySerif"/>
      </w:pPr>
      <w:r w:rsidRPr="004020C5">
        <w:t>Stage 2 of this project, </w:t>
      </w:r>
      <w:r w:rsidRPr="000139EC">
        <w:rPr>
          <w:i/>
          <w:iCs/>
        </w:rPr>
        <w:t>Analysis of Linked Longitudinal Administrative Data on Child Protection Involvement for NSW Families with Domestic and Family Violence, Alcohol and Other Drug Issues and Mental Health Issues</w:t>
      </w:r>
      <w:r w:rsidRPr="004020C5">
        <w:t>, has produced population-level statistics on the interdependence of DFV, AOD use and MH issues with child protection involvement for NSW. Using the NSW Human Services Dataset (HSDS), this report provides prevalence rates of multiple risk factors, time trends and geographic clusters, and explores the associations between the overlap of multiple risk factors (parental DFV, AOD and MH issues) and children’s entry into out-of-home care (OOHC). The HSDS is</w:t>
      </w:r>
      <w:r w:rsidR="00F6771F">
        <w:t> </w:t>
      </w:r>
      <w:r w:rsidRPr="004020C5">
        <w:t>a</w:t>
      </w:r>
      <w:r w:rsidR="00F6771F">
        <w:t> </w:t>
      </w:r>
      <w:r w:rsidRPr="004020C5">
        <w:t>population</w:t>
      </w:r>
      <w:r w:rsidR="00F6771F">
        <w:noBreakHyphen/>
      </w:r>
      <w:r w:rsidRPr="004020C5">
        <w:t>based, comprehensive dataset encompassing all children residing in or born in NSW since 1990 who have touched one of</w:t>
      </w:r>
      <w:r w:rsidR="00F6771F">
        <w:t> </w:t>
      </w:r>
      <w:r w:rsidRPr="004020C5">
        <w:t>the services captured in the HSDS and contains variables on life events, service usage and outcomes, allowing for novel population-based analyses to understand dynamics for families experiencing DFV, AOD</w:t>
      </w:r>
      <w:r w:rsidR="00F6771F">
        <w:t> </w:t>
      </w:r>
      <w:r w:rsidRPr="004020C5">
        <w:t>use, MH issues and child protection involvement.</w:t>
      </w:r>
    </w:p>
    <w:p w14:paraId="548290BE" w14:textId="49F3C2FD" w:rsidR="004020C5" w:rsidRPr="004020C5" w:rsidRDefault="004020C5" w:rsidP="004020C5">
      <w:pPr>
        <w:pStyle w:val="BodySerif"/>
      </w:pPr>
      <w:r w:rsidRPr="004020C5">
        <w:t>The specific objectives of the “Analysis of linked longitudinal administrative data on child protection involvement for NSW families with domestic and family violence, alcohol and other drug issues and mental health issues” research project are as follows:</w:t>
      </w:r>
    </w:p>
    <w:p w14:paraId="2FF7A21D" w14:textId="278C4F5C" w:rsidR="004020C5" w:rsidRPr="004020C5" w:rsidRDefault="004020C5" w:rsidP="004020C5">
      <w:pPr>
        <w:pStyle w:val="BodySerifBullet1"/>
      </w:pPr>
      <w:r w:rsidRPr="004020C5">
        <w:t>determine the prevalence and joint occurrence of parental DFV, AOD use and MH issues in the lives of children who enter the child protection system and may or may not experience subsequent entry into OOHC</w:t>
      </w:r>
    </w:p>
    <w:p w14:paraId="4A130B40" w14:textId="57B5BAEA" w:rsidR="004020C5" w:rsidRPr="004020C5" w:rsidRDefault="004020C5" w:rsidP="004020C5">
      <w:pPr>
        <w:pStyle w:val="BodySerifBullet1"/>
      </w:pPr>
      <w:r w:rsidRPr="004020C5">
        <w:t>identify multiple risk factor hotspots by mapping geographic clusters with a special focus on rural and remote</w:t>
      </w:r>
      <w:r w:rsidR="00F6771F">
        <w:t> </w:t>
      </w:r>
      <w:r w:rsidRPr="004020C5">
        <w:t>areas</w:t>
      </w:r>
    </w:p>
    <w:p w14:paraId="57A3727C" w14:textId="530A64A2" w:rsidR="004020C5" w:rsidRPr="004020C5" w:rsidRDefault="004020C5" w:rsidP="004020C5">
      <w:pPr>
        <w:pStyle w:val="BodySerifBullet1"/>
      </w:pPr>
      <w:r w:rsidRPr="004020C5">
        <w:t>assess the probability of children’s entry into OOHC based on the co-occurrence of parental DFV alone or</w:t>
      </w:r>
      <w:r w:rsidR="00F6771F">
        <w:t> </w:t>
      </w:r>
      <w:r w:rsidRPr="004020C5">
        <w:t>in</w:t>
      </w:r>
      <w:r w:rsidR="00F6771F">
        <w:t> </w:t>
      </w:r>
      <w:r w:rsidRPr="004020C5">
        <w:t>combination with parental AOD use and MH issues</w:t>
      </w:r>
    </w:p>
    <w:p w14:paraId="346BEFE4" w14:textId="18761001" w:rsidR="004020C5" w:rsidRPr="004020C5" w:rsidRDefault="004020C5" w:rsidP="004020C5">
      <w:pPr>
        <w:pStyle w:val="BodySerifBullet1"/>
      </w:pPr>
      <w:r w:rsidRPr="004020C5">
        <w:t>estimate the rates of engagement with family support services (the NSW Brighter Futures program) for families with multiple risk factors.</w:t>
      </w:r>
    </w:p>
    <w:p w14:paraId="2BDEC66F" w14:textId="3E42FDBB" w:rsidR="004020C5" w:rsidRPr="004020C5" w:rsidRDefault="004020C5" w:rsidP="00D157E6">
      <w:pPr>
        <w:pStyle w:val="BodySerif"/>
        <w:keepNext/>
        <w:keepLines/>
      </w:pPr>
      <w:r w:rsidRPr="004020C5">
        <w:lastRenderedPageBreak/>
        <w:t>The key research questions of the research project are:</w:t>
      </w:r>
    </w:p>
    <w:p w14:paraId="1C6F6A8A" w14:textId="68A287DC" w:rsidR="004020C5" w:rsidRPr="004020C5" w:rsidRDefault="004020C5" w:rsidP="00D157E6">
      <w:pPr>
        <w:pStyle w:val="BodySerifBullet1"/>
        <w:keepNext/>
        <w:keepLines/>
      </w:pPr>
      <w:r w:rsidRPr="004020C5">
        <w:t>What is the prevalence of individual and joint parental DFV, AOD use and MH issues for children who have a</w:t>
      </w:r>
      <w:r w:rsidR="00F6771F">
        <w:t> </w:t>
      </w:r>
      <w:r w:rsidRPr="004020C5">
        <w:t>child concern report and experience statutory OOHC in NSW? What is the geographic distribution of these risk factors (i.e. disaggregated by urban versus regional and rural areas)?</w:t>
      </w:r>
    </w:p>
    <w:p w14:paraId="7956FE48" w14:textId="158CD775" w:rsidR="004020C5" w:rsidRPr="00F6771F" w:rsidRDefault="004020C5" w:rsidP="00D157E6">
      <w:pPr>
        <w:pStyle w:val="BodySerifBullet1"/>
        <w:keepNext/>
        <w:keepLines/>
        <w:rPr>
          <w:spacing w:val="-2"/>
        </w:rPr>
      </w:pPr>
      <w:r w:rsidRPr="00F6771F">
        <w:rPr>
          <w:spacing w:val="-2"/>
        </w:rPr>
        <w:t>How does having a parent with multiple risk factors affect the probability that a child will enter OOHC? Have</w:t>
      </w:r>
      <w:r w:rsidR="00F6771F" w:rsidRPr="00F6771F">
        <w:rPr>
          <w:spacing w:val="-2"/>
        </w:rPr>
        <w:t> </w:t>
      </w:r>
      <w:r w:rsidRPr="00F6771F">
        <w:rPr>
          <w:spacing w:val="-2"/>
        </w:rPr>
        <w:t>the rates of entry into OOHC for children whose parents are affected by multiple risk factors changed over</w:t>
      </w:r>
      <w:r w:rsidR="00F6771F" w:rsidRPr="00F6771F">
        <w:rPr>
          <w:spacing w:val="-2"/>
        </w:rPr>
        <w:t> </w:t>
      </w:r>
      <w:r w:rsidRPr="00F6771F">
        <w:rPr>
          <w:spacing w:val="-2"/>
        </w:rPr>
        <w:t>time?</w:t>
      </w:r>
    </w:p>
    <w:p w14:paraId="1965FB4E" w14:textId="6A2F8B49" w:rsidR="004020C5" w:rsidRPr="004020C5" w:rsidRDefault="004020C5" w:rsidP="00D157E6">
      <w:pPr>
        <w:pStyle w:val="BodySerifBullet1"/>
        <w:keepNext/>
        <w:keepLines/>
      </w:pPr>
      <w:r w:rsidRPr="004020C5">
        <w:t>For families with multiple risk factors and child protection involvement, what was their usage of family preservation programs (i.e. NSW Brighter Futures)?</w:t>
      </w:r>
    </w:p>
    <w:p w14:paraId="7866AF95" w14:textId="3CFF6409" w:rsidR="004020C5" w:rsidRPr="004020C5" w:rsidRDefault="004020C5" w:rsidP="004020C5">
      <w:pPr>
        <w:pStyle w:val="BodySerif"/>
      </w:pPr>
      <w:r w:rsidRPr="004020C5">
        <w:t>The aim of stage 2 is to produce population-level statistics to build the evidence base on children and young people impacted by interactions among parental DFV, AOD use and MH issues using the HSDS.</w:t>
      </w:r>
    </w:p>
    <w:p w14:paraId="166AD593" w14:textId="2CAD720E" w:rsidR="004020C5" w:rsidRPr="004020C5" w:rsidRDefault="004020C5" w:rsidP="004020C5">
      <w:pPr>
        <w:pStyle w:val="H3"/>
      </w:pPr>
      <w:bookmarkStart w:id="13" w:name="_Toc191286639"/>
      <w:r w:rsidRPr="004020C5">
        <w:t>Literature review</w:t>
      </w:r>
      <w:bookmarkEnd w:id="13"/>
    </w:p>
    <w:p w14:paraId="1B90385A" w14:textId="0F6EA86C" w:rsidR="004020C5" w:rsidRPr="000964FC" w:rsidRDefault="004020C5" w:rsidP="004020C5">
      <w:pPr>
        <w:pStyle w:val="BodySerif"/>
        <w:rPr>
          <w:spacing w:val="-2"/>
        </w:rPr>
      </w:pPr>
      <w:r w:rsidRPr="000964FC">
        <w:rPr>
          <w:spacing w:val="-2"/>
        </w:rPr>
        <w:t>Population-based, linked administrative data in child protection research offers many advantages including measuring trajectories from childhood to adult outcomes and reducing missing data and bias associated with other forms of</w:t>
      </w:r>
      <w:r w:rsidR="00F6771F" w:rsidRPr="000964FC">
        <w:rPr>
          <w:spacing w:val="-2"/>
        </w:rPr>
        <w:t> </w:t>
      </w:r>
      <w:r w:rsidRPr="000964FC">
        <w:rPr>
          <w:spacing w:val="-2"/>
        </w:rPr>
        <w:t>longitudinal research (Chikwava et al., 2021). These data can inform predictive risk models (PRMs) that assess a</w:t>
      </w:r>
      <w:r w:rsidR="00F6771F" w:rsidRPr="000964FC">
        <w:rPr>
          <w:spacing w:val="-2"/>
        </w:rPr>
        <w:t> </w:t>
      </w:r>
      <w:r w:rsidRPr="000964FC">
        <w:rPr>
          <w:spacing w:val="-2"/>
        </w:rPr>
        <w:t>child’s or family’s risk of future adverse outcomes (Krakouer et al., 2021). For example, administrative data of</w:t>
      </w:r>
      <w:r w:rsidR="00F6771F" w:rsidRPr="000964FC">
        <w:rPr>
          <w:spacing w:val="-2"/>
        </w:rPr>
        <w:t> </w:t>
      </w:r>
      <w:r w:rsidRPr="000964FC">
        <w:rPr>
          <w:spacing w:val="-2"/>
        </w:rPr>
        <w:t>substantiated child abuse or neglect incidents can be linked to other readily available data including school histories, hospital records and police involvement, and programmed algorithms can then generate decision support recommendations. In Victoria, the Department of Health and Human Services’s </w:t>
      </w:r>
      <w:r w:rsidRPr="000964FC">
        <w:rPr>
          <w:i/>
          <w:iCs/>
          <w:spacing w:val="-2"/>
        </w:rPr>
        <w:t>Child Protection Decision Support Tool</w:t>
      </w:r>
      <w:r w:rsidRPr="000964FC">
        <w:rPr>
          <w:spacing w:val="-2"/>
        </w:rPr>
        <w:t> links administrative data and provides an estimation of the likelihood of substantiation of a child maltreatment notification and further placement in OOHC for children embroiled in the child protection system (Department of Health and Human Services, 2020). These predictive risk models that condense and synthesise vast amounts of information are particularly useful in child protection contexts where complex decisions informed by numerous interrelated factors must be made (Krakouer et al., 2021). The following section outlines the findings from a literature review of peer-reviewed academic articles and grey literature that involve analysis of</w:t>
      </w:r>
      <w:r w:rsidR="00D157E6">
        <w:rPr>
          <w:spacing w:val="-2"/>
        </w:rPr>
        <w:t> </w:t>
      </w:r>
      <w:r w:rsidRPr="000964FC">
        <w:rPr>
          <w:spacing w:val="-2"/>
        </w:rPr>
        <w:t>administrative datasets to examine the co-occurrence of</w:t>
      </w:r>
      <w:r w:rsidR="00F6771F" w:rsidRPr="000964FC">
        <w:rPr>
          <w:spacing w:val="-2"/>
        </w:rPr>
        <w:t> </w:t>
      </w:r>
      <w:r w:rsidRPr="000964FC">
        <w:rPr>
          <w:spacing w:val="-2"/>
        </w:rPr>
        <w:t>parental DFV, AOD use or MH issues with child protection.</w:t>
      </w:r>
    </w:p>
    <w:p w14:paraId="06CEA745" w14:textId="556D1295" w:rsidR="004020C5" w:rsidRPr="004020C5" w:rsidRDefault="004020C5" w:rsidP="004020C5">
      <w:pPr>
        <w:pStyle w:val="H3"/>
      </w:pPr>
      <w:bookmarkStart w:id="14" w:name="_Toc191286640"/>
      <w:r w:rsidRPr="004020C5">
        <w:t>Methods</w:t>
      </w:r>
      <w:bookmarkEnd w:id="14"/>
    </w:p>
    <w:p w14:paraId="40F3BBFC" w14:textId="50E253C0" w:rsidR="004020C5" w:rsidRPr="004020C5" w:rsidRDefault="004020C5" w:rsidP="004020C5">
      <w:pPr>
        <w:pStyle w:val="BodySerif"/>
      </w:pPr>
      <w:r w:rsidRPr="004020C5">
        <w:t>A search strategy was developed and conducted on 28 February 2022 identifying a variety of search terms that address the intersectionality of DFV, AOD use or MH issues in the context of child protection and OOHC and studies using administrative data for analysis (e.g. domestic or family violence OR mental health OR substance abuse AND child protection or foster care AND administrative data). Search strategies identified keywords in titles and abstracts, and</w:t>
      </w:r>
      <w:r w:rsidR="00F6771F">
        <w:t> </w:t>
      </w:r>
      <w:r w:rsidRPr="004020C5">
        <w:t>in</w:t>
      </w:r>
      <w:r w:rsidR="00F6771F">
        <w:t> </w:t>
      </w:r>
      <w:r w:rsidRPr="004020C5">
        <w:t>subject headings, where permitted by the database. The search strategy was adapted for each database used. Databases searched included: APA PsycInfo, Social Services Abstracts, Sociological Abstracts, ERIC, JSTOR, Family &amp; Society Studies Worldwide, PubMed, ScienceDirect, Google Scholar, and the University of Sydney library database. Search results were limited to peer-reviewed articles published from 2010 in the English language. These searches yielded a total of 176 results, five of which were duplicates. Abstract screening of the 171 remaining references excluded</w:t>
      </w:r>
      <w:r w:rsidR="00F6771F">
        <w:t> </w:t>
      </w:r>
      <w:r w:rsidRPr="004020C5">
        <w:t>152 results, leaving 19 references for full-text analysis.</w:t>
      </w:r>
    </w:p>
    <w:p w14:paraId="617F9C0B" w14:textId="3315B2B8" w:rsidR="004020C5" w:rsidRPr="004020C5" w:rsidRDefault="004020C5" w:rsidP="004020C5">
      <w:pPr>
        <w:pStyle w:val="BodySerif"/>
      </w:pPr>
      <w:r w:rsidRPr="004020C5">
        <w:t>In addition, a grey literature search was conducted across eight databases on 28 February 2022. These databases included</w:t>
      </w:r>
      <w:r w:rsidR="00F6771F">
        <w:t> </w:t>
      </w:r>
      <w:r w:rsidRPr="004020C5">
        <w:t>The Cochrane Collaboration, The Campbell Collaboration, Child Family Community Australia (CFCA), Analysis</w:t>
      </w:r>
      <w:r w:rsidR="00F6771F">
        <w:t> </w:t>
      </w:r>
      <w:r w:rsidRPr="004020C5">
        <w:t>&amp;</w:t>
      </w:r>
      <w:r w:rsidR="00F6771F">
        <w:t> </w:t>
      </w:r>
      <w:r w:rsidRPr="004020C5">
        <w:t>Policy Observatory (APO), the California Evidence-Based Clearinghouse for Child Welfare (CEBC), the Child Welfare Information Gateway (CWIG), Canadian Child Welfare Research Portal (CWRP) and the What Works Network (WWN). Databases searched within the WWN include the National Institute for Health and Care Excellence (NICE), the</w:t>
      </w:r>
      <w:r w:rsidR="00F6771F">
        <w:t> </w:t>
      </w:r>
      <w:r w:rsidRPr="004020C5">
        <w:t>Early Intervention Foundation (EIF), What Works Network Children’s Social Care (WWCSC) and the Wales Centre for Public Policy (WCPP). Search terms such as “child welfare”, “child protection” and “administrative data” were used and then results screened by topic categories relating to DFV, AOD use, MH issues and OOHC. In</w:t>
      </w:r>
      <w:r w:rsidR="00F6771F">
        <w:t> </w:t>
      </w:r>
      <w:r w:rsidRPr="004020C5">
        <w:t>addition to these search terms, researchers searched through subject relevant “Topic” pages in each database, except where this method yielded thousands of results due to the breadth of the topic (for example “children and families”). Where the search terms themselves yielded thousands of results, researchers narrowed the search field by browsing through Topic pages only. The grey literature search produced a total of 13 texts.</w:t>
      </w:r>
    </w:p>
    <w:p w14:paraId="7792489B" w14:textId="5EB75DE3" w:rsidR="004020C5" w:rsidRPr="004020C5" w:rsidRDefault="004020C5" w:rsidP="004020C5">
      <w:pPr>
        <w:pStyle w:val="BodySerif"/>
      </w:pPr>
      <w:r w:rsidRPr="004020C5">
        <w:lastRenderedPageBreak/>
        <w:t>All 13 texts retrieved in grey literature and 17 screened peer-reviewed references were read in full. The below literature review summarises a selection of representative articles that reflect key methodologies and findings relating to the use of</w:t>
      </w:r>
      <w:r w:rsidR="00C56A76">
        <w:t> </w:t>
      </w:r>
      <w:r w:rsidRPr="004020C5">
        <w:t>administrative data to examine the co-occurrence of DFV, AOD use or MH issues and child protection.</w:t>
      </w:r>
    </w:p>
    <w:p w14:paraId="41F850C1" w14:textId="6E510E93" w:rsidR="004020C5" w:rsidRPr="004020C5" w:rsidRDefault="004020C5" w:rsidP="004020C5">
      <w:pPr>
        <w:pStyle w:val="H3"/>
      </w:pPr>
      <w:bookmarkStart w:id="15" w:name="_Toc191286641"/>
      <w:r w:rsidRPr="004020C5">
        <w:t>Literature from Australia</w:t>
      </w:r>
      <w:bookmarkEnd w:id="15"/>
    </w:p>
    <w:p w14:paraId="6E3ECC0F" w14:textId="08C8BF9D" w:rsidR="004020C5" w:rsidRPr="00930B2F" w:rsidRDefault="004020C5" w:rsidP="004020C5">
      <w:pPr>
        <w:pStyle w:val="BodySerif"/>
      </w:pPr>
      <w:r w:rsidRPr="00930B2F">
        <w:t>There were three studies found with an Australian focus and using Australian data. For instance, Meiksans et al. (2021)</w:t>
      </w:r>
      <w:r w:rsidR="00C56A76" w:rsidRPr="00930B2F">
        <w:t> </w:t>
      </w:r>
      <w:r w:rsidRPr="00930B2F">
        <w:t>examined the co-occurrence of multiple risk factors during the prenatal period for families in a single Australian</w:t>
      </w:r>
      <w:r w:rsidR="00C56A76" w:rsidRPr="00930B2F">
        <w:t> </w:t>
      </w:r>
      <w:r w:rsidRPr="00930B2F">
        <w:t>jurisdiction. Recent research (Octoman et al., 2023) has found high rates of prenatal child protection involvement with prenatal reports prevalent in 3 per cent of all Australian pregnancies. Concerns for unborn children are reported about pregnant women who are identified as at serious risk due to multiple potentially co-occurring risk factors including DFV, AOD use, MH issues, housing insecurity or homelessness (Meiksans et al., 2021). The authors sought to</w:t>
      </w:r>
      <w:r w:rsidR="00C56A76" w:rsidRPr="00930B2F">
        <w:t> </w:t>
      </w:r>
      <w:r w:rsidRPr="00930B2F">
        <w:t>investigate the characteristics of families reported during the prenatal period and the risk factors present in these families via a case file review using unit-record administrative data extracted for a random sample of unborn children (</w:t>
      </w:r>
      <w:r w:rsidRPr="00930B2F">
        <w:rPr>
          <w:i/>
          <w:iCs/>
        </w:rPr>
        <w:t>n</w:t>
      </w:r>
      <w:r w:rsidRPr="00930B2F">
        <w:t> = 647) reported to child protection during 2014. Intake reports relating to a 20 per cent random sample (</w:t>
      </w:r>
      <w:r w:rsidRPr="00930B2F">
        <w:rPr>
          <w:i/>
          <w:iCs/>
        </w:rPr>
        <w:t>n</w:t>
      </w:r>
      <w:r w:rsidRPr="00930B2F">
        <w:t> = 131) of</w:t>
      </w:r>
      <w:r w:rsidR="00C56A76" w:rsidRPr="00930B2F">
        <w:t> </w:t>
      </w:r>
      <w:r w:rsidRPr="00930B2F">
        <w:t>unborn children were then coded. Meiksans et al. (2021) found that more than 70 per cent of families in the sample were reported to</w:t>
      </w:r>
      <w:r w:rsidR="00C56A76" w:rsidRPr="00930B2F">
        <w:t> </w:t>
      </w:r>
      <w:r w:rsidRPr="00930B2F">
        <w:t>be experiencing three or more risk factors including current or previous DFV (70%), AOD use (63%), MH issues (58%) or</w:t>
      </w:r>
      <w:r w:rsidR="00C56A76" w:rsidRPr="00930B2F">
        <w:t> </w:t>
      </w:r>
      <w:r w:rsidRPr="00930B2F">
        <w:t>parental criminal activity (34%). These findings demonstrate that unborn children who are the subject of</w:t>
      </w:r>
      <w:r w:rsidR="00C56A76" w:rsidRPr="00930B2F">
        <w:t> </w:t>
      </w:r>
      <w:r w:rsidRPr="00930B2F">
        <w:t>child protection reports are likely to be born into family contexts characterised by high levels of</w:t>
      </w:r>
      <w:r w:rsidR="00C56A76" w:rsidRPr="00930B2F">
        <w:t> </w:t>
      </w:r>
      <w:r w:rsidRPr="00930B2F">
        <w:t>cumulative</w:t>
      </w:r>
      <w:r w:rsidR="00C56A76" w:rsidRPr="00930B2F">
        <w:t> </w:t>
      </w:r>
      <w:r w:rsidRPr="00930B2F">
        <w:t>risk.</w:t>
      </w:r>
    </w:p>
    <w:p w14:paraId="7A275461" w14:textId="33FD5FFB" w:rsidR="004020C5" w:rsidRPr="004020C5" w:rsidRDefault="004020C5" w:rsidP="004020C5">
      <w:pPr>
        <w:pStyle w:val="BodySerif"/>
      </w:pPr>
      <w:r w:rsidRPr="004020C5">
        <w:t>Orr et al. (2019) investigated the association between exposure to DFV and child maltreatment in a cohort of children born in Western Australia between 1990 and 2009 (</w:t>
      </w:r>
      <w:r w:rsidRPr="004020C5">
        <w:rPr>
          <w:i/>
          <w:iCs/>
        </w:rPr>
        <w:t>n</w:t>
      </w:r>
      <w:r w:rsidRPr="004020C5">
        <w:t> = 524,534). Using de-identified, linked administrative data, the</w:t>
      </w:r>
      <w:r w:rsidR="00C56A76">
        <w:t> </w:t>
      </w:r>
      <w:r w:rsidRPr="004020C5">
        <w:t>authors examined the relationship between DFV resulting in mothers being hospitalised and subsequent child maltreatment allegations. Orr et al. (2019) found that 20 per cent of children whose mothers were hospitalised for assault by an intimate partner had a maltreatment allegation. This rate rose to 40 per cent when the mother was assaulted during the prenatal period. Additionally, Aboriginal and Torres Strait Islander children were disproportionately represented in</w:t>
      </w:r>
      <w:r w:rsidR="00C56A76">
        <w:t> </w:t>
      </w:r>
      <w:r w:rsidRPr="004020C5">
        <w:t>the sample, accounting for over half of all allegations despite representing only 7.8 per cent of the population. These</w:t>
      </w:r>
      <w:r w:rsidR="00C56A76">
        <w:t> </w:t>
      </w:r>
      <w:r w:rsidRPr="004020C5">
        <w:t>findings demonstrate the need for targeted early intervention for pregnant women and young mothers experiencing</w:t>
      </w:r>
      <w:r w:rsidR="00C56A76">
        <w:t> </w:t>
      </w:r>
      <w:r w:rsidRPr="004020C5">
        <w:t>violence.</w:t>
      </w:r>
    </w:p>
    <w:p w14:paraId="51DD1409" w14:textId="2C653F14" w:rsidR="004020C5" w:rsidRPr="004020C5" w:rsidRDefault="004020C5" w:rsidP="004020C5">
      <w:pPr>
        <w:pStyle w:val="BodySerif"/>
      </w:pPr>
      <w:r w:rsidRPr="004020C5">
        <w:t>Finally, O’Leary et al. (2020) examined the association between maternal AOD use and adverse outcomes for</w:t>
      </w:r>
      <w:r w:rsidR="00930B2F">
        <w:t> </w:t>
      </w:r>
      <w:r w:rsidRPr="004020C5">
        <w:t>children.</w:t>
      </w:r>
      <w:r w:rsidR="00930B2F">
        <w:t> </w:t>
      </w:r>
      <w:r w:rsidRPr="004020C5">
        <w:t>The authors used live birth data and linked administrative data on children born to women from the Western</w:t>
      </w:r>
      <w:r w:rsidR="00930B2F">
        <w:t> </w:t>
      </w:r>
      <w:r w:rsidRPr="004020C5">
        <w:t>Australia</w:t>
      </w:r>
      <w:r w:rsidR="00930B2F">
        <w:t> </w:t>
      </w:r>
      <w:r w:rsidRPr="004020C5">
        <w:t>Midwives Notification System between 1983 and 2007. Mothers with AOD use, defined as mothers with an</w:t>
      </w:r>
      <w:r w:rsidR="00930B2F">
        <w:t> </w:t>
      </w:r>
      <w:r w:rsidRPr="004020C5">
        <w:t>“alcohol</w:t>
      </w:r>
      <w:r w:rsidR="00930B2F">
        <w:noBreakHyphen/>
      </w:r>
      <w:r w:rsidRPr="004020C5">
        <w:t>related diagnosis”, and their children were matched with a comparison cohort of mothers with no</w:t>
      </w:r>
      <w:r w:rsidR="00930B2F">
        <w:t> </w:t>
      </w:r>
      <w:r w:rsidRPr="004020C5">
        <w:t>record of</w:t>
      </w:r>
      <w:r w:rsidR="00930B2F">
        <w:t> </w:t>
      </w:r>
      <w:r w:rsidRPr="004020C5">
        <w:t>an alcohol-related diagnosis and their children based on maternal age, Indigenous status and year of the child’s birth (O’Leary</w:t>
      </w:r>
      <w:r w:rsidR="00930B2F">
        <w:t> </w:t>
      </w:r>
      <w:r w:rsidRPr="004020C5">
        <w:t>et</w:t>
      </w:r>
      <w:r w:rsidR="00930B2F">
        <w:t> </w:t>
      </w:r>
      <w:r w:rsidRPr="004020C5">
        <w:t>al.,</w:t>
      </w:r>
      <w:r w:rsidR="00930B2F">
        <w:t> </w:t>
      </w:r>
      <w:r w:rsidRPr="004020C5">
        <w:t>2020, p. 461). Measured outcomes included birth outcomes, social outcomes including child protection involvement, justice contact and academic outcomes for the children. The authors found that the majority of</w:t>
      </w:r>
      <w:r w:rsidR="00930B2F">
        <w:t> </w:t>
      </w:r>
      <w:r w:rsidRPr="004020C5">
        <w:t>children (55%</w:t>
      </w:r>
      <w:r w:rsidR="00930B2F">
        <w:t> </w:t>
      </w:r>
      <w:r w:rsidRPr="004020C5">
        <w:t>of</w:t>
      </w:r>
      <w:r w:rsidR="00930B2F">
        <w:t> </w:t>
      </w:r>
      <w:r w:rsidRPr="004020C5">
        <w:t>non</w:t>
      </w:r>
      <w:r w:rsidR="00C56A76">
        <w:noBreakHyphen/>
      </w:r>
      <w:r w:rsidRPr="004020C5">
        <w:t>Indigenous children and 84% of Indigenous children) exposed to prenatal AOD use experienced at</w:t>
      </w:r>
      <w:r w:rsidR="00930B2F">
        <w:t> </w:t>
      </w:r>
      <w:r w:rsidRPr="004020C5">
        <w:t>least one negative outcome. The likelihood of experiencing any negative outcome was 2.67 times greater for children exposed to</w:t>
      </w:r>
      <w:r w:rsidR="00930B2F">
        <w:t> </w:t>
      </w:r>
      <w:r w:rsidRPr="004020C5">
        <w:t>AOD use than the comparison cohort. It should be noted that there is a striking lack of Australian research examining the relationship between paternal AOD use and adverse outcomes for children.</w:t>
      </w:r>
    </w:p>
    <w:p w14:paraId="29566E6B" w14:textId="0A99007D" w:rsidR="004020C5" w:rsidRPr="004020C5" w:rsidRDefault="004020C5" w:rsidP="004020C5">
      <w:pPr>
        <w:pStyle w:val="H3"/>
      </w:pPr>
      <w:bookmarkStart w:id="16" w:name="_Toc191286642"/>
      <w:r w:rsidRPr="004020C5">
        <w:t>Use of administrative data to investigate the causes of child maltreatment — co-occurrence of two or more factors with child protection</w:t>
      </w:r>
      <w:bookmarkEnd w:id="16"/>
    </w:p>
    <w:p w14:paraId="73D6CDD8" w14:textId="555AB97A" w:rsidR="004020C5" w:rsidRPr="004020C5" w:rsidRDefault="004020C5" w:rsidP="004020C5">
      <w:pPr>
        <w:pStyle w:val="BodySerif"/>
      </w:pPr>
      <w:r w:rsidRPr="004020C5">
        <w:t>Other studies identified in the review came from international literature outside Australia. Many studies investigated the causes of child maltreatment via a linked analysis of longitudinal cohort studies or health records with official child welfare records to determine factors that increase the likelihood of children experiencing maltreatment. It should be</w:t>
      </w:r>
      <w:r w:rsidR="00930B2F">
        <w:t> </w:t>
      </w:r>
      <w:r w:rsidRPr="004020C5">
        <w:t>noted that across the literature, engagement with the child welfare system via substantiated reports recorded in</w:t>
      </w:r>
      <w:r w:rsidR="00930B2F">
        <w:t> </w:t>
      </w:r>
      <w:r w:rsidRPr="004020C5">
        <w:t>administrative databases is a proxy for child maltreatment. Austin et al. (2020) sought to identify classes of children stratified by Alaska Native/American Indian (AN/AI) and non-Native status with similar patterns of risk and protective factors, as well as differences and similarities in the probability of risk and protective factors between these classes of</w:t>
      </w:r>
      <w:r w:rsidR="00930B2F">
        <w:t> </w:t>
      </w:r>
      <w:r w:rsidRPr="004020C5">
        <w:t xml:space="preserve">children. The authors used data from the “Alaska Longitudinal Child Abuse and Neglect Linkage” (ALCANLink) project which involved linkage of 2009 to 2011 Alaska Pregnancy Risk Assessment Monitoring System (PRAMS) surveys and administrative data sources and the 2012 to 2014 Alaska Childhood Understanding Behaviors Survey </w:t>
      </w:r>
      <w:r w:rsidRPr="004020C5">
        <w:lastRenderedPageBreak/>
        <w:t>(CUBS), to conduct a latent class analysis that describes differences in patterns of multiple variables between individuals within their sample. Austin et al. (2020) identified seven risk factors (including maternal depression, maternal binge drinking, intimate partner violence exposure, other violence exposure, child maltreatment, poverty and parental incarceration) and four protective factors (father-figure involvement, family meals, peer interaction and reading by</w:t>
      </w:r>
      <w:r w:rsidR="00930B2F">
        <w:t> </w:t>
      </w:r>
      <w:r w:rsidRPr="004020C5">
        <w:t>adults) among the sample of children and found significant differences within and between the classes of AN/AI and</w:t>
      </w:r>
      <w:r w:rsidR="00930B2F">
        <w:t> </w:t>
      </w:r>
      <w:r w:rsidRPr="004020C5">
        <w:t>non-Native children in terms of risk and protective factor probabilities. The findings demonstrate the need for interventions that are tailored to the experiences and needs of specific groups of AN/AI and non-Native status children and caution against interventions that apply a one-size-fits-all approach to classes of children stratified along lines of</w:t>
      </w:r>
      <w:r w:rsidR="00930B2F">
        <w:t> </w:t>
      </w:r>
      <w:r w:rsidRPr="004020C5">
        <w:t>AN/AI and non-Native status.</w:t>
      </w:r>
    </w:p>
    <w:p w14:paraId="12A3C28B" w14:textId="0734B5B6" w:rsidR="004020C5" w:rsidRPr="00930B2F" w:rsidRDefault="004020C5" w:rsidP="004020C5">
      <w:pPr>
        <w:pStyle w:val="BodySerif"/>
        <w:rPr>
          <w:spacing w:val="-2"/>
        </w:rPr>
      </w:pPr>
      <w:r w:rsidRPr="00930B2F">
        <w:rPr>
          <w:spacing w:val="-2"/>
        </w:rPr>
        <w:t>Similar analyses involving latent class analysis and Cox regression were conducted on administrative data obtained from Florida’s Statewide Automated Child Welfare Information System – the Florida Safe Families Network – to investigate the characteristics of children in OOHC and the relationship between their profiles and permanency outcomes (Yampolskaya et</w:t>
      </w:r>
      <w:r w:rsidR="00930B2F">
        <w:rPr>
          <w:spacing w:val="-2"/>
        </w:rPr>
        <w:t> </w:t>
      </w:r>
      <w:r w:rsidRPr="00930B2F">
        <w:rPr>
          <w:spacing w:val="-2"/>
        </w:rPr>
        <w:t>al., 2014). Here, the authors used latent class analysis to identify subgroups of children with distinct profiles in OOHC and Cox regression to examine the association between affiliation with a subgroup and permanency outcomes including time to</w:t>
      </w:r>
      <w:r w:rsidR="00930B2F">
        <w:rPr>
          <w:spacing w:val="-2"/>
        </w:rPr>
        <w:t> </w:t>
      </w:r>
      <w:r w:rsidRPr="00930B2F">
        <w:rPr>
          <w:spacing w:val="-2"/>
        </w:rPr>
        <w:t>reunification and time to adoption. Yampolskaya et al. (2014) identified three subgroups of</w:t>
      </w:r>
      <w:r w:rsidR="00930B2F" w:rsidRPr="00930B2F">
        <w:rPr>
          <w:spacing w:val="-2"/>
        </w:rPr>
        <w:t> </w:t>
      </w:r>
      <w:r w:rsidRPr="00930B2F">
        <w:rPr>
          <w:spacing w:val="-2"/>
        </w:rPr>
        <w:t>children in OOHC: “children in families with complex needs”, “older abused children”, and “children with complex</w:t>
      </w:r>
      <w:r w:rsidR="00930B2F" w:rsidRPr="00930B2F">
        <w:rPr>
          <w:spacing w:val="-2"/>
        </w:rPr>
        <w:t> </w:t>
      </w:r>
      <w:r w:rsidRPr="00930B2F">
        <w:rPr>
          <w:spacing w:val="-2"/>
        </w:rPr>
        <w:t>needs”. “Children in families with complex needs” were characterised by having caregivers with cumulative risk factors including AOD use and DFV. This group represented the largest cohort in the sample (64% of children in</w:t>
      </w:r>
      <w:r w:rsidR="00930B2F" w:rsidRPr="00930B2F">
        <w:rPr>
          <w:spacing w:val="-2"/>
        </w:rPr>
        <w:t> </w:t>
      </w:r>
      <w:r w:rsidRPr="00930B2F">
        <w:rPr>
          <w:spacing w:val="-2"/>
        </w:rPr>
        <w:t>OOHC) and had the highest probability of</w:t>
      </w:r>
      <w:r w:rsidR="00930B2F">
        <w:rPr>
          <w:spacing w:val="-2"/>
        </w:rPr>
        <w:t> </w:t>
      </w:r>
      <w:r w:rsidRPr="00930B2F">
        <w:rPr>
          <w:spacing w:val="-2"/>
        </w:rPr>
        <w:t>a timely permanence outcome through reunification. Comparatively, “children with complex needs” represented a</w:t>
      </w:r>
      <w:r w:rsidR="00930B2F">
        <w:rPr>
          <w:spacing w:val="-2"/>
        </w:rPr>
        <w:t> </w:t>
      </w:r>
      <w:r w:rsidRPr="00930B2F">
        <w:rPr>
          <w:spacing w:val="-2"/>
        </w:rPr>
        <w:t>smaller group (6% of the sample) of children with multiple problems and</w:t>
      </w:r>
      <w:r w:rsidR="00930B2F" w:rsidRPr="00930B2F">
        <w:rPr>
          <w:spacing w:val="-2"/>
        </w:rPr>
        <w:t> </w:t>
      </w:r>
      <w:r w:rsidRPr="00930B2F">
        <w:rPr>
          <w:spacing w:val="-2"/>
        </w:rPr>
        <w:t>were at much higher risk for negative outcomes in</w:t>
      </w:r>
      <w:r w:rsidR="00930B2F">
        <w:rPr>
          <w:spacing w:val="-2"/>
        </w:rPr>
        <w:t> </w:t>
      </w:r>
      <w:r w:rsidRPr="00930B2F">
        <w:rPr>
          <w:spacing w:val="-2"/>
        </w:rPr>
        <w:t>terms of</w:t>
      </w:r>
      <w:r w:rsidR="00930B2F">
        <w:rPr>
          <w:spacing w:val="-2"/>
        </w:rPr>
        <w:t> </w:t>
      </w:r>
      <w:r w:rsidRPr="00930B2F">
        <w:rPr>
          <w:spacing w:val="-2"/>
        </w:rPr>
        <w:t>longer length of stay in OOHC, less likelihood of</w:t>
      </w:r>
      <w:r w:rsidR="00930B2F" w:rsidRPr="00930B2F">
        <w:rPr>
          <w:spacing w:val="-2"/>
        </w:rPr>
        <w:t> </w:t>
      </w:r>
      <w:r w:rsidRPr="00930B2F">
        <w:rPr>
          <w:spacing w:val="-2"/>
        </w:rPr>
        <w:t>reunification and adoption compared with “children in families with complex needs”. “Older abused children” represented 30 per cent of</w:t>
      </w:r>
      <w:r w:rsidR="00930B2F" w:rsidRPr="00930B2F">
        <w:rPr>
          <w:spacing w:val="-2"/>
        </w:rPr>
        <w:t> </w:t>
      </w:r>
      <w:r w:rsidRPr="00930B2F">
        <w:rPr>
          <w:spacing w:val="-2"/>
        </w:rPr>
        <w:t>the sample and were characterised by high rates of</w:t>
      </w:r>
      <w:r w:rsidR="00930B2F">
        <w:rPr>
          <w:spacing w:val="-2"/>
        </w:rPr>
        <w:t> </w:t>
      </w:r>
      <w:r w:rsidRPr="00930B2F">
        <w:rPr>
          <w:spacing w:val="-2"/>
        </w:rPr>
        <w:t>multiple types of abuse and caregiver loss due to death, incarceration or hospitalisation. This subgroup had low rates of</w:t>
      </w:r>
      <w:r w:rsidR="00930B2F">
        <w:rPr>
          <w:spacing w:val="-2"/>
        </w:rPr>
        <w:t> </w:t>
      </w:r>
      <w:r w:rsidRPr="00930B2F">
        <w:rPr>
          <w:spacing w:val="-2"/>
        </w:rPr>
        <w:t>adoption with permanency outcomes only marginally better for this subgroup compared with “children with complex needs”. A limitation of this research is that no</w:t>
      </w:r>
      <w:r w:rsidR="00930B2F" w:rsidRPr="00930B2F">
        <w:rPr>
          <w:spacing w:val="-2"/>
        </w:rPr>
        <w:t> </w:t>
      </w:r>
      <w:r w:rsidRPr="00930B2F">
        <w:rPr>
          <w:spacing w:val="-2"/>
        </w:rPr>
        <w:t>data were collected about fathers’ mental health status or AOD use.</w:t>
      </w:r>
    </w:p>
    <w:p w14:paraId="2F6B17B4" w14:textId="49C327C8" w:rsidR="004020C5" w:rsidRPr="00930B2F" w:rsidRDefault="004020C5" w:rsidP="004020C5">
      <w:pPr>
        <w:pStyle w:val="BodySerif"/>
        <w:rPr>
          <w:spacing w:val="-2"/>
        </w:rPr>
      </w:pPr>
      <w:r w:rsidRPr="00930B2F">
        <w:rPr>
          <w:spacing w:val="-2"/>
        </w:rPr>
        <w:t>Ayer et al. (2016) used data from the National Survey of Child and Adolescent Well-Being II, a longitudinal national probability study of children and families investigated for child maltreatment, to examine differences between male and female primary caregivers for youth involved in the child welfare system. The authors conducted a secondary analysis of</w:t>
      </w:r>
      <w:r w:rsidR="00930B2F" w:rsidRPr="00930B2F">
        <w:rPr>
          <w:spacing w:val="-2"/>
        </w:rPr>
        <w:t> </w:t>
      </w:r>
      <w:r w:rsidRPr="00930B2F">
        <w:rPr>
          <w:spacing w:val="-2"/>
        </w:rPr>
        <w:t>baseline data including 5,873 children who were the subject of completed maltreatment investigations from 2008 to</w:t>
      </w:r>
      <w:r w:rsidR="00930B2F" w:rsidRPr="00930B2F">
        <w:rPr>
          <w:spacing w:val="-2"/>
        </w:rPr>
        <w:t> </w:t>
      </w:r>
      <w:r w:rsidRPr="00930B2F">
        <w:rPr>
          <w:spacing w:val="-2"/>
        </w:rPr>
        <w:t>2009 and identified a number of risk factors including primary caregiver depression, substance dependence, parenting</w:t>
      </w:r>
      <w:r w:rsidR="00930B2F" w:rsidRPr="00930B2F">
        <w:rPr>
          <w:spacing w:val="-2"/>
        </w:rPr>
        <w:t> </w:t>
      </w:r>
      <w:r w:rsidRPr="00930B2F">
        <w:rPr>
          <w:spacing w:val="-2"/>
        </w:rPr>
        <w:t>quality, service use, and child mental health. Ayer et al. (2016) found that children with male primary caregivers were more likely to have experienced physical abuse, but less likely to have experienced emotional abuse or</w:t>
      </w:r>
      <w:r w:rsidR="00930B2F" w:rsidRPr="00930B2F">
        <w:rPr>
          <w:spacing w:val="-2"/>
        </w:rPr>
        <w:t> </w:t>
      </w:r>
      <w:r w:rsidRPr="00930B2F">
        <w:rPr>
          <w:spacing w:val="-2"/>
        </w:rPr>
        <w:t>DFV than children with female caregivers. Consequently, the authors concluded that interventions targeted towards children at risk of child protection involvement should consider the gender of the primary caregiver and associated risk factors.</w:t>
      </w:r>
    </w:p>
    <w:p w14:paraId="3A7919A0" w14:textId="073A2D05" w:rsidR="004020C5" w:rsidRPr="004020C5" w:rsidRDefault="004020C5" w:rsidP="004020C5">
      <w:pPr>
        <w:pStyle w:val="BodySerif"/>
      </w:pPr>
      <w:r w:rsidRPr="004020C5">
        <w:t>Baldwin et al. (2020) conducted an analysis of linked datasets to prospectively examine risk factors for child maltreatment. The authors investigated the association between maternal characteristics and circumstances during pregnancy and subsequent identification of child maltreatment concerns. Baldwin et al. (2020) utilised data from questionnaires administered to expectant mothers of 11,332 children born in socio-economically disadvantaged, multi</w:t>
      </w:r>
      <w:r w:rsidR="00930B2F">
        <w:noBreakHyphen/>
      </w:r>
      <w:r w:rsidRPr="004020C5">
        <w:t>ethnic communities between 2007 and 2011 for a birth cohort study, and administrative data on children referred to child welfare services. The authors found that factors present during the antenatal period were associated with increased risk for subsequent child maltreatment including maternal mental illness and maternal smoking during pregnancy among others. These findings highlighted the need for multidimensional interventions that address the complex nature and aetiology of child maltreatment.</w:t>
      </w:r>
    </w:p>
    <w:p w14:paraId="52D8E2AB" w14:textId="5BD870CF" w:rsidR="004020C5" w:rsidRPr="004020C5" w:rsidRDefault="004020C5" w:rsidP="004020C5">
      <w:pPr>
        <w:pStyle w:val="H3"/>
      </w:pPr>
      <w:bookmarkStart w:id="17" w:name="_Toc191286643"/>
      <w:r w:rsidRPr="004020C5">
        <w:t>Use of administrative data to investigate the cause of a subtype of child maltreatment — co-occurrence of two or more factors with child protection</w:t>
      </w:r>
      <w:bookmarkEnd w:id="17"/>
    </w:p>
    <w:p w14:paraId="657CA844" w14:textId="21F2FF69" w:rsidR="004020C5" w:rsidRPr="004020C5" w:rsidRDefault="004020C5" w:rsidP="004020C5">
      <w:pPr>
        <w:pStyle w:val="BodySerif"/>
      </w:pPr>
      <w:r w:rsidRPr="004020C5">
        <w:t>Other studies included in this review examine the cause of particular subtypes of child maltreatment or abuse. For example, Sokol et al. (2021) sought to describe the contextual risk factors that increase the incidence of supervisory neglect using state administrative data from substantiated child maltreatment investigations in 2019. The authors reviewed substantiated cases of supervisory neglect (</w:t>
      </w:r>
      <w:r w:rsidRPr="004020C5">
        <w:rPr>
          <w:i/>
          <w:iCs/>
        </w:rPr>
        <w:t>n</w:t>
      </w:r>
      <w:r w:rsidRPr="004020C5">
        <w:t> = 150) to identify 10 contextual risk factors including exposure to</w:t>
      </w:r>
      <w:r w:rsidR="00930B2F">
        <w:t> </w:t>
      </w:r>
      <w:r w:rsidRPr="004020C5">
        <w:t>DFV and caregivers’ substance-related problems. The co-occurrence of these two factors was the most common intersection of risk factors among the cases analysed. These findings highlight the importance of considering risks associated with DFV and AOD use in interventions that target children who are at risk of supervisory neglect.</w:t>
      </w:r>
    </w:p>
    <w:p w14:paraId="7A5012FD" w14:textId="772536C1" w:rsidR="004020C5" w:rsidRPr="004020C5" w:rsidRDefault="004020C5" w:rsidP="004020C5">
      <w:pPr>
        <w:pStyle w:val="H3"/>
      </w:pPr>
      <w:bookmarkStart w:id="18" w:name="_Toc191286644"/>
      <w:r w:rsidRPr="004020C5">
        <w:lastRenderedPageBreak/>
        <w:t>Use of administrative data to investigate the cause of child maltreatment — the relationship between one risk factor and child protection</w:t>
      </w:r>
      <w:bookmarkEnd w:id="18"/>
    </w:p>
    <w:p w14:paraId="6CF56F64" w14:textId="69B27D47" w:rsidR="004020C5" w:rsidRPr="004020C5" w:rsidRDefault="004020C5" w:rsidP="00930B2F">
      <w:pPr>
        <w:pStyle w:val="H4"/>
        <w:spacing w:before="240" w:after="0" w:afterAutospacing="0"/>
      </w:pPr>
      <w:r w:rsidRPr="004020C5">
        <w:t>Parental alcohol and other drug use and child protection</w:t>
      </w:r>
    </w:p>
    <w:p w14:paraId="1EBF365B" w14:textId="53C566C2" w:rsidR="004020C5" w:rsidRPr="00930B2F" w:rsidRDefault="004020C5" w:rsidP="00930B2F">
      <w:pPr>
        <w:pStyle w:val="BodySerif"/>
        <w:rPr>
          <w:spacing w:val="-2"/>
        </w:rPr>
      </w:pPr>
      <w:r w:rsidRPr="00930B2F">
        <w:rPr>
          <w:spacing w:val="-2"/>
        </w:rPr>
        <w:t>A number of studies included in this literature review examined the relationship between one parental risk factor (DFV,</w:t>
      </w:r>
      <w:r w:rsidR="00930B2F" w:rsidRPr="00930B2F">
        <w:rPr>
          <w:spacing w:val="-2"/>
        </w:rPr>
        <w:t> </w:t>
      </w:r>
      <w:r w:rsidRPr="00930B2F">
        <w:rPr>
          <w:spacing w:val="-2"/>
        </w:rPr>
        <w:t>AOD use or MH issues) and incidence of child maltreatment or entry into child protection. Freisthler (2004) examined</w:t>
      </w:r>
      <w:r w:rsidR="00930B2F" w:rsidRPr="00930B2F">
        <w:rPr>
          <w:spacing w:val="-2"/>
        </w:rPr>
        <w:t> </w:t>
      </w:r>
      <w:r w:rsidRPr="00930B2F">
        <w:rPr>
          <w:spacing w:val="-2"/>
        </w:rPr>
        <w:t>the relationship between access to alcohol (measured via the density of bars/pubs in a neighbourhood) and</w:t>
      </w:r>
      <w:r w:rsidR="00930B2F">
        <w:rPr>
          <w:spacing w:val="-2"/>
        </w:rPr>
        <w:t> </w:t>
      </w:r>
      <w:r w:rsidRPr="00930B2F">
        <w:rPr>
          <w:spacing w:val="-2"/>
        </w:rPr>
        <w:t>neighbourhood rates of child maltreatment across three counties in California. Using aggregated administrative reports, Freisthler (2004) applied spatial regression modelling to determine that neighbourhoods with a greater density of bars as</w:t>
      </w:r>
      <w:r w:rsidR="00930B2F" w:rsidRPr="00930B2F">
        <w:rPr>
          <w:spacing w:val="-2"/>
        </w:rPr>
        <w:t> </w:t>
      </w:r>
      <w:r w:rsidRPr="00930B2F">
        <w:rPr>
          <w:spacing w:val="-2"/>
        </w:rPr>
        <w:t>well as higher rates of poverty, female-headed households, Hispanic residents and reduced population density have higher rates of child maltreatment. This finding was substantiated by a later analysis undertaken by Morton et al. (2014) which investigated the relationship between concentrations of alcohol outlets and rates of child abuse and neglect. Specifically, Morton et al. (2014) used aggregated administrative data from census tracts on reports of child abuse and</w:t>
      </w:r>
      <w:r w:rsidR="00930B2F">
        <w:rPr>
          <w:spacing w:val="-2"/>
        </w:rPr>
        <w:t> </w:t>
      </w:r>
      <w:r w:rsidRPr="00930B2F">
        <w:rPr>
          <w:spacing w:val="-2"/>
        </w:rPr>
        <w:t>neglect, alcohol outlets and substance abuse treatment and prevention facilities to assess the association between socio</w:t>
      </w:r>
      <w:r w:rsidR="00930B2F" w:rsidRPr="00930B2F">
        <w:rPr>
          <w:spacing w:val="-2"/>
        </w:rPr>
        <w:noBreakHyphen/>
      </w:r>
      <w:r w:rsidRPr="00930B2F">
        <w:rPr>
          <w:spacing w:val="-2"/>
        </w:rPr>
        <w:t>economic structure, access to alcohol and substance use service facilities and rates of child abuse and neglect. In</w:t>
      </w:r>
      <w:r w:rsidR="00930B2F" w:rsidRPr="00930B2F">
        <w:rPr>
          <w:spacing w:val="-2"/>
        </w:rPr>
        <w:t> </w:t>
      </w:r>
      <w:r w:rsidRPr="00930B2F">
        <w:rPr>
          <w:spacing w:val="-2"/>
        </w:rPr>
        <w:t>line with Freisthler’s (2004) findings, the authors found that areas with higher concentration of alcohol outlets had higher rates of child neglect. Conversely, areas with greater access to substance use services demonstrated lower rates of</w:t>
      </w:r>
      <w:r w:rsidR="00930B2F" w:rsidRPr="00930B2F">
        <w:rPr>
          <w:spacing w:val="-2"/>
        </w:rPr>
        <w:t> </w:t>
      </w:r>
      <w:r w:rsidRPr="00930B2F">
        <w:rPr>
          <w:spacing w:val="-2"/>
        </w:rPr>
        <w:t>neglect. These</w:t>
      </w:r>
      <w:r w:rsidR="00930B2F">
        <w:rPr>
          <w:spacing w:val="-2"/>
        </w:rPr>
        <w:t> </w:t>
      </w:r>
      <w:r w:rsidRPr="00930B2F">
        <w:rPr>
          <w:spacing w:val="-2"/>
        </w:rPr>
        <w:t>studies cumulatively demonstrate the potential utility of environmental prevention or neighbourhood strengthening programs that target reduced supply of AOD in also minimising risk for, or reducing incidence of, child</w:t>
      </w:r>
      <w:r w:rsidR="00930B2F" w:rsidRPr="00930B2F">
        <w:rPr>
          <w:spacing w:val="-2"/>
        </w:rPr>
        <w:t> </w:t>
      </w:r>
      <w:r w:rsidRPr="00930B2F">
        <w:rPr>
          <w:spacing w:val="-2"/>
        </w:rPr>
        <w:t>maltreatment.</w:t>
      </w:r>
    </w:p>
    <w:p w14:paraId="2895119C" w14:textId="76B6DA5D" w:rsidR="004020C5" w:rsidRPr="004020C5" w:rsidRDefault="004020C5" w:rsidP="00930B2F">
      <w:pPr>
        <w:pStyle w:val="H4"/>
        <w:spacing w:after="0" w:afterAutospacing="0"/>
      </w:pPr>
      <w:r w:rsidRPr="004020C5">
        <w:t>Parental mental health issues and child protection</w:t>
      </w:r>
    </w:p>
    <w:p w14:paraId="79D14B42" w14:textId="53C66741" w:rsidR="004020C5" w:rsidRPr="00930B2F" w:rsidRDefault="004020C5" w:rsidP="00930B2F">
      <w:pPr>
        <w:pStyle w:val="BodySerif"/>
        <w:rPr>
          <w:spacing w:val="-2"/>
        </w:rPr>
      </w:pPr>
      <w:r w:rsidRPr="00930B2F">
        <w:rPr>
          <w:spacing w:val="-2"/>
        </w:rPr>
        <w:t>The association between maternal mental illness and child maltreatment was explored by Kohl et al. (2011) in</w:t>
      </w:r>
      <w:r w:rsidR="00930B2F" w:rsidRPr="00930B2F">
        <w:rPr>
          <w:spacing w:val="-2"/>
        </w:rPr>
        <w:t> </w:t>
      </w:r>
      <w:r w:rsidRPr="00930B2F">
        <w:rPr>
          <w:spacing w:val="-2"/>
        </w:rPr>
        <w:t>an</w:t>
      </w:r>
      <w:r w:rsidR="00930B2F" w:rsidRPr="00930B2F">
        <w:rPr>
          <w:spacing w:val="-2"/>
        </w:rPr>
        <w:t> </w:t>
      </w:r>
      <w:r w:rsidRPr="00930B2F">
        <w:rPr>
          <w:spacing w:val="-2"/>
        </w:rPr>
        <w:t>analysis of</w:t>
      </w:r>
      <w:r w:rsidR="00930B2F">
        <w:rPr>
          <w:spacing w:val="-2"/>
        </w:rPr>
        <w:t> </w:t>
      </w:r>
      <w:r w:rsidRPr="00930B2F">
        <w:rPr>
          <w:spacing w:val="-2"/>
        </w:rPr>
        <w:t>administrative data from the US Department of Social Services and Department of Mental Health. The</w:t>
      </w:r>
      <w:r w:rsidR="00930B2F" w:rsidRPr="00930B2F">
        <w:rPr>
          <w:spacing w:val="-2"/>
        </w:rPr>
        <w:t> </w:t>
      </w:r>
      <w:r w:rsidRPr="00930B2F">
        <w:rPr>
          <w:spacing w:val="-2"/>
        </w:rPr>
        <w:t>authors sought to</w:t>
      </w:r>
      <w:r w:rsidR="00930B2F">
        <w:rPr>
          <w:spacing w:val="-2"/>
        </w:rPr>
        <w:t> </w:t>
      </w:r>
      <w:r w:rsidRPr="00930B2F">
        <w:rPr>
          <w:spacing w:val="-2"/>
        </w:rPr>
        <w:t>determine the association between poor maternal MH and children’s long-term safety and</w:t>
      </w:r>
      <w:r w:rsidR="00930B2F" w:rsidRPr="00930B2F">
        <w:rPr>
          <w:spacing w:val="-2"/>
        </w:rPr>
        <w:t> </w:t>
      </w:r>
      <w:r w:rsidRPr="00930B2F">
        <w:rPr>
          <w:spacing w:val="-2"/>
        </w:rPr>
        <w:t>stability,</w:t>
      </w:r>
      <w:r w:rsidR="00930B2F" w:rsidRPr="00930B2F">
        <w:rPr>
          <w:spacing w:val="-2"/>
        </w:rPr>
        <w:t> </w:t>
      </w:r>
      <w:r w:rsidRPr="00930B2F">
        <w:rPr>
          <w:spacing w:val="-2"/>
        </w:rPr>
        <w:t>measured via the number of new child maltreatment reports and foster care placements. Kohl et al. (2011) found that children of mothers with any diagnosed mental illness were more likely to be the subject of new reports. Children</w:t>
      </w:r>
      <w:r w:rsidR="00930B2F" w:rsidRPr="00930B2F">
        <w:rPr>
          <w:spacing w:val="-2"/>
        </w:rPr>
        <w:t> </w:t>
      </w:r>
      <w:r w:rsidRPr="00930B2F">
        <w:rPr>
          <w:spacing w:val="-2"/>
        </w:rPr>
        <w:t>of</w:t>
      </w:r>
      <w:r w:rsidR="00930B2F" w:rsidRPr="00930B2F">
        <w:rPr>
          <w:spacing w:val="-2"/>
        </w:rPr>
        <w:t> </w:t>
      </w:r>
      <w:r w:rsidRPr="00930B2F">
        <w:rPr>
          <w:spacing w:val="-2"/>
        </w:rPr>
        <w:t>mothers with mood and anxiety disorders were found to be at especially heightened risk for new reports. These</w:t>
      </w:r>
      <w:r w:rsidR="00930B2F" w:rsidRPr="00930B2F">
        <w:rPr>
          <w:spacing w:val="-2"/>
        </w:rPr>
        <w:t> </w:t>
      </w:r>
      <w:r w:rsidRPr="00930B2F">
        <w:rPr>
          <w:spacing w:val="-2"/>
        </w:rPr>
        <w:t>findings illustrate the correlation between poor maternal MH and poor longer-term outcomes for children involved in the OOHC system.</w:t>
      </w:r>
    </w:p>
    <w:p w14:paraId="6D412F04" w14:textId="4D57BFE6" w:rsidR="004020C5" w:rsidRPr="004020C5" w:rsidRDefault="004020C5" w:rsidP="00930B2F">
      <w:pPr>
        <w:pStyle w:val="H3"/>
        <w:spacing w:after="0" w:afterAutospacing="0"/>
      </w:pPr>
      <w:bookmarkStart w:id="19" w:name="_Toc191286645"/>
      <w:r w:rsidRPr="004020C5">
        <w:t>Summary</w:t>
      </w:r>
      <w:bookmarkEnd w:id="19"/>
    </w:p>
    <w:p w14:paraId="78B59905" w14:textId="68F5B3EF" w:rsidR="004020C5" w:rsidRPr="004020C5" w:rsidRDefault="004020C5" w:rsidP="00930B2F">
      <w:pPr>
        <w:pStyle w:val="BodySerif"/>
        <w:spacing w:after="0" w:afterAutospacing="0"/>
      </w:pPr>
      <w:r w:rsidRPr="004020C5">
        <w:t>This summary of literature involving use of administrative data in an analysis of the co-occurrence of DFV, AOD use or</w:t>
      </w:r>
      <w:r w:rsidR="00930B2F">
        <w:t> </w:t>
      </w:r>
      <w:r w:rsidRPr="004020C5">
        <w:t>MH issues and child protection demonstrates the advantages of using linked administrative data in child protection research. Namely, linked administrative data facilitates analysis of population-level patterns and trends in child maltreatment and a more nuanced, multifactorial analysis of risk and protective factors and outcomes for children. For</w:t>
      </w:r>
      <w:r w:rsidR="00930B2F">
        <w:t> </w:t>
      </w:r>
      <w:r w:rsidRPr="004020C5">
        <w:t>example, researchers can identify and isolate differences in patterns of multiple variables between individuals within a sample cohort to better understand variations in how particular subgroups experience risk factors and corresponding outcomes (see Austin et al., 2020). Additionally, researchers can prospectively map the likelihood of a particular outcome for groups of children based on an assessment of risk in the prenatal and antenatal periods (Baldwin et al., 2020; Orr et al., 2019) and map longer-term trajectories of specific groups from childhood into adulthood. Use</w:t>
      </w:r>
      <w:r w:rsidR="00930B2F">
        <w:t> </w:t>
      </w:r>
      <w:r w:rsidRPr="004020C5">
        <w:t>of</w:t>
      </w:r>
      <w:r w:rsidR="00930B2F">
        <w:t> </w:t>
      </w:r>
      <w:r w:rsidRPr="004020C5">
        <w:t>population-based administrative data can also reduce pitfalls associated with sampling errors, missing data and</w:t>
      </w:r>
      <w:r w:rsidR="00930B2F">
        <w:t> </w:t>
      </w:r>
      <w:r w:rsidRPr="004020C5">
        <w:t>bias that can present in other forms of longitudinal research (Chikwava et al., 2021).</w:t>
      </w:r>
    </w:p>
    <w:p w14:paraId="69BC5CA9" w14:textId="50ABD796" w:rsidR="004020C5" w:rsidRPr="004020C5" w:rsidRDefault="004020C5" w:rsidP="00930B2F">
      <w:pPr>
        <w:pStyle w:val="H3"/>
        <w:spacing w:after="0" w:afterAutospacing="0"/>
      </w:pPr>
      <w:bookmarkStart w:id="20" w:name="_Toc191286646"/>
      <w:r w:rsidRPr="004020C5">
        <w:t>Gaps in existing research</w:t>
      </w:r>
      <w:bookmarkEnd w:id="20"/>
    </w:p>
    <w:p w14:paraId="7A3BA55E" w14:textId="56E7D531" w:rsidR="004020C5" w:rsidRPr="004020C5" w:rsidRDefault="004020C5" w:rsidP="00930B2F">
      <w:pPr>
        <w:pStyle w:val="BodySerif"/>
        <w:spacing w:after="0" w:afterAutospacing="0"/>
      </w:pPr>
      <w:r w:rsidRPr="004020C5">
        <w:t>The majority of research undertaken in this area is from the United States. Of 19 academic articles included in this review, 13 documented research conducted in the United States. The remainder were based in Australia (</w:t>
      </w:r>
      <w:r w:rsidRPr="004020C5">
        <w:rPr>
          <w:i/>
          <w:iCs/>
        </w:rPr>
        <w:t>n</w:t>
      </w:r>
      <w:r w:rsidRPr="004020C5">
        <w:t> = 3), Canada</w:t>
      </w:r>
      <w:r w:rsidR="00930B2F">
        <w:t> </w:t>
      </w:r>
      <w:r w:rsidRPr="004020C5">
        <w:t>(</w:t>
      </w:r>
      <w:r w:rsidRPr="004020C5">
        <w:rPr>
          <w:i/>
          <w:iCs/>
        </w:rPr>
        <w:t>n</w:t>
      </w:r>
      <w:r w:rsidRPr="004020C5">
        <w:t> = 2) and the United Kingdom (</w:t>
      </w:r>
      <w:r w:rsidRPr="004020C5">
        <w:rPr>
          <w:i/>
          <w:iCs/>
        </w:rPr>
        <w:t>n</w:t>
      </w:r>
      <w:r w:rsidRPr="004020C5">
        <w:t> = 1). Despite key differences in welfare systems, populations, and legal and administrative frameworks, research findings in overseas jurisdictions are often relied upon to bolster evidence that DFV, AOD use and MH issues are prevalent and lead to similarly poor outcomes across diverse groups. However,</w:t>
      </w:r>
      <w:r w:rsidR="00930B2F">
        <w:t> </w:t>
      </w:r>
      <w:r w:rsidRPr="004020C5">
        <w:t>literature on policy learning emphasises caution is needed in transplanting findings from one jurisdiction to</w:t>
      </w:r>
      <w:r w:rsidR="00930B2F">
        <w:t> </w:t>
      </w:r>
      <w:r w:rsidRPr="004020C5">
        <w:t>another while considering the fit between social, political, economic and ideological contexts (Williams &amp; Dzhekova, 2014). The dearth of empirical research undertaken in Australia severely limits confidence in evidence about the co</w:t>
      </w:r>
      <w:r w:rsidR="007E1F57">
        <w:noBreakHyphen/>
      </w:r>
      <w:r w:rsidRPr="004020C5">
        <w:t>occurrence of DFV, AOD use and MH issues in families involved in child protection in the Australian context.</w:t>
      </w:r>
    </w:p>
    <w:p w14:paraId="5D440F84" w14:textId="6D8F6D92" w:rsidR="004020C5" w:rsidRPr="004020C5" w:rsidRDefault="004020C5" w:rsidP="00930B2F">
      <w:pPr>
        <w:pStyle w:val="BodySerif"/>
      </w:pPr>
      <w:r w:rsidRPr="004020C5">
        <w:lastRenderedPageBreak/>
        <w:t>Most of the literature focuses on metropolitan areas with little attention paid to regional or rural areas and the prevalence</w:t>
      </w:r>
      <w:r w:rsidR="007E1F57">
        <w:t> </w:t>
      </w:r>
      <w:r w:rsidRPr="004020C5">
        <w:t>and intersection of risk and protective factors experienced by families in these more remote geographic regions. Similarly, most of the literature identified in this review investigated the causes of child maltreatment via use of</w:t>
      </w:r>
      <w:r w:rsidR="007E1F57">
        <w:t> </w:t>
      </w:r>
      <w:r w:rsidRPr="004020C5">
        <w:t>administrative data obtained from particular locations within a state, often a major metropolitan city or area. There</w:t>
      </w:r>
      <w:r w:rsidR="007E1F57">
        <w:t> </w:t>
      </w:r>
      <w:r w:rsidRPr="004020C5">
        <w:t>is</w:t>
      </w:r>
      <w:r w:rsidR="007E1F57">
        <w:t> </w:t>
      </w:r>
      <w:r w:rsidRPr="004020C5">
        <w:t>very little focus on the prevalence of DFV, AOD use and MH issues across an entire state.</w:t>
      </w:r>
    </w:p>
    <w:p w14:paraId="17142B46" w14:textId="7A0D534F" w:rsidR="004020C5" w:rsidRPr="004020C5" w:rsidRDefault="004020C5" w:rsidP="004020C5">
      <w:pPr>
        <w:pStyle w:val="BodySerif"/>
      </w:pPr>
      <w:r w:rsidRPr="004020C5">
        <w:t>Most of the literature considers the correlation or cumulation of risk factors, rather than the complex ways in which they</w:t>
      </w:r>
      <w:r w:rsidR="007E1F57">
        <w:t> </w:t>
      </w:r>
      <w:r w:rsidRPr="004020C5">
        <w:t>intersect. The lives of children and young people at risk of maltreatment, including abuse, neglect or exploitation, are</w:t>
      </w:r>
      <w:r w:rsidR="007E1F57">
        <w:t> </w:t>
      </w:r>
      <w:r w:rsidRPr="004020C5">
        <w:t>typically characterised by the presence of multiple adversities or risk factors (Lucenko et al., 2015). Consequently,</w:t>
      </w:r>
      <w:r w:rsidR="007E1F57">
        <w:t> </w:t>
      </w:r>
      <w:r w:rsidRPr="004020C5">
        <w:t>under a cumulative risk framework, the number or combination of risks identified in a child’s life and in</w:t>
      </w:r>
      <w:r w:rsidR="007E1F57">
        <w:t> </w:t>
      </w:r>
      <w:r w:rsidRPr="004020C5">
        <w:t>the characteristics and circumstances surrounding their caregiver, is considered to better predict outcomes than the presence of any single risk factor (Raviv et al., 2010). In the context of child protection literature, the accumulation of</w:t>
      </w:r>
      <w:r w:rsidR="007E1F57">
        <w:t> </w:t>
      </w:r>
      <w:r w:rsidRPr="004020C5">
        <w:t>risk factors including parental DFV, AOD use and MH issues in a child’s life increases the likelihood that the child will enter OOHC. However, failure to consider the interaction of these risk factors precludes an understanding of the mechanisms by which they intersect to</w:t>
      </w:r>
      <w:r w:rsidR="007E1F57">
        <w:t> </w:t>
      </w:r>
      <w:r w:rsidRPr="004020C5">
        <w:t>heighten risk for poor child outcomes (Wright et al., 2021). Similarly, none of the included studies tracked the prevalence of co-occurring DFV, AOD use or MH issues in families over time and the corresponding impacts on rates of</w:t>
      </w:r>
      <w:r w:rsidR="007E1F57">
        <w:t> </w:t>
      </w:r>
      <w:r w:rsidRPr="004020C5">
        <w:t>entry into OOHC and outcomes for children.</w:t>
      </w:r>
    </w:p>
    <w:p w14:paraId="7BCCDA9E" w14:textId="56EFAD7C" w:rsidR="004020C5" w:rsidRPr="004020C5" w:rsidRDefault="004020C5" w:rsidP="004020C5">
      <w:pPr>
        <w:pStyle w:val="BodySerif"/>
      </w:pPr>
      <w:r w:rsidRPr="004020C5">
        <w:t>Finally, while almost all the articles identified in this review point to the need for holistic services and supports that</w:t>
      </w:r>
      <w:r w:rsidR="007E1F57">
        <w:t> </w:t>
      </w:r>
      <w:r w:rsidRPr="004020C5">
        <w:t>address the multiple, complex needs experienced by families, very little attention is paid to prior uptake of these services</w:t>
      </w:r>
      <w:r w:rsidR="007E1F57">
        <w:t> </w:t>
      </w:r>
      <w:r w:rsidRPr="004020C5">
        <w:t>and the extent to which existing services are protective in their impact on families with co-occurring risk factors. This</w:t>
      </w:r>
      <w:r w:rsidR="007E1F57">
        <w:t> </w:t>
      </w:r>
      <w:r w:rsidRPr="004020C5">
        <w:t>not only precludes an understanding of the impacts of service availability in mitigating (or not) the poor outcomes for children, but also fails to holistically assess the risk and service needs in a real-world family setting (Wright et al., 2021). Findings from the current literature highlight a need to better understand the operation of these factors in</w:t>
      </w:r>
      <w:r w:rsidR="007E1F57">
        <w:t> </w:t>
      </w:r>
      <w:r w:rsidRPr="004020C5">
        <w:t>Australia, and in the broader context of individual, familial, cultural and community factors that intersect to</w:t>
      </w:r>
      <w:r w:rsidR="007E1F57">
        <w:t> </w:t>
      </w:r>
      <w:r w:rsidRPr="004020C5">
        <w:t>increase</w:t>
      </w:r>
      <w:r w:rsidR="007E1F57">
        <w:t> </w:t>
      </w:r>
      <w:r w:rsidRPr="004020C5">
        <w:t>or</w:t>
      </w:r>
      <w:r w:rsidR="007E1F57">
        <w:t> </w:t>
      </w:r>
      <w:r w:rsidRPr="004020C5">
        <w:t>mitigate risk for children and young people.</w:t>
      </w:r>
    </w:p>
    <w:p w14:paraId="7CEBD675" w14:textId="23E404C9" w:rsidR="004020C5" w:rsidRPr="004020C5" w:rsidRDefault="004020C5" w:rsidP="004020C5">
      <w:pPr>
        <w:pStyle w:val="H2SectionTitle"/>
      </w:pPr>
      <w:bookmarkStart w:id="21" w:name="_Toc191286647"/>
      <w:r w:rsidRPr="004020C5">
        <w:lastRenderedPageBreak/>
        <w:t>Methods</w:t>
      </w:r>
      <w:bookmarkEnd w:id="21"/>
    </w:p>
    <w:p w14:paraId="7E8F3877" w14:textId="7D985062" w:rsidR="004020C5" w:rsidRPr="004020C5" w:rsidRDefault="004020C5" w:rsidP="004020C5">
      <w:pPr>
        <w:pStyle w:val="H3"/>
      </w:pPr>
      <w:bookmarkStart w:id="22" w:name="_Toc191286648"/>
      <w:r w:rsidRPr="004020C5">
        <w:t>The NSW Human Services Dataset (HSDS)</w:t>
      </w:r>
      <w:bookmarkEnd w:id="22"/>
    </w:p>
    <w:p w14:paraId="57763812" w14:textId="6AAA008B" w:rsidR="004020C5" w:rsidRPr="004020C5" w:rsidRDefault="004020C5" w:rsidP="004020C5">
      <w:pPr>
        <w:pStyle w:val="BodySerif"/>
      </w:pPr>
      <w:r w:rsidRPr="004020C5">
        <w:t>The HSDS contains linked administrative data on children born or living in NSW since 1990 who have touched one of</w:t>
      </w:r>
      <w:r w:rsidR="007E1F57">
        <w:t> </w:t>
      </w:r>
      <w:r w:rsidRPr="004020C5">
        <w:t>the services captured in the HSDS (</w:t>
      </w:r>
      <w:r w:rsidRPr="004020C5">
        <w:rPr>
          <w:i/>
          <w:iCs/>
        </w:rPr>
        <w:t>n</w:t>
      </w:r>
      <w:r w:rsidRPr="004020C5">
        <w:t> = 3,379,922) and their family members. It has over 8 million records representing over 135 datasets from 11 government agencies, covering a 30-year period. The administrative data underlying the HSDS were supplied by the following government departments and agencies:</w:t>
      </w:r>
    </w:p>
    <w:p w14:paraId="6D51FAB4" w14:textId="4E7F434E" w:rsidR="004020C5" w:rsidRPr="004020C5" w:rsidRDefault="004020C5" w:rsidP="004020C5">
      <w:pPr>
        <w:pStyle w:val="BodySerifBullet1"/>
      </w:pPr>
      <w:r w:rsidRPr="004020C5">
        <w:t>Department of Communities and Justice (DCJ), including the NSW Bureau of Crime Statistics and Research (BOCSAR) and Youth Justice NSW</w:t>
      </w:r>
    </w:p>
    <w:p w14:paraId="7D0BC85E" w14:textId="0345EE97" w:rsidR="004020C5" w:rsidRPr="004020C5" w:rsidRDefault="004020C5" w:rsidP="004020C5">
      <w:pPr>
        <w:pStyle w:val="BodySerifBullet1"/>
      </w:pPr>
      <w:r w:rsidRPr="004020C5">
        <w:t>NSW Registry of Births, Deaths and Marriages</w:t>
      </w:r>
    </w:p>
    <w:p w14:paraId="4812BD74" w14:textId="2CDED5DF" w:rsidR="004020C5" w:rsidRPr="004020C5" w:rsidRDefault="004020C5" w:rsidP="004020C5">
      <w:pPr>
        <w:pStyle w:val="BodySerifBullet1"/>
      </w:pPr>
      <w:r w:rsidRPr="004020C5">
        <w:t>Legal Aid NSW</w:t>
      </w:r>
    </w:p>
    <w:p w14:paraId="11FAD5FF" w14:textId="7BBF9CA2" w:rsidR="004020C5" w:rsidRPr="004020C5" w:rsidRDefault="004020C5" w:rsidP="004020C5">
      <w:pPr>
        <w:pStyle w:val="BodySerifBullet1"/>
      </w:pPr>
      <w:r w:rsidRPr="004020C5">
        <w:t>NSW Police Force</w:t>
      </w:r>
    </w:p>
    <w:p w14:paraId="5EF05CB8" w14:textId="00E8F4C8" w:rsidR="004020C5" w:rsidRPr="004020C5" w:rsidRDefault="004020C5" w:rsidP="004020C5">
      <w:pPr>
        <w:pStyle w:val="BodySerifBullet1"/>
      </w:pPr>
      <w:r w:rsidRPr="004020C5">
        <w:t>NSW Ministry of Health</w:t>
      </w:r>
    </w:p>
    <w:p w14:paraId="4621EAD1" w14:textId="04034EF0" w:rsidR="004020C5" w:rsidRPr="004020C5" w:rsidRDefault="004020C5" w:rsidP="004020C5">
      <w:pPr>
        <w:pStyle w:val="BodySerifBullet1"/>
      </w:pPr>
      <w:r w:rsidRPr="004020C5">
        <w:t>NSW Ambulance</w:t>
      </w:r>
    </w:p>
    <w:p w14:paraId="1E3A23F4" w14:textId="0DF7FC19" w:rsidR="004020C5" w:rsidRPr="004020C5" w:rsidRDefault="004020C5" w:rsidP="004020C5">
      <w:pPr>
        <w:pStyle w:val="BodySerifBullet1"/>
      </w:pPr>
      <w:r w:rsidRPr="004020C5">
        <w:t>NSW Department of Education</w:t>
      </w:r>
    </w:p>
    <w:p w14:paraId="3781FAD1" w14:textId="7D8EFED0" w:rsidR="004020C5" w:rsidRPr="004020C5" w:rsidRDefault="004020C5" w:rsidP="004020C5">
      <w:pPr>
        <w:pStyle w:val="BodySerifBullet1"/>
      </w:pPr>
      <w:r w:rsidRPr="004020C5">
        <w:t>NSW Education Standards Authority</w:t>
      </w:r>
    </w:p>
    <w:p w14:paraId="10800017" w14:textId="71D2672E" w:rsidR="004020C5" w:rsidRPr="004020C5" w:rsidRDefault="004020C5" w:rsidP="004020C5">
      <w:pPr>
        <w:pStyle w:val="BodySerifBullet1"/>
      </w:pPr>
      <w:r w:rsidRPr="004020C5">
        <w:t>Department of Finance, Services and Innovation (Revenue NSW)</w:t>
      </w:r>
    </w:p>
    <w:p w14:paraId="199035DE" w14:textId="2FCD383D" w:rsidR="004020C5" w:rsidRPr="004020C5" w:rsidRDefault="004020C5" w:rsidP="004020C5">
      <w:pPr>
        <w:pStyle w:val="BodySerifBullet1"/>
      </w:pPr>
      <w:r w:rsidRPr="004020C5">
        <w:t>NSW Department of Industry.</w:t>
      </w:r>
    </w:p>
    <w:p w14:paraId="4C6F5260" w14:textId="6EF33E9E" w:rsidR="004020C5" w:rsidRPr="004020C5" w:rsidRDefault="004020C5" w:rsidP="004020C5">
      <w:pPr>
        <w:pStyle w:val="BodySerif"/>
      </w:pPr>
      <w:r w:rsidRPr="004020C5">
        <w:t>Linkage of these administrative datasets is undertaken by the Centre for Health Record Linkage (CHeReL), which uses probabilistic matching to produce better results where individuals’ personal information is inconsistent across datasets. CHeReL releases de-identified data that are accessible through a protected and isolated environment governed by DCJ.</w:t>
      </w:r>
    </w:p>
    <w:p w14:paraId="65B806B6" w14:textId="04B63807" w:rsidR="004020C5" w:rsidRPr="004020C5" w:rsidRDefault="004020C5" w:rsidP="004020C5">
      <w:pPr>
        <w:pStyle w:val="H4"/>
      </w:pPr>
      <w:r w:rsidRPr="004020C5">
        <w:t>Data governance</w:t>
      </w:r>
    </w:p>
    <w:p w14:paraId="5FE66C27" w14:textId="5D900523" w:rsidR="004020C5" w:rsidRPr="004020C5" w:rsidRDefault="004020C5" w:rsidP="004020C5">
      <w:pPr>
        <w:pStyle w:val="BodySerif"/>
      </w:pPr>
      <w:r w:rsidRPr="004020C5">
        <w:t>The HSDS has strong existing governance arrangements to guard privacy and to ensure data are secure and used appropriately. Family and Community Services Insights, Analysis and Research (FACSIAR), which operates within DCJ, is the centre that coordinates data access and governance. The strong data governance arrangements in place allow DCJ to perform its functions effectively and maintain a trusted reputation among its data partners, stakeholders and the general community for effective management and maintenance of trust with data providers, stakeholders and the general community (DJC, 2020b). The creation and use of the HSDS is enabled by the Public Interest Direction and Health Public Interest Direction (PIDs) relating to the HSDS made by the Privacy Commissioner under the </w:t>
      </w:r>
      <w:r w:rsidRPr="004020C5">
        <w:rPr>
          <w:i/>
          <w:iCs/>
        </w:rPr>
        <w:t>Privacy and Personal Information Protection Act 1998 (PPIP Act;</w:t>
      </w:r>
      <w:r w:rsidRPr="004020C5">
        <w:t> NSW) and the </w:t>
      </w:r>
      <w:r w:rsidRPr="004020C5">
        <w:rPr>
          <w:i/>
          <w:iCs/>
        </w:rPr>
        <w:t>Health Records and Information Privacy Act 2002</w:t>
      </w:r>
      <w:r w:rsidRPr="004020C5">
        <w:t> (</w:t>
      </w:r>
      <w:r w:rsidRPr="004020C5">
        <w:rPr>
          <w:i/>
          <w:iCs/>
        </w:rPr>
        <w:t>HRIP</w:t>
      </w:r>
      <w:r w:rsidRPr="004020C5">
        <w:t> </w:t>
      </w:r>
      <w:r w:rsidRPr="004020C5">
        <w:rPr>
          <w:i/>
          <w:iCs/>
        </w:rPr>
        <w:t>Act</w:t>
      </w:r>
      <w:r w:rsidRPr="004020C5">
        <w:t>; NSW).</w:t>
      </w:r>
    </w:p>
    <w:p w14:paraId="25CFED8F" w14:textId="7921EA13" w:rsidR="004020C5" w:rsidRPr="004020C5" w:rsidRDefault="004020C5" w:rsidP="004020C5">
      <w:pPr>
        <w:pStyle w:val="BodySerif"/>
      </w:pPr>
      <w:r w:rsidRPr="004020C5">
        <w:t>According to the HSDS PIDs, the purposes for the data collected and used (section 6) include to:</w:t>
      </w:r>
    </w:p>
    <w:p w14:paraId="34D9552D" w14:textId="77777777" w:rsidR="004020C5" w:rsidRPr="004020C5" w:rsidRDefault="004020C5" w:rsidP="001A2029">
      <w:pPr>
        <w:pStyle w:val="BodySerifNumbered-2"/>
      </w:pPr>
      <w:r w:rsidRPr="004020C5">
        <w:t>provide specific identification of trends and gaps in government service usage and delivery</w:t>
      </w:r>
    </w:p>
    <w:p w14:paraId="10A56B1A" w14:textId="77777777" w:rsidR="004020C5" w:rsidRPr="004020C5" w:rsidRDefault="004020C5" w:rsidP="001A2029">
      <w:pPr>
        <w:pStyle w:val="BodySerifNumbered-2"/>
      </w:pPr>
      <w:r w:rsidRPr="004020C5">
        <w:t>facilitate services that are better tailored to the needs of vulnerable children or young persons and their families both now and in the future</w:t>
      </w:r>
    </w:p>
    <w:p w14:paraId="350A906C" w14:textId="77777777" w:rsidR="004020C5" w:rsidRPr="004020C5" w:rsidRDefault="004020C5" w:rsidP="001A2029">
      <w:pPr>
        <w:pStyle w:val="BodySerifNumbered-2"/>
      </w:pPr>
      <w:r w:rsidRPr="004020C5">
        <w:t>deliver clear evidence on service, support, and program effectiveness and a detailed view of resource allocation and gaps.</w:t>
      </w:r>
    </w:p>
    <w:p w14:paraId="7153601D" w14:textId="251DDD5B" w:rsidR="004020C5" w:rsidRPr="004020C5" w:rsidRDefault="004020C5" w:rsidP="004020C5">
      <w:pPr>
        <w:pStyle w:val="BodySerif"/>
      </w:pPr>
      <w:r w:rsidRPr="004020C5">
        <w:t>This project received approval on the basis of meeting these and other requirements.</w:t>
      </w:r>
    </w:p>
    <w:p w14:paraId="269B336B" w14:textId="05C1A8AE" w:rsidR="004020C5" w:rsidRPr="004020C5" w:rsidRDefault="004020C5" w:rsidP="004020C5">
      <w:pPr>
        <w:pStyle w:val="BodySerif"/>
      </w:pPr>
      <w:r w:rsidRPr="004020C5">
        <w:lastRenderedPageBreak/>
        <w:t>As stated, the HSDS captures linked data on all children born or living in NSW since 1990 (</w:t>
      </w:r>
      <w:r w:rsidRPr="004020C5">
        <w:rPr>
          <w:i/>
          <w:iCs/>
        </w:rPr>
        <w:t>n</w:t>
      </w:r>
      <w:r w:rsidRPr="004020C5">
        <w:t> = 3,379,922) and family members, documenting how families have interacted with government agencies and services over their life. The datasets provide information about children and/or family members’ interactions with systems and services related to child protection, housing, justice, health, education, mental health and alcohol and other drugs.</w:t>
      </w:r>
    </w:p>
    <w:p w14:paraId="2B106584" w14:textId="4363BB87" w:rsidR="004020C5" w:rsidRPr="004020C5" w:rsidRDefault="004020C5" w:rsidP="004020C5">
      <w:pPr>
        <w:pStyle w:val="BodySerif"/>
      </w:pPr>
      <w:r w:rsidRPr="004020C5">
        <w:t>It should be noted that while parental risk factors including DFV, AOD use and MH issues are captured in the HSDS, these data measures are limited to reported events and consequently do not capture the full extent of the incidence or</w:t>
      </w:r>
      <w:r w:rsidR="001A2029">
        <w:t> </w:t>
      </w:r>
      <w:r w:rsidRPr="004020C5">
        <w:t>prevalence of these risk factors which often go unreported. Additionally, because CHeReL release already linked data, it</w:t>
      </w:r>
      <w:r w:rsidR="001A2029">
        <w:t> </w:t>
      </w:r>
      <w:r w:rsidRPr="004020C5">
        <w:t>is not possible to check the reliability of the linkage process or determine whether an individual’s service use history is</w:t>
      </w:r>
      <w:r w:rsidR="001A2029">
        <w:t> </w:t>
      </w:r>
      <w:r w:rsidRPr="004020C5">
        <w:t>incomplete or overstated. Consequently, it is possible that there are inaccuracies in the data.</w:t>
      </w:r>
    </w:p>
    <w:p w14:paraId="2F134408" w14:textId="0F686B1B" w:rsidR="004020C5" w:rsidRPr="004020C5" w:rsidRDefault="004020C5" w:rsidP="004020C5">
      <w:pPr>
        <w:pStyle w:val="BodySerif"/>
      </w:pPr>
      <w:r w:rsidRPr="004020C5">
        <w:t>While Indigenous status is reported in the HSDS, this demographic variable is not included in the analyses out of respect for the </w:t>
      </w:r>
      <w:r w:rsidRPr="004020C5">
        <w:rPr>
          <w:i/>
          <w:iCs/>
        </w:rPr>
        <w:t>Warawarni-gu Guma Statement</w:t>
      </w:r>
      <w:r w:rsidRPr="004020C5">
        <w:t> (Douglas et al., 2018), which states that it is not appropriate to compare data about Indigenous and non-Indigenous people.</w:t>
      </w:r>
    </w:p>
    <w:p w14:paraId="1125C0E6" w14:textId="231E27CE" w:rsidR="004020C5" w:rsidRPr="007E1F57" w:rsidRDefault="004020C5" w:rsidP="004020C5">
      <w:pPr>
        <w:pStyle w:val="BodySerif"/>
        <w:rPr>
          <w:spacing w:val="-2"/>
        </w:rPr>
      </w:pPr>
      <w:r w:rsidRPr="007E1F57">
        <w:rPr>
          <w:spacing w:val="-2"/>
        </w:rPr>
        <w:t>This study was approved by the University of Sydney Human Research Ethics Committee, protocol number 2021/129. The HSDS is de-identified and accessed through a secure portal via the NSW Data Analytics Centre (DAC). Participants cannot be identified from the dataset and were not contacted as only secondary de-identified data were analysed. Administrative data or information is data or information routinely collected during the delivery of a service (e.g.</w:t>
      </w:r>
      <w:r w:rsidR="001A2029" w:rsidRPr="007E1F57">
        <w:rPr>
          <w:spacing w:val="-2"/>
        </w:rPr>
        <w:t> </w:t>
      </w:r>
      <w:r w:rsidRPr="007E1F57">
        <w:rPr>
          <w:spacing w:val="-2"/>
        </w:rPr>
        <w:t>by</w:t>
      </w:r>
      <w:r w:rsidR="001A2029" w:rsidRPr="007E1F57">
        <w:rPr>
          <w:spacing w:val="-2"/>
        </w:rPr>
        <w:t> </w:t>
      </w:r>
      <w:r w:rsidRPr="007E1F57">
        <w:rPr>
          <w:spacing w:val="-2"/>
        </w:rPr>
        <w:t>a</w:t>
      </w:r>
      <w:r w:rsidR="001A2029" w:rsidRPr="007E1F57">
        <w:rPr>
          <w:spacing w:val="-2"/>
        </w:rPr>
        <w:t> </w:t>
      </w:r>
      <w:r w:rsidRPr="007E1F57">
        <w:rPr>
          <w:spacing w:val="-2"/>
        </w:rPr>
        <w:t>government department) and may involve collections of data or information from large numbers of people or</w:t>
      </w:r>
      <w:r w:rsidR="001A2029" w:rsidRPr="007E1F57">
        <w:rPr>
          <w:spacing w:val="-2"/>
        </w:rPr>
        <w:t> </w:t>
      </w:r>
      <w:r w:rsidRPr="007E1F57">
        <w:rPr>
          <w:spacing w:val="-2"/>
        </w:rPr>
        <w:t>whole populations. It is usually impractical to obtain consent from individuals for secondary use of this data or</w:t>
      </w:r>
      <w:r w:rsidR="001A2029" w:rsidRPr="007E1F57">
        <w:rPr>
          <w:spacing w:val="-2"/>
        </w:rPr>
        <w:t> </w:t>
      </w:r>
      <w:r w:rsidRPr="007E1F57">
        <w:rPr>
          <w:spacing w:val="-2"/>
        </w:rPr>
        <w:t>information. Respect for participants was indicated in other ways, including ensuring that the source of data is noted in publications, that the research results are translated into improvement in services and that research results are published in a location and language suitable for the general public. Details on how the administrative data were used in</w:t>
      </w:r>
      <w:r w:rsidR="001A2029" w:rsidRPr="007E1F57">
        <w:rPr>
          <w:spacing w:val="-2"/>
        </w:rPr>
        <w:t> </w:t>
      </w:r>
      <w:r w:rsidRPr="007E1F57">
        <w:rPr>
          <w:spacing w:val="-2"/>
        </w:rPr>
        <w:t>the analysis and likely caveats are outlined below.</w:t>
      </w:r>
    </w:p>
    <w:p w14:paraId="7065F0CC" w14:textId="70E12F6E" w:rsidR="004020C5" w:rsidRPr="004020C5" w:rsidRDefault="004020C5" w:rsidP="004020C5">
      <w:pPr>
        <w:pStyle w:val="H4"/>
      </w:pPr>
      <w:r w:rsidRPr="004020C5">
        <w:t>Use of child protection and out-of-home care datasets (DCJ)</w:t>
      </w:r>
    </w:p>
    <w:p w14:paraId="11D3B9A0" w14:textId="3711D5AA" w:rsidR="004020C5" w:rsidRPr="004020C5" w:rsidRDefault="004020C5" w:rsidP="007E1F57">
      <w:pPr>
        <w:pStyle w:val="BodySerif"/>
        <w:spacing w:after="0" w:afterAutospacing="0"/>
      </w:pPr>
      <w:r w:rsidRPr="004020C5">
        <w:t>The child protection and OOHC data are extracted from administrative data collected by DCJ in the provision of services to clients. It relies on the office-based recording of information about children collected by caseworkers. Data quality can depend on where in the child protection process the information was recorded, verified or remediated. For example, data</w:t>
      </w:r>
      <w:r w:rsidR="004860E7">
        <w:t> </w:t>
      </w:r>
      <w:r w:rsidRPr="004020C5">
        <w:t>can be more accurate when collected in a face-to-face assessment compared to a Helpline assessment. It should also be</w:t>
      </w:r>
      <w:r w:rsidR="004860E7">
        <w:t> </w:t>
      </w:r>
      <w:r w:rsidRPr="004020C5">
        <w:t>noted that DCJ’s new client information system (ChildStory) was introduced during 2017/18, which resulted in</w:t>
      </w:r>
      <w:r w:rsidR="004860E7">
        <w:t> </w:t>
      </w:r>
      <w:r w:rsidRPr="004020C5">
        <w:t>changes to the recording of reported and assessed issues for child protection data, as well as how OOHC placements are counted. Based on the researchers’ own experiences with analysing data extracts from ChildStory, it is known that there were some data quality issues with the recording of field assessments and substantiations during the introduction of</w:t>
      </w:r>
      <w:r w:rsidR="004860E7">
        <w:t> </w:t>
      </w:r>
      <w:r w:rsidRPr="004020C5">
        <w:t>ChildStory. For this study, a decision was made to focus primarily on “concerns reported at Helpline</w:t>
      </w:r>
      <w:r w:rsidRPr="004020C5">
        <w:rPr>
          <w:i/>
          <w:iCs/>
        </w:rPr>
        <w:t>”</w:t>
      </w:r>
      <w:r w:rsidRPr="004020C5">
        <w:t> as the data was most complete at this stage and could provide a broad overview of key issues experienced by children and families.</w:t>
      </w:r>
    </w:p>
    <w:p w14:paraId="0284D7D1" w14:textId="16EEE695" w:rsidR="004020C5" w:rsidRPr="004020C5" w:rsidRDefault="004020C5" w:rsidP="004020C5">
      <w:pPr>
        <w:pStyle w:val="BodySerif"/>
      </w:pPr>
      <w:r w:rsidRPr="004020C5">
        <w:t>In the child protection data, each row represents a report for a single subject child only. If a reporter contacts the Helpline about three children in a family, three separate rows (one per child) are created. Given the longitudinal nature of</w:t>
      </w:r>
      <w:r w:rsidR="004860E7">
        <w:t> </w:t>
      </w:r>
      <w:r w:rsidRPr="004020C5">
        <w:t>the child protection data, composite scores were created to provide summary statistics for each child based on the period within the 12 months after their first ever child concern report was made, including: 1) total number of reports; 2) total</w:t>
      </w:r>
      <w:r w:rsidR="004860E7">
        <w:t> </w:t>
      </w:r>
      <w:r w:rsidRPr="004020C5">
        <w:t>number of RoSH reports; and 3) flags for whether there were concerns about DFV, AOD use, MH issues and/or</w:t>
      </w:r>
      <w:r w:rsidR="004860E7">
        <w:t> </w:t>
      </w:r>
      <w:r w:rsidRPr="004020C5">
        <w:t>combinations of these risk factors across all reports. The 12-month window after the first child concern report was selected to control for differing lengths of follow-up time and enable comparison between children regardless of the different years their first child concern report was received. For instance, a child with their first child concern report in</w:t>
      </w:r>
      <w:r w:rsidR="004860E7">
        <w:t> </w:t>
      </w:r>
      <w:r w:rsidRPr="004020C5">
        <w:t>2004 would have over 16 years to have a subsequent report (or enter OOHC) compared to a child who had their first ever report in 2019 with less than a one year of follow-up time to have subsequent reports.</w:t>
      </w:r>
    </w:p>
    <w:p w14:paraId="3D58123E" w14:textId="0AD647EA" w:rsidR="004020C5" w:rsidRPr="004020C5" w:rsidRDefault="004020C5" w:rsidP="004020C5">
      <w:pPr>
        <w:pStyle w:val="BodySerif"/>
      </w:pPr>
      <w:r w:rsidRPr="004020C5">
        <w:t>In the OOHC data, each line represents a “Care Event” for a single child in OOHC. A Care Event is generated when there is a change in the particulars of the child’s arrangements such as a change in caregiver, placement provider, placement purpose or legal order. Hence, a child may have multiple Care Events within the same care period (defined</w:t>
      </w:r>
      <w:r w:rsidR="004860E7">
        <w:t> </w:t>
      </w:r>
      <w:r w:rsidRPr="004020C5">
        <w:t>as</w:t>
      </w:r>
      <w:r w:rsidR="004860E7">
        <w:t> </w:t>
      </w:r>
      <w:r w:rsidRPr="004020C5">
        <w:t>when a child’s placements overlap or have a gap of less than 30 days between the end of one placement and the start of another) or within the same placement. For the purpose of this study, only the “first</w:t>
      </w:r>
      <w:r w:rsidRPr="004020C5">
        <w:rPr>
          <w:i/>
          <w:iCs/>
        </w:rPr>
        <w:t>”</w:t>
      </w:r>
      <w:r w:rsidRPr="004020C5">
        <w:t> recorded entry into an</w:t>
      </w:r>
      <w:r w:rsidR="004860E7">
        <w:t> </w:t>
      </w:r>
      <w:r w:rsidRPr="004020C5">
        <w:t>OOHC placement (including foster care, kinship care, or residential care) that was at least 7 days in length and occurred in a care period within 12 months of their first ever child concern report was the subject of the analysis. The</w:t>
      </w:r>
      <w:r w:rsidR="004860E7">
        <w:t> </w:t>
      </w:r>
      <w:r w:rsidRPr="004020C5">
        <w:t>placement length of 7 days was selected as it is used in FACSIAR’s counting rules for calculating the total number of</w:t>
      </w:r>
      <w:r w:rsidR="004860E7">
        <w:t> </w:t>
      </w:r>
      <w:r w:rsidRPr="004020C5">
        <w:t>placements a child has while in OOHC (FACSIAR, 2020).</w:t>
      </w:r>
    </w:p>
    <w:p w14:paraId="76C09988" w14:textId="6A6D142C" w:rsidR="004020C5" w:rsidRPr="004020C5" w:rsidRDefault="004020C5" w:rsidP="004020C5">
      <w:pPr>
        <w:pStyle w:val="BodySerif"/>
      </w:pPr>
      <w:r w:rsidRPr="004020C5">
        <w:lastRenderedPageBreak/>
        <w:t>When a report is made to the Helpline, an assessment is carried out using a screening tool to determine whether the</w:t>
      </w:r>
      <w:r w:rsidR="00FA1C0E">
        <w:t> </w:t>
      </w:r>
      <w:r w:rsidRPr="004020C5">
        <w:t>report meets the RoSH threshold. Details about the case, including Helpline-assessed issues, are recorded. Information</w:t>
      </w:r>
      <w:r w:rsidR="00FA1C0E">
        <w:t> </w:t>
      </w:r>
      <w:r w:rsidRPr="004020C5">
        <w:t>about the identified issue in the child concern reports (e.g. whether there was DFV, AOD use or MH issues) is more detailed following the introduction of ChildStory in 2017/18 which comprises: 1) a categorical field to record primary reported concern; and 2) an open-text field to record other reported concerns. The data prior to 2017 collects information about a “primary” reported concern and two “other” reported concerns, but the investigators accessed only the data for “primary” concern at each report. In the analysis for this study, a count of any mention of DFV, AOD use or</w:t>
      </w:r>
      <w:r w:rsidR="00FA1C0E">
        <w:t> </w:t>
      </w:r>
      <w:r w:rsidRPr="004020C5">
        <w:t>MH issues was made where available, and it was plausible that children with multiple reports to the Helpline had a</w:t>
      </w:r>
      <w:r w:rsidR="00FA1C0E">
        <w:t> </w:t>
      </w:r>
      <w:r w:rsidRPr="004020C5">
        <w:t>different primary concern at each contact (to indicate multiple risk factors). Overall, it should be noted that pre-2017 data are likely to</w:t>
      </w:r>
      <w:r w:rsidR="004860E7">
        <w:t> </w:t>
      </w:r>
      <w:r w:rsidRPr="004020C5">
        <w:t>reflect an underestimate of the co-occurrence of risk factors due to how the data were recorded in the administrative system. For the purpose of this study, the term “co-occurring risk factors” refers to DFV, AOD use and/or</w:t>
      </w:r>
      <w:r w:rsidR="00FA1C0E">
        <w:t> </w:t>
      </w:r>
      <w:r w:rsidRPr="004020C5">
        <w:t>MH issues that are co-occurring for “families</w:t>
      </w:r>
      <w:r w:rsidRPr="004020C5">
        <w:rPr>
          <w:i/>
          <w:iCs/>
        </w:rPr>
        <w:t>”</w:t>
      </w:r>
      <w:r w:rsidRPr="004020C5">
        <w:t> across all child concern reports over time, and do not solely refer</w:t>
      </w:r>
      <w:r w:rsidR="00FA1C0E">
        <w:t> </w:t>
      </w:r>
      <w:r w:rsidRPr="004020C5">
        <w:t>to issues co</w:t>
      </w:r>
      <w:r w:rsidR="004860E7">
        <w:noBreakHyphen/>
      </w:r>
      <w:r w:rsidRPr="004020C5">
        <w:t>occurring within a specific child concern report at one point in time.</w:t>
      </w:r>
    </w:p>
    <w:p w14:paraId="55CEF269" w14:textId="0C2614EE" w:rsidR="004020C5" w:rsidRPr="004020C5" w:rsidRDefault="004020C5" w:rsidP="004020C5">
      <w:pPr>
        <w:pStyle w:val="BodySerif"/>
      </w:pPr>
      <w:r w:rsidRPr="004020C5">
        <w:t>Steps to match children across the child protection and OOHC data is imperfect because some children had the same unique identifier with different birth months and birth years. For the most part, this was resolved by using the most recent date-of-birth record as potentially the most reliable date. Matching of child protection and OOHC datasets did not largely affect sample size. However, there were 3,274 children who were missing date-of-birth or placement information, and so were excluded from analysis.</w:t>
      </w:r>
    </w:p>
    <w:p w14:paraId="7F3697A8" w14:textId="5ADA7DBE" w:rsidR="004020C5" w:rsidRPr="004020C5" w:rsidRDefault="004020C5" w:rsidP="004020C5">
      <w:pPr>
        <w:pStyle w:val="BodySerif"/>
      </w:pPr>
      <w:r w:rsidRPr="004020C5">
        <w:t>Of the 30,826 first entries into OOHC, about 92 per cent (</w:t>
      </w:r>
      <w:r w:rsidRPr="004020C5">
        <w:rPr>
          <w:i/>
          <w:iCs/>
        </w:rPr>
        <w:t>n</w:t>
      </w:r>
      <w:r w:rsidRPr="004020C5">
        <w:t> = 28,235) of placements were in foster, kinship or residential care. The remaining placement types were recorded as independent living, supported accommodation and home-based care services, which are beyond the scope of this report, so these children and young people were excluded from analysis. Of the 30,826 first OOHC entries, there were a total of 11,746 children who entered foster, kinship, or</w:t>
      </w:r>
      <w:r w:rsidR="004860E7">
        <w:t> </w:t>
      </w:r>
      <w:r w:rsidRPr="004020C5">
        <w:t>residential care within the first 12 months after their first ever child concern report.</w:t>
      </w:r>
    </w:p>
    <w:p w14:paraId="6C650F59" w14:textId="3EF1E690" w:rsidR="004020C5" w:rsidRPr="004020C5" w:rsidRDefault="004020C5" w:rsidP="003A4E24">
      <w:pPr>
        <w:pStyle w:val="H4"/>
        <w:spacing w:after="0" w:afterAutospacing="0"/>
      </w:pPr>
      <w:r w:rsidRPr="004020C5">
        <w:t>Matching parent records (RBDM)</w:t>
      </w:r>
    </w:p>
    <w:p w14:paraId="7C0ACB54" w14:textId="2E14303A" w:rsidR="004020C5" w:rsidRPr="004020C5" w:rsidRDefault="004020C5" w:rsidP="003A4E24">
      <w:pPr>
        <w:pStyle w:val="BodySerif"/>
        <w:spacing w:before="200" w:after="0" w:afterAutospacing="0"/>
      </w:pPr>
      <w:r w:rsidRPr="004020C5">
        <w:t>Linkage of children in the child protection and OOHC datasets to their parents was carried out using data collated from the Registry of Births, Deaths, and Marriages (RBDM), and contains residential geographical information categorised as</w:t>
      </w:r>
      <w:r w:rsidR="004860E7">
        <w:t> </w:t>
      </w:r>
      <w:r w:rsidRPr="004020C5">
        <w:t>SA2. A unique identifier is provided for a child’s mother and “other” parent (in most cases, the father). As some cases in the RBDM had multiple rows for the same child and parent IDs following updates to details such as parent location, a</w:t>
      </w:r>
      <w:r w:rsidR="004860E7">
        <w:t> </w:t>
      </w:r>
      <w:r w:rsidRPr="004020C5">
        <w:t>decision was made to take the row in which the RBDM registration date was closest to the date of the child’s first concern report. It is noted that this approach has limitations as the time difference between RBDM and the children’s first concern report varied widely and so may be an unreliable record of current location. Furthermore, parent records were not available in the RDBM dataset for all children in the child protection sample as it only records children whose births were registered in NSW.</w:t>
      </w:r>
    </w:p>
    <w:p w14:paraId="45275B6A" w14:textId="7E0F1F93" w:rsidR="004020C5" w:rsidRPr="00FA1C0E" w:rsidRDefault="004020C5" w:rsidP="004020C5">
      <w:pPr>
        <w:pStyle w:val="BodySerif"/>
        <w:rPr>
          <w:spacing w:val="-2"/>
        </w:rPr>
      </w:pPr>
      <w:r w:rsidRPr="00FA1C0E">
        <w:rPr>
          <w:spacing w:val="-2"/>
        </w:rPr>
        <w:t>Information about where parents lived was provided at the SA2 level in the RBDM dataset. These SA2 locations were categorised based on regionality (metropolitan, inner regional, outer regional, and remote/very remote) according to the 2016 </w:t>
      </w:r>
      <w:r w:rsidRPr="00FA1C0E">
        <w:rPr>
          <w:i/>
          <w:iCs/>
          <w:spacing w:val="-2"/>
        </w:rPr>
        <w:t>ASGS Geographic Correspondences</w:t>
      </w:r>
      <w:r w:rsidRPr="00FA1C0E">
        <w:rPr>
          <w:spacing w:val="-2"/>
        </w:rPr>
        <w:t> (ABS, 2016b). Some of the SA2 areas are classified under two or more region types and the investigators did not have access to address-level data. A decision was made to adopt a rule where the highest percentage region type covering that SA2 area would be taken as that SA2’s region type. For example, if the SA2 area, Yass, is 75 per cent inner regional and 25 per cent outer regional, it was considered inner regional. Regionality was determined only where SA2 information was available. Location information was available for only </w:t>
      </w:r>
      <w:r w:rsidRPr="00FA1C0E">
        <w:rPr>
          <w:i/>
          <w:iCs/>
          <w:spacing w:val="-2"/>
        </w:rPr>
        <w:t>n</w:t>
      </w:r>
      <w:r w:rsidRPr="00FA1C0E">
        <w:rPr>
          <w:spacing w:val="-2"/>
        </w:rPr>
        <w:t> = 257,842 children who could be matched with their parents (44%). Of the 11,746 children who entered OOHC for the first time within 12 months of their first Helpline report, the location information for 7,095 children (61%) was available after</w:t>
      </w:r>
      <w:r w:rsidR="00FA1C0E" w:rsidRPr="00FA1C0E">
        <w:rPr>
          <w:spacing w:val="-2"/>
        </w:rPr>
        <w:t> </w:t>
      </w:r>
      <w:r w:rsidRPr="00FA1C0E">
        <w:rPr>
          <w:spacing w:val="-2"/>
        </w:rPr>
        <w:t>matching.</w:t>
      </w:r>
    </w:p>
    <w:p w14:paraId="11EABBC4" w14:textId="1098AAEF" w:rsidR="004020C5" w:rsidRPr="004020C5" w:rsidRDefault="004020C5" w:rsidP="00FA1C0E">
      <w:pPr>
        <w:pStyle w:val="H4"/>
        <w:spacing w:after="0" w:afterAutospacing="0"/>
      </w:pPr>
      <w:r w:rsidRPr="004020C5">
        <w:t>Child and Family Services – Brighter Futures (DCJ)</w:t>
      </w:r>
    </w:p>
    <w:p w14:paraId="753201E7" w14:textId="6B26369B" w:rsidR="004020C5" w:rsidRPr="00FA1C0E" w:rsidRDefault="004020C5" w:rsidP="003A4E24">
      <w:pPr>
        <w:pStyle w:val="BodySerif"/>
        <w:spacing w:before="200" w:after="0" w:afterAutospacing="0"/>
        <w:rPr>
          <w:spacing w:val="-2"/>
        </w:rPr>
      </w:pPr>
      <w:r w:rsidRPr="00FA1C0E">
        <w:rPr>
          <w:spacing w:val="-2"/>
        </w:rPr>
        <w:t>Brighter Futures is a voluntary targeted intervention program designed to minimise RoSH for families with a child aged under nine years who show issues that increase a risk of escalating within the child protection system (Family and Community Services, 2017). It also receives referrals from other government agencies such as NSW Health. Priority is</w:t>
      </w:r>
      <w:r w:rsidR="004860E7" w:rsidRPr="00FA1C0E">
        <w:rPr>
          <w:spacing w:val="-2"/>
        </w:rPr>
        <w:t> </w:t>
      </w:r>
      <w:r w:rsidRPr="00FA1C0E">
        <w:rPr>
          <w:spacing w:val="-2"/>
        </w:rPr>
        <w:t>given for families with children aged under 3 years with parental vulnerability due to DFV, AOD use, MH issues or</w:t>
      </w:r>
      <w:r w:rsidR="004860E7" w:rsidRPr="00FA1C0E">
        <w:rPr>
          <w:spacing w:val="-2"/>
        </w:rPr>
        <w:t> </w:t>
      </w:r>
      <w:r w:rsidRPr="00FA1C0E">
        <w:rPr>
          <w:spacing w:val="-2"/>
        </w:rPr>
        <w:t>intellectual disability. Services provided include structured home visiting, parenting programs, quality childcare and brokerage funds for 18 months with a possible 6-month extension. Most referrals (90%) come through DCJ following a</w:t>
      </w:r>
      <w:r w:rsidR="004860E7" w:rsidRPr="00FA1C0E">
        <w:rPr>
          <w:spacing w:val="-2"/>
        </w:rPr>
        <w:t> </w:t>
      </w:r>
      <w:r w:rsidRPr="00FA1C0E">
        <w:rPr>
          <w:spacing w:val="-2"/>
        </w:rPr>
        <w:t>RoSH report (Family and Community Services, 2017). Families are ineligible when the number of RoSH reports is</w:t>
      </w:r>
      <w:r w:rsidR="00FA1C0E" w:rsidRPr="00FA1C0E">
        <w:rPr>
          <w:spacing w:val="-2"/>
        </w:rPr>
        <w:t> </w:t>
      </w:r>
      <w:r w:rsidRPr="00FA1C0E">
        <w:rPr>
          <w:spacing w:val="-2"/>
        </w:rPr>
        <w:t>very high, where restoration is the care plan goal, if criminal proceedings are underway, or a threat to worker safety</w:t>
      </w:r>
      <w:r w:rsidR="004860E7" w:rsidRPr="00FA1C0E">
        <w:rPr>
          <w:spacing w:val="-2"/>
        </w:rPr>
        <w:t> </w:t>
      </w:r>
      <w:r w:rsidRPr="00FA1C0E">
        <w:rPr>
          <w:spacing w:val="-2"/>
        </w:rPr>
        <w:t>exists.</w:t>
      </w:r>
    </w:p>
    <w:p w14:paraId="1A7FE17F" w14:textId="46787E10" w:rsidR="004020C5" w:rsidRPr="004020C5" w:rsidRDefault="004020C5" w:rsidP="004020C5">
      <w:pPr>
        <w:pStyle w:val="BodySerif"/>
      </w:pPr>
      <w:r w:rsidRPr="004020C5">
        <w:lastRenderedPageBreak/>
        <w:t>The dataset consists of unit record data for all children and family members in the Brighter Futures program with one row per person. For the current study, instances where parents were engaged in Brighter Futures services were available for the period between January 2001 to June 2017. However, it should be noted that data on Helpline reports and OOHC placements span the period between 2003 and 2019. Due to this misalignment, it was not possible to track parents’ engagement with Brighter Futures post-2017.</w:t>
      </w:r>
    </w:p>
    <w:p w14:paraId="36FA923D" w14:textId="672634D6" w:rsidR="004020C5" w:rsidRPr="004020C5" w:rsidRDefault="004020C5" w:rsidP="004020C5">
      <w:pPr>
        <w:pStyle w:val="BodySerif"/>
      </w:pPr>
      <w:r w:rsidRPr="004020C5">
        <w:t>Data on usage of other child and family services such as Intensive Family Support/Intensive Family Preservation (IFS</w:t>
      </w:r>
      <w:r w:rsidR="004860E7">
        <w:noBreakHyphen/>
      </w:r>
      <w:r w:rsidRPr="004020C5">
        <w:t>IFP) and Youth Hope were available for only a small window of years covering the sample selected for this study (i.e. 2010 to 2017 and 2014 to 2017, respectively), so these datasets were not included for analysis in this study.</w:t>
      </w:r>
    </w:p>
    <w:p w14:paraId="45C9047A" w14:textId="7D71576F" w:rsidR="004020C5" w:rsidRPr="004020C5" w:rsidRDefault="004020C5" w:rsidP="004020C5">
      <w:pPr>
        <w:pStyle w:val="H4"/>
      </w:pPr>
      <w:r w:rsidRPr="004020C5">
        <w:t>Parental indicators of domestic and family violence (NSW Police Force/BOCSAR)</w:t>
      </w:r>
    </w:p>
    <w:p w14:paraId="4BBD9FC0" w14:textId="574B7C9F" w:rsidR="004020C5" w:rsidRPr="004020C5" w:rsidRDefault="004020C5" w:rsidP="004020C5">
      <w:pPr>
        <w:pStyle w:val="BodySerif"/>
      </w:pPr>
      <w:r w:rsidRPr="004020C5">
        <w:t>Indicators of DFV (other than that reported in child concern reports) were taken from police reports of incidents recorded</w:t>
      </w:r>
      <w:r w:rsidR="003A4E24">
        <w:t> </w:t>
      </w:r>
      <w:r w:rsidRPr="004020C5">
        <w:t>from 1997 to 2019. In this dataset, each recorded incident contained information about the date of the incident, the</w:t>
      </w:r>
      <w:r w:rsidR="004860E7">
        <w:t> </w:t>
      </w:r>
      <w:r w:rsidRPr="004020C5">
        <w:t>perpetrator’s relationship to the victim and the type of incident (e.g. assault, sexual offence). While the authors of this report prefer the terminology “victims and survivors”, police incident reports use the term “victims”, so this will be</w:t>
      </w:r>
      <w:r w:rsidR="004860E7">
        <w:t> </w:t>
      </w:r>
      <w:r w:rsidRPr="004020C5">
        <w:t>applied in the report when in reference to police incident reports. In this project, incidents used for analysis were ones</w:t>
      </w:r>
      <w:r w:rsidR="003A4E24">
        <w:t> </w:t>
      </w:r>
      <w:r w:rsidRPr="004020C5">
        <w:t>in</w:t>
      </w:r>
      <w:r w:rsidR="004860E7">
        <w:t> </w:t>
      </w:r>
      <w:r w:rsidRPr="004020C5">
        <w:t>which the perpetrator was a current or former partner, spouse, boyfriend or girlfriend of the victim, and the type</w:t>
      </w:r>
      <w:r w:rsidR="003A4E24">
        <w:t> </w:t>
      </w:r>
      <w:r w:rsidRPr="004020C5">
        <w:t>of</w:t>
      </w:r>
      <w:r w:rsidR="004860E7">
        <w:t> </w:t>
      </w:r>
      <w:r w:rsidRPr="004020C5">
        <w:t>incident involved DFV, assault or an offence against the victim.</w:t>
      </w:r>
    </w:p>
    <w:p w14:paraId="44A66403" w14:textId="33456B7D" w:rsidR="004020C5" w:rsidRPr="004020C5" w:rsidRDefault="004020C5" w:rsidP="004020C5">
      <w:pPr>
        <w:pStyle w:val="BodySerif"/>
      </w:pPr>
      <w:r w:rsidRPr="004020C5">
        <w:t>Information was also taken from Finalised Charges held by NSW BOCSAR containing data on persons who had a</w:t>
      </w:r>
      <w:r w:rsidR="004860E7">
        <w:t> </w:t>
      </w:r>
      <w:r w:rsidRPr="004020C5">
        <w:t>finalised court appearance, Youth Justice Conference, or caution in the NSW Children’s, Local, District or Supreme Criminal Courts between 1994 and 2019. A finalised appearance is one which has been fully determined by the court and</w:t>
      </w:r>
      <w:r w:rsidR="003A4E24">
        <w:t> </w:t>
      </w:r>
      <w:r w:rsidRPr="004020C5">
        <w:t>for which no further court proceedings are required. Finalisations flagged as “DV” were used for analysis.</w:t>
      </w:r>
    </w:p>
    <w:p w14:paraId="3E57AA12" w14:textId="565C69D1" w:rsidR="004020C5" w:rsidRPr="004020C5" w:rsidRDefault="004020C5" w:rsidP="004020C5">
      <w:pPr>
        <w:pStyle w:val="H4"/>
      </w:pPr>
      <w:r w:rsidRPr="004020C5">
        <w:t>Parental indicators of mental health issues (health)</w:t>
      </w:r>
    </w:p>
    <w:p w14:paraId="44244C5B" w14:textId="32546632" w:rsidR="004020C5" w:rsidRPr="004020C5" w:rsidRDefault="004020C5" w:rsidP="004020C5">
      <w:pPr>
        <w:pStyle w:val="BodySerif"/>
      </w:pPr>
      <w:r w:rsidRPr="004020C5">
        <w:t>Indicators of parental MH issues (beyond that reported in child concern reports) were derived from NSW Mental Health Ambulatory (MHAMB) data. MHAMB records were generated from the perspective of clinicians and included non-admitted patients’ contacts with mental health services (e.g. assessment, treatment, rehabilitation or care). For the purposes of this analysis, only contacts where the client was recorded as present, had a duration of 60 minutes or more, and the activity code was related to seeking mental health support (i.e. excluding records where the clinician was undertaking training sessions, supervision or travel) were included as indicators of mental health service usage.</w:t>
      </w:r>
    </w:p>
    <w:p w14:paraId="3F921467" w14:textId="6AE15BE3" w:rsidR="004020C5" w:rsidRPr="004020C5" w:rsidRDefault="004020C5" w:rsidP="004020C5">
      <w:pPr>
        <w:pStyle w:val="BodySerif"/>
      </w:pPr>
      <w:r w:rsidRPr="004020C5">
        <w:t>Parental MH issues were also recorded based on the NSW Admitted Patient Data Collection (APDC). This collection records all admitted patient services provided by NSW public and private hospitals. For this analysis, admissions where the Major Diagnostic Category (MDC) was categorised as “mental diseases and disorders” were used.</w:t>
      </w:r>
    </w:p>
    <w:p w14:paraId="622588FC" w14:textId="628EF77E" w:rsidR="004020C5" w:rsidRPr="004020C5" w:rsidRDefault="004020C5" w:rsidP="004020C5">
      <w:pPr>
        <w:pStyle w:val="H4"/>
      </w:pPr>
      <w:r w:rsidRPr="004020C5">
        <w:t>Parental indicators of alcohol and drug use (health)</w:t>
      </w:r>
    </w:p>
    <w:p w14:paraId="55051605" w14:textId="3265419A" w:rsidR="004020C5" w:rsidRPr="004020C5" w:rsidRDefault="004020C5" w:rsidP="004020C5">
      <w:pPr>
        <w:pStyle w:val="BodySerif"/>
      </w:pPr>
      <w:r w:rsidRPr="004020C5">
        <w:t>Data to represent AOD use were also drawn from the APDC which records admissions to public and private hospitals. Admissions where the MDC was categorised as “substance use and substance induced organic mental disorders” or</w:t>
      </w:r>
      <w:r w:rsidR="004860E7">
        <w:t> </w:t>
      </w:r>
      <w:r w:rsidRPr="004020C5">
        <w:t>“injury, poisoning, and toxic effects of drugs” were taken as a proxy for seeking treatment for AOD use. It</w:t>
      </w:r>
      <w:r w:rsidR="004860E7">
        <w:t> </w:t>
      </w:r>
      <w:r w:rsidRPr="004020C5">
        <w:t>is</w:t>
      </w:r>
      <w:r w:rsidR="004860E7">
        <w:t> </w:t>
      </w:r>
      <w:r w:rsidRPr="004020C5">
        <w:t>important to note that the MDC codes used may overestimate the proportion of AOD hospitalisations compared to</w:t>
      </w:r>
      <w:r w:rsidR="004860E7">
        <w:t> </w:t>
      </w:r>
      <w:r w:rsidRPr="004020C5">
        <w:t>other diagnostic criteria which were not available to the researchers (e.g. Australian Refined Diagnosis Related Group, International Classification of Diseases) because it also includes codes for significant injuries and allergic reactions that are not AOD-related. However, the benefit of using the MDC to indicate AOD issues is that it also includes toxicity from prescribed medicines and may include side effects from medication taken as directed or from accidental overdose. As the only diagnostic criteria available to the researchers, MDC was used in the analysis, but is noted as a limitation of this approach (see also “Discussion: Strengths and Limitations” below).</w:t>
      </w:r>
    </w:p>
    <w:p w14:paraId="3F2A9BED" w14:textId="65DC961D" w:rsidR="004020C5" w:rsidRPr="004020C5" w:rsidRDefault="004020C5" w:rsidP="004020C5">
      <w:pPr>
        <w:pStyle w:val="BodySerif"/>
      </w:pPr>
      <w:r w:rsidRPr="004020C5">
        <w:t>Use of information contained within the NSW Drug and Alcohol Treatment services dataset, containing treatment episodes associated with NSW Government-funded drug and alcohol services, was not possible because the data were available for only a small window of time (use of services between 2015 to 2019).</w:t>
      </w:r>
    </w:p>
    <w:p w14:paraId="60ACB254" w14:textId="5A77D397" w:rsidR="004020C5" w:rsidRPr="004020C5" w:rsidRDefault="004020C5" w:rsidP="004020C5">
      <w:pPr>
        <w:pStyle w:val="H3"/>
      </w:pPr>
      <w:bookmarkStart w:id="23" w:name="_Toc191286649"/>
      <w:r w:rsidRPr="004020C5">
        <w:lastRenderedPageBreak/>
        <w:t>Final sample selection and description</w:t>
      </w:r>
      <w:bookmarkEnd w:id="23"/>
    </w:p>
    <w:p w14:paraId="5C423B8C" w14:textId="428B0307" w:rsidR="004020C5" w:rsidRPr="004020C5" w:rsidRDefault="004020C5" w:rsidP="004020C5">
      <w:pPr>
        <w:pStyle w:val="BodySerif"/>
      </w:pPr>
      <w:r w:rsidRPr="004020C5">
        <w:t>The selected sample was chosen on the basis of data availability, overlaps in timeframe of relevant datasets and required follow-up timings as indicated in Figure 1. As the aims of the study centre on the co-occurrence of parental DFV, AOD</w:t>
      </w:r>
      <w:r w:rsidR="004860E7">
        <w:t> </w:t>
      </w:r>
      <w:r w:rsidRPr="004020C5">
        <w:t>use, MH issues and children’s entry into OOHC, it is noted that systematic recording of such issues in child concern reports were made available to the researchers from the period starting October 2003 until June 2019. To enable consistency and compatibility between the KiDS and ChildStory databases, the selected sample is based on all children who had a “first</w:t>
      </w:r>
      <w:r w:rsidRPr="004020C5">
        <w:rPr>
          <w:i/>
          <w:iCs/>
        </w:rPr>
        <w:t>”</w:t>
      </w:r>
      <w:r w:rsidRPr="004020C5">
        <w:t> child concern report between January 2004 to June 2018 and their parents. The 12-month period after the first child concern report was received was the follow-up period for examining co-occurrence of parental DFV, AOD</w:t>
      </w:r>
      <w:r w:rsidR="004860E7">
        <w:t> </w:t>
      </w:r>
      <w:r w:rsidRPr="004020C5">
        <w:t>use, MH issues and children’s entry into OOHC. 1 January 2004 was selected as the starting point because it was the first full year available, and 30 June 2018 was selected as the end date to allow for the 12-month follow-up period. Information about parental DFV, AOD use, and MH issues outside of the child protection system (i.e. as recorded by</w:t>
      </w:r>
      <w:r w:rsidR="004860E7">
        <w:t> </w:t>
      </w:r>
      <w:r w:rsidRPr="004020C5">
        <w:t>police, justice and health data systems) was available prior to 2003 and used in the analysis. The analysis will focus on</w:t>
      </w:r>
      <w:r w:rsidR="004860E7">
        <w:t> </w:t>
      </w:r>
      <w:r w:rsidRPr="004020C5">
        <w:t>children’s first “recorded</w:t>
      </w:r>
      <w:r w:rsidRPr="004020C5">
        <w:rPr>
          <w:i/>
          <w:iCs/>
        </w:rPr>
        <w:t>”</w:t>
      </w:r>
      <w:r w:rsidRPr="004020C5">
        <w:t> OOHC entry within 12 months after their first child concern report.</w:t>
      </w:r>
    </w:p>
    <w:p w14:paraId="73F34D70" w14:textId="0D665DE4" w:rsidR="004020C5" w:rsidRPr="004020C5" w:rsidRDefault="004020C5" w:rsidP="004020C5">
      <w:pPr>
        <w:pStyle w:val="BodySerif"/>
      </w:pPr>
      <w:r w:rsidRPr="004020C5">
        <w:t>The final sample for analysis consisted of 584,365 unique children. For children, the gender breakdown was roughly evenly distributed (49.8% female, 50.2% male). Average age at first Helpline report was 80 months old (</w:t>
      </w:r>
      <w:r w:rsidRPr="004020C5">
        <w:rPr>
          <w:i/>
          <w:iCs/>
        </w:rPr>
        <w:t>SD</w:t>
      </w:r>
      <w:r w:rsidRPr="004020C5">
        <w:t> = 64.0, ranging from prenatal to 215 months) or 6.7 years. A total of 217,181 mothers and 234,331 “other” parent</w:t>
      </w:r>
      <w:r w:rsidR="00A16F09">
        <w:rPr>
          <w:rStyle w:val="FootnoteReference"/>
        </w:rPr>
        <w:footnoteReference w:id="5"/>
      </w:r>
      <w:r w:rsidRPr="004020C5">
        <w:t> (i.e.</w:t>
      </w:r>
      <w:r w:rsidR="004860E7">
        <w:t> </w:t>
      </w:r>
      <w:r w:rsidRPr="004020C5">
        <w:t>presumably fathers and partners) in the RBDM dataset could be linked to 330,168 children (56%) who had their first child concern report from 2004 (Figure 2). On average, mothers were 33.4 years old (</w:t>
      </w:r>
      <w:r w:rsidRPr="004020C5">
        <w:rPr>
          <w:i/>
          <w:iCs/>
        </w:rPr>
        <w:t>SD </w:t>
      </w:r>
      <w:r w:rsidRPr="004020C5">
        <w:t>= 8.6) at first Helpline report and had 1.66 children (</w:t>
      </w:r>
      <w:r w:rsidRPr="004020C5">
        <w:rPr>
          <w:i/>
          <w:iCs/>
        </w:rPr>
        <w:t>SD</w:t>
      </w:r>
      <w:r w:rsidRPr="004020C5">
        <w:t> = 1.0) receiving child protection services. Approximately 4 per cent of mothers (</w:t>
      </w:r>
      <w:r w:rsidRPr="004020C5">
        <w:rPr>
          <w:i/>
          <w:iCs/>
        </w:rPr>
        <w:t>n</w:t>
      </w:r>
      <w:r w:rsidRPr="004020C5">
        <w:t> =</w:t>
      </w:r>
      <w:r w:rsidR="004860E7">
        <w:t> </w:t>
      </w:r>
      <w:r w:rsidRPr="004020C5">
        <w:t>6,123) with a child concern report also had children in OOHC: </w:t>
      </w:r>
      <w:r w:rsidRPr="004020C5">
        <w:rPr>
          <w:i/>
          <w:iCs/>
        </w:rPr>
        <w:t>M</w:t>
      </w:r>
      <w:r w:rsidRPr="004020C5">
        <w:t> = 1.4, </w:t>
      </w:r>
      <w:r w:rsidRPr="004020C5">
        <w:rPr>
          <w:i/>
          <w:iCs/>
        </w:rPr>
        <w:t>SD</w:t>
      </w:r>
      <w:r w:rsidRPr="004020C5">
        <w:t> = 0.7. “Other” parents were 36.9 years old (</w:t>
      </w:r>
      <w:r w:rsidRPr="004020C5">
        <w:rPr>
          <w:i/>
          <w:iCs/>
        </w:rPr>
        <w:t>SD</w:t>
      </w:r>
      <w:r w:rsidRPr="004020C5">
        <w:t> = 9.3) at first Helpline report and had 1.6 children (</w:t>
      </w:r>
      <w:r w:rsidRPr="004020C5">
        <w:rPr>
          <w:i/>
          <w:iCs/>
        </w:rPr>
        <w:t>SD</w:t>
      </w:r>
      <w:r w:rsidRPr="004020C5">
        <w:t> = 0.9) receiving child protection services. Approximately</w:t>
      </w:r>
      <w:r w:rsidR="004860E7">
        <w:t> </w:t>
      </w:r>
      <w:r w:rsidRPr="004020C5">
        <w:t>3 per cent of “other” parents (</w:t>
      </w:r>
      <w:r w:rsidRPr="004020C5">
        <w:rPr>
          <w:i/>
          <w:iCs/>
        </w:rPr>
        <w:t>n</w:t>
      </w:r>
      <w:r w:rsidRPr="004020C5">
        <w:t> = 4,618) with children who received a child concern report also had children in</w:t>
      </w:r>
      <w:r w:rsidR="004860E7">
        <w:t> </w:t>
      </w:r>
      <w:r w:rsidRPr="004020C5">
        <w:t>OOHC: </w:t>
      </w:r>
      <w:r w:rsidRPr="004020C5">
        <w:rPr>
          <w:i/>
          <w:iCs/>
        </w:rPr>
        <w:t>M</w:t>
      </w:r>
      <w:r w:rsidRPr="004020C5">
        <w:t> = 1.3, </w:t>
      </w:r>
      <w:r w:rsidRPr="004020C5">
        <w:rPr>
          <w:i/>
          <w:iCs/>
        </w:rPr>
        <w:t>SD</w:t>
      </w:r>
      <w:r w:rsidRPr="004020C5">
        <w:t> = 0.6.</w:t>
      </w:r>
    </w:p>
    <w:p w14:paraId="7ED0A029" w14:textId="6066B566" w:rsidR="00B82028" w:rsidRDefault="00D03EC6" w:rsidP="00B82028">
      <w:pPr>
        <w:pStyle w:val="FigureTableHeading"/>
      </w:pPr>
      <w:r w:rsidRPr="00D03EC6">
        <w:rPr>
          <w:rStyle w:val="Strong"/>
        </w:rPr>
        <w:t xml:space="preserve">Figure </w:t>
      </w:r>
      <w:r>
        <w:rPr>
          <w:rStyle w:val="Strong"/>
        </w:rPr>
        <w:t>1</w:t>
      </w:r>
      <w:r w:rsidRPr="00D03EC6">
        <w:rPr>
          <w:rStyle w:val="Strong"/>
        </w:rPr>
        <w:t>:</w:t>
      </w:r>
      <w:r w:rsidRPr="004020C5">
        <w:t xml:space="preserve"> </w:t>
      </w:r>
      <w:r>
        <w:t>Sample selection based on the time period where data is recorded in each dataset</w:t>
      </w:r>
    </w:p>
    <w:p w14:paraId="2C0A8061" w14:textId="2B028F07" w:rsidR="00D03EC6" w:rsidRDefault="00D03EC6">
      <w:pPr>
        <w:rPr>
          <w:rStyle w:val="Strong"/>
        </w:rPr>
      </w:pPr>
      <w:r w:rsidRPr="004020C5">
        <w:rPr>
          <w:noProof/>
        </w:rPr>
        <w:drawing>
          <wp:inline distT="0" distB="0" distL="0" distR="0" wp14:anchorId="106DDCA8" wp14:editId="4E4E4605">
            <wp:extent cx="6478533" cy="2210463"/>
            <wp:effectExtent l="0" t="0" r="0" b="0"/>
            <wp:docPr id="910382276" name="Picture 214" descr="This is a sample selection graph that shows where data is recorded in each datase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2276" name="Picture 214" descr="This is a sample selection graph that shows where data is recorded in each dataset. The data in this graph is in the table below."/>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776" b="21239"/>
                    <a:stretch/>
                  </pic:blipFill>
                  <pic:spPr bwMode="auto">
                    <a:xfrm>
                      <a:off x="0" y="0"/>
                      <a:ext cx="6479540" cy="2210807"/>
                    </a:xfrm>
                    <a:prstGeom prst="rect">
                      <a:avLst/>
                    </a:prstGeom>
                    <a:noFill/>
                    <a:ln>
                      <a:noFill/>
                    </a:ln>
                    <a:extLst>
                      <a:ext uri="{53640926-AAD7-44D8-BBD7-CCE9431645EC}">
                        <a14:shadowObscured xmlns:a14="http://schemas.microsoft.com/office/drawing/2010/main"/>
                      </a:ext>
                    </a:extLst>
                  </pic:spPr>
                </pic:pic>
              </a:graphicData>
            </a:graphic>
          </wp:inline>
        </w:drawing>
      </w:r>
    </w:p>
    <w:p w14:paraId="2749E42B" w14:textId="1E708C1E" w:rsidR="002514C6" w:rsidRPr="00D62E61" w:rsidRDefault="00B82028" w:rsidP="00D62E61">
      <w:pPr>
        <w:pStyle w:val="TableSubheading"/>
      </w:pPr>
      <w:r w:rsidRPr="00D62E61">
        <w:rPr>
          <w:rFonts w:eastAsiaTheme="minorHAnsi"/>
        </w:rPr>
        <w:t>Data table for</w:t>
      </w:r>
      <w:r w:rsidRPr="00D62E61">
        <w:t xml:space="preserve"> </w:t>
      </w:r>
      <w:r w:rsidR="005D0E62" w:rsidRPr="00D62E61">
        <w:t>F</w:t>
      </w:r>
      <w:r w:rsidRPr="00D62E61">
        <w:t>igure 1:</w:t>
      </w:r>
    </w:p>
    <w:tbl>
      <w:tblPr>
        <w:tblStyle w:val="ANROWSTable"/>
        <w:tblW w:w="0" w:type="auto"/>
        <w:tblLook w:val="04A0" w:firstRow="1" w:lastRow="0" w:firstColumn="1" w:lastColumn="0" w:noHBand="0" w:noVBand="1"/>
      </w:tblPr>
      <w:tblGrid>
        <w:gridCol w:w="3398"/>
        <w:gridCol w:w="3398"/>
        <w:gridCol w:w="3398"/>
      </w:tblGrid>
      <w:tr w:rsidR="00B82028" w14:paraId="5A124784" w14:textId="77777777" w:rsidTr="00D62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6C5AC398" w14:textId="1A697BE8" w:rsidR="00B82028" w:rsidRPr="00D62E61" w:rsidRDefault="00B82028" w:rsidP="00D62E61">
            <w:pPr>
              <w:pStyle w:val="BodySans"/>
            </w:pPr>
            <w:r w:rsidRPr="00D62E61">
              <w:t>Where data is recorded</w:t>
            </w:r>
            <w:r w:rsidR="0088261C" w:rsidRPr="00D62E61">
              <w:t xml:space="preserve"> in each dataset</w:t>
            </w:r>
          </w:p>
        </w:tc>
        <w:tc>
          <w:tcPr>
            <w:tcW w:w="3398" w:type="dxa"/>
          </w:tcPr>
          <w:p w14:paraId="710E7EE0" w14:textId="06523A24" w:rsidR="00B82028" w:rsidRPr="00D62E61" w:rsidRDefault="00B82028" w:rsidP="00D62E61">
            <w:pPr>
              <w:pStyle w:val="BodySans"/>
              <w:cnfStyle w:val="100000000000" w:firstRow="1" w:lastRow="0" w:firstColumn="0" w:lastColumn="0" w:oddVBand="0" w:evenVBand="0" w:oddHBand="0" w:evenHBand="0" w:firstRowFirstColumn="0" w:firstRowLastColumn="0" w:lastRowFirstColumn="0" w:lastRowLastColumn="0"/>
            </w:pPr>
            <w:r w:rsidRPr="00D62E61">
              <w:t>Source</w:t>
            </w:r>
          </w:p>
        </w:tc>
        <w:tc>
          <w:tcPr>
            <w:tcW w:w="3398" w:type="dxa"/>
          </w:tcPr>
          <w:p w14:paraId="54263D80" w14:textId="648F63D7" w:rsidR="00B82028" w:rsidRPr="00D62E61" w:rsidRDefault="00B82028" w:rsidP="00D62E61">
            <w:pPr>
              <w:pStyle w:val="BodySans"/>
              <w:cnfStyle w:val="100000000000" w:firstRow="1" w:lastRow="0" w:firstColumn="0" w:lastColumn="0" w:oddVBand="0" w:evenVBand="0" w:oddHBand="0" w:evenHBand="0" w:firstRowFirstColumn="0" w:firstRowLastColumn="0" w:lastRowFirstColumn="0" w:lastRowLastColumn="0"/>
            </w:pPr>
            <w:r w:rsidRPr="00D62E61">
              <w:t>Time period</w:t>
            </w:r>
          </w:p>
        </w:tc>
      </w:tr>
      <w:tr w:rsidR="00B82028" w14:paraId="23619CF3" w14:textId="77777777" w:rsidTr="00D6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A4E8200" w14:textId="679987DE" w:rsidR="00B82028" w:rsidRPr="00D62E61" w:rsidRDefault="00B82028" w:rsidP="00D62E61">
            <w:pPr>
              <w:pStyle w:val="BodySans"/>
            </w:pPr>
            <w:r w:rsidRPr="00D62E61">
              <w:t>CP – RoSH report</w:t>
            </w:r>
          </w:p>
        </w:tc>
        <w:tc>
          <w:tcPr>
            <w:tcW w:w="3398" w:type="dxa"/>
          </w:tcPr>
          <w:p w14:paraId="00DDF4D3" w14:textId="0477E894" w:rsidR="00B82028" w:rsidRPr="00D62E61" w:rsidRDefault="00BF27B8" w:rsidP="00D62E61">
            <w:pPr>
              <w:pStyle w:val="BodySans"/>
              <w:cnfStyle w:val="000000100000" w:firstRow="0" w:lastRow="0" w:firstColumn="0" w:lastColumn="0" w:oddVBand="0" w:evenVBand="0" w:oddHBand="1" w:evenHBand="0" w:firstRowFirstColumn="0" w:firstRowLastColumn="0" w:lastRowFirstColumn="0" w:lastRowLastColumn="0"/>
            </w:pPr>
            <w:r w:rsidRPr="00D62E61">
              <w:t>DCJ</w:t>
            </w:r>
          </w:p>
        </w:tc>
        <w:tc>
          <w:tcPr>
            <w:tcW w:w="3398" w:type="dxa"/>
          </w:tcPr>
          <w:p w14:paraId="5E05E651" w14:textId="5B16DF83" w:rsidR="00B82028" w:rsidRPr="00D62E61" w:rsidRDefault="00BF27B8" w:rsidP="00D62E61">
            <w:pPr>
              <w:pStyle w:val="BodySans"/>
              <w:cnfStyle w:val="000000100000" w:firstRow="0" w:lastRow="0" w:firstColumn="0" w:lastColumn="0" w:oddVBand="0" w:evenVBand="0" w:oddHBand="1" w:evenHBand="0" w:firstRowFirstColumn="0" w:firstRowLastColumn="0" w:lastRowFirstColumn="0" w:lastRowLastColumn="0"/>
            </w:pPr>
            <w:r w:rsidRPr="00D62E61">
              <w:t>2003 – 2019</w:t>
            </w:r>
          </w:p>
        </w:tc>
      </w:tr>
      <w:tr w:rsidR="00B82028" w14:paraId="41679710" w14:textId="77777777" w:rsidTr="00D62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2CEEE51" w14:textId="299D2F51" w:rsidR="00B82028" w:rsidRPr="00D62E61" w:rsidRDefault="00B82028" w:rsidP="00D62E61">
            <w:pPr>
              <w:pStyle w:val="BodySans"/>
            </w:pPr>
            <w:r w:rsidRPr="00D62E61">
              <w:t>CP – reported issue (DFV/AOD/MH)</w:t>
            </w:r>
          </w:p>
        </w:tc>
        <w:tc>
          <w:tcPr>
            <w:tcW w:w="3398" w:type="dxa"/>
          </w:tcPr>
          <w:p w14:paraId="079983AE" w14:textId="5BCB11C9" w:rsidR="00B82028" w:rsidRPr="00D62E61" w:rsidRDefault="00BF27B8" w:rsidP="00D62E61">
            <w:pPr>
              <w:pStyle w:val="BodySans"/>
              <w:cnfStyle w:val="000000010000" w:firstRow="0" w:lastRow="0" w:firstColumn="0" w:lastColumn="0" w:oddVBand="0" w:evenVBand="0" w:oddHBand="0" w:evenHBand="1" w:firstRowFirstColumn="0" w:firstRowLastColumn="0" w:lastRowFirstColumn="0" w:lastRowLastColumn="0"/>
            </w:pPr>
            <w:r w:rsidRPr="00D62E61">
              <w:t>DCJ</w:t>
            </w:r>
          </w:p>
        </w:tc>
        <w:tc>
          <w:tcPr>
            <w:tcW w:w="3398" w:type="dxa"/>
          </w:tcPr>
          <w:p w14:paraId="275D4D34" w14:textId="319BAD7C" w:rsidR="00B82028" w:rsidRPr="00D62E61" w:rsidRDefault="00BF27B8" w:rsidP="00D62E61">
            <w:pPr>
              <w:pStyle w:val="BodySans"/>
              <w:cnfStyle w:val="000000010000" w:firstRow="0" w:lastRow="0" w:firstColumn="0" w:lastColumn="0" w:oddVBand="0" w:evenVBand="0" w:oddHBand="0" w:evenHBand="1" w:firstRowFirstColumn="0" w:firstRowLastColumn="0" w:lastRowFirstColumn="0" w:lastRowLastColumn="0"/>
            </w:pPr>
            <w:r w:rsidRPr="00D62E61">
              <w:t>2003 – 2019</w:t>
            </w:r>
          </w:p>
        </w:tc>
      </w:tr>
      <w:tr w:rsidR="00B82028" w14:paraId="05577187" w14:textId="77777777" w:rsidTr="00D6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E1B0C1E" w14:textId="26952E97" w:rsidR="00B82028" w:rsidRPr="00D62E61" w:rsidRDefault="00B82028" w:rsidP="00D62E61">
            <w:pPr>
              <w:pStyle w:val="BodySans"/>
            </w:pPr>
            <w:r w:rsidRPr="00D62E61">
              <w:lastRenderedPageBreak/>
              <w:t>OOHC placement</w:t>
            </w:r>
          </w:p>
        </w:tc>
        <w:tc>
          <w:tcPr>
            <w:tcW w:w="3398" w:type="dxa"/>
          </w:tcPr>
          <w:p w14:paraId="2EACA36E" w14:textId="1C4AB73D" w:rsidR="00B82028" w:rsidRPr="00D62E61" w:rsidRDefault="00BF27B8" w:rsidP="00D62E61">
            <w:pPr>
              <w:pStyle w:val="BodySans"/>
              <w:cnfStyle w:val="000000100000" w:firstRow="0" w:lastRow="0" w:firstColumn="0" w:lastColumn="0" w:oddVBand="0" w:evenVBand="0" w:oddHBand="1" w:evenHBand="0" w:firstRowFirstColumn="0" w:firstRowLastColumn="0" w:lastRowFirstColumn="0" w:lastRowLastColumn="0"/>
            </w:pPr>
            <w:r w:rsidRPr="00D62E61">
              <w:t>DCJ</w:t>
            </w:r>
          </w:p>
        </w:tc>
        <w:tc>
          <w:tcPr>
            <w:tcW w:w="3398" w:type="dxa"/>
          </w:tcPr>
          <w:p w14:paraId="30068635" w14:textId="1E2BEABE" w:rsidR="00B82028" w:rsidRPr="00D62E61" w:rsidRDefault="00BF27B8" w:rsidP="00D62E61">
            <w:pPr>
              <w:pStyle w:val="BodySans"/>
              <w:cnfStyle w:val="000000100000" w:firstRow="0" w:lastRow="0" w:firstColumn="0" w:lastColumn="0" w:oddVBand="0" w:evenVBand="0" w:oddHBand="1" w:evenHBand="0" w:firstRowFirstColumn="0" w:firstRowLastColumn="0" w:lastRowFirstColumn="0" w:lastRowLastColumn="0"/>
            </w:pPr>
            <w:r w:rsidRPr="00D62E61">
              <w:t>2003 – 2019</w:t>
            </w:r>
          </w:p>
        </w:tc>
      </w:tr>
      <w:tr w:rsidR="00B82028" w14:paraId="0001DB1A" w14:textId="77777777" w:rsidTr="00D62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6AB0C75" w14:textId="21EA9417" w:rsidR="00B82028" w:rsidRPr="00D62E61" w:rsidRDefault="00B82028" w:rsidP="00D62E61">
            <w:pPr>
              <w:pStyle w:val="BodySans"/>
            </w:pPr>
            <w:r w:rsidRPr="00D62E61">
              <w:t>Brighter Futures</w:t>
            </w:r>
          </w:p>
        </w:tc>
        <w:tc>
          <w:tcPr>
            <w:tcW w:w="3398" w:type="dxa"/>
          </w:tcPr>
          <w:p w14:paraId="6B0991C2" w14:textId="479DC005" w:rsidR="00B82028" w:rsidRPr="00D62E61" w:rsidRDefault="00BF27B8" w:rsidP="00D62E61">
            <w:pPr>
              <w:pStyle w:val="BodySans"/>
              <w:cnfStyle w:val="000000010000" w:firstRow="0" w:lastRow="0" w:firstColumn="0" w:lastColumn="0" w:oddVBand="0" w:evenVBand="0" w:oddHBand="0" w:evenHBand="1" w:firstRowFirstColumn="0" w:firstRowLastColumn="0" w:lastRowFirstColumn="0" w:lastRowLastColumn="0"/>
            </w:pPr>
            <w:r w:rsidRPr="00D62E61">
              <w:t>DCJ</w:t>
            </w:r>
          </w:p>
        </w:tc>
        <w:tc>
          <w:tcPr>
            <w:tcW w:w="3398" w:type="dxa"/>
          </w:tcPr>
          <w:p w14:paraId="6929B496" w14:textId="2F42B6DA" w:rsidR="00B82028" w:rsidRPr="00D62E61" w:rsidRDefault="00BF27B8" w:rsidP="00D62E61">
            <w:pPr>
              <w:pStyle w:val="BodySans"/>
              <w:cnfStyle w:val="000000010000" w:firstRow="0" w:lastRow="0" w:firstColumn="0" w:lastColumn="0" w:oddVBand="0" w:evenVBand="0" w:oddHBand="0" w:evenHBand="1" w:firstRowFirstColumn="0" w:firstRowLastColumn="0" w:lastRowFirstColumn="0" w:lastRowLastColumn="0"/>
            </w:pPr>
            <w:r w:rsidRPr="00D62E61">
              <w:t>Pre-2003 – 2017</w:t>
            </w:r>
          </w:p>
        </w:tc>
      </w:tr>
      <w:tr w:rsidR="00B82028" w14:paraId="05A02263" w14:textId="77777777" w:rsidTr="00D6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23F2A8B" w14:textId="3E01DD6E" w:rsidR="00B82028" w:rsidRPr="00D62E61" w:rsidRDefault="00B82028" w:rsidP="00D62E61">
            <w:pPr>
              <w:pStyle w:val="BodySans"/>
            </w:pPr>
            <w:r w:rsidRPr="00D62E61">
              <w:t>DFV – finalised change involving DV (including court appearance)</w:t>
            </w:r>
          </w:p>
        </w:tc>
        <w:tc>
          <w:tcPr>
            <w:tcW w:w="3398" w:type="dxa"/>
          </w:tcPr>
          <w:p w14:paraId="2C4FF5E2" w14:textId="1B0FA94D" w:rsidR="00B82028" w:rsidRPr="00D62E61" w:rsidRDefault="00BF27B8" w:rsidP="00D62E61">
            <w:pPr>
              <w:pStyle w:val="BodySans"/>
              <w:cnfStyle w:val="000000100000" w:firstRow="0" w:lastRow="0" w:firstColumn="0" w:lastColumn="0" w:oddVBand="0" w:evenVBand="0" w:oddHBand="1" w:evenHBand="0" w:firstRowFirstColumn="0" w:firstRowLastColumn="0" w:lastRowFirstColumn="0" w:lastRowLastColumn="0"/>
            </w:pPr>
            <w:r w:rsidRPr="00D62E61">
              <w:t>BOSCAR</w:t>
            </w:r>
          </w:p>
        </w:tc>
        <w:tc>
          <w:tcPr>
            <w:tcW w:w="3398" w:type="dxa"/>
          </w:tcPr>
          <w:p w14:paraId="1298A935" w14:textId="47389AEA" w:rsidR="00B82028" w:rsidRPr="00D62E61" w:rsidRDefault="00BF27B8" w:rsidP="00D62E61">
            <w:pPr>
              <w:pStyle w:val="BodySans"/>
              <w:cnfStyle w:val="000000100000" w:firstRow="0" w:lastRow="0" w:firstColumn="0" w:lastColumn="0" w:oddVBand="0" w:evenVBand="0" w:oddHBand="1" w:evenHBand="0" w:firstRowFirstColumn="0" w:firstRowLastColumn="0" w:lastRowFirstColumn="0" w:lastRowLastColumn="0"/>
            </w:pPr>
            <w:r w:rsidRPr="00D62E61">
              <w:t>Pre-2003 – 2019</w:t>
            </w:r>
          </w:p>
        </w:tc>
      </w:tr>
      <w:tr w:rsidR="00B82028" w14:paraId="3D810582" w14:textId="77777777" w:rsidTr="00D62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B53D20E" w14:textId="6B2A714C" w:rsidR="00B82028" w:rsidRPr="00D62E61" w:rsidRDefault="00B82028" w:rsidP="00D62E61">
            <w:pPr>
              <w:pStyle w:val="BodySans"/>
            </w:pPr>
            <w:r w:rsidRPr="00D62E61">
              <w:t>DFV – police reports where victim is partner or ex-partner of perpetrator</w:t>
            </w:r>
          </w:p>
        </w:tc>
        <w:tc>
          <w:tcPr>
            <w:tcW w:w="3398" w:type="dxa"/>
          </w:tcPr>
          <w:p w14:paraId="09AE55BB" w14:textId="57554873" w:rsidR="00B82028" w:rsidRPr="00D62E61" w:rsidRDefault="00BF27B8" w:rsidP="00D62E61">
            <w:pPr>
              <w:pStyle w:val="BodySans"/>
              <w:cnfStyle w:val="000000010000" w:firstRow="0" w:lastRow="0" w:firstColumn="0" w:lastColumn="0" w:oddVBand="0" w:evenVBand="0" w:oddHBand="0" w:evenHBand="1" w:firstRowFirstColumn="0" w:firstRowLastColumn="0" w:lastRowFirstColumn="0" w:lastRowLastColumn="0"/>
            </w:pPr>
            <w:r w:rsidRPr="00D62E61">
              <w:t>Police</w:t>
            </w:r>
          </w:p>
        </w:tc>
        <w:tc>
          <w:tcPr>
            <w:tcW w:w="3398" w:type="dxa"/>
          </w:tcPr>
          <w:p w14:paraId="001B971E" w14:textId="62C91847" w:rsidR="00B82028" w:rsidRPr="00D62E61" w:rsidRDefault="00BF27B8" w:rsidP="00D62E61">
            <w:pPr>
              <w:pStyle w:val="BodySans"/>
              <w:cnfStyle w:val="000000010000" w:firstRow="0" w:lastRow="0" w:firstColumn="0" w:lastColumn="0" w:oddVBand="0" w:evenVBand="0" w:oddHBand="0" w:evenHBand="1" w:firstRowFirstColumn="0" w:firstRowLastColumn="0" w:lastRowFirstColumn="0" w:lastRowLastColumn="0"/>
            </w:pPr>
            <w:r w:rsidRPr="00D62E61">
              <w:t>Pre-2003 – 2019</w:t>
            </w:r>
          </w:p>
        </w:tc>
      </w:tr>
      <w:tr w:rsidR="00B82028" w14:paraId="1BE8EF57" w14:textId="77777777" w:rsidTr="00D6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9BD1B21" w14:textId="7606738F" w:rsidR="00B82028" w:rsidRPr="00D62E61" w:rsidRDefault="00B82028" w:rsidP="00D62E61">
            <w:pPr>
              <w:pStyle w:val="BodySans"/>
            </w:pPr>
            <w:r w:rsidRPr="00D62E61">
              <w:t>MH – contact made with mental health service</w:t>
            </w:r>
          </w:p>
        </w:tc>
        <w:tc>
          <w:tcPr>
            <w:tcW w:w="3398" w:type="dxa"/>
          </w:tcPr>
          <w:p w14:paraId="06C68D1F" w14:textId="369F32C2" w:rsidR="00B82028" w:rsidRPr="00D62E61" w:rsidRDefault="00BF27B8" w:rsidP="00D62E61">
            <w:pPr>
              <w:pStyle w:val="BodySans"/>
              <w:cnfStyle w:val="000000100000" w:firstRow="0" w:lastRow="0" w:firstColumn="0" w:lastColumn="0" w:oddVBand="0" w:evenVBand="0" w:oddHBand="1" w:evenHBand="0" w:firstRowFirstColumn="0" w:firstRowLastColumn="0" w:lastRowFirstColumn="0" w:lastRowLastColumn="0"/>
            </w:pPr>
            <w:r w:rsidRPr="00D62E61">
              <w:t>Health</w:t>
            </w:r>
          </w:p>
        </w:tc>
        <w:tc>
          <w:tcPr>
            <w:tcW w:w="3398" w:type="dxa"/>
          </w:tcPr>
          <w:p w14:paraId="0A20805C" w14:textId="04C0587A" w:rsidR="00B82028" w:rsidRPr="00D62E61" w:rsidRDefault="00BF27B8" w:rsidP="00D62E61">
            <w:pPr>
              <w:pStyle w:val="BodySans"/>
              <w:cnfStyle w:val="000000100000" w:firstRow="0" w:lastRow="0" w:firstColumn="0" w:lastColumn="0" w:oddVBand="0" w:evenVBand="0" w:oddHBand="1" w:evenHBand="0" w:firstRowFirstColumn="0" w:firstRowLastColumn="0" w:lastRowFirstColumn="0" w:lastRowLastColumn="0"/>
            </w:pPr>
            <w:r w:rsidRPr="00D62E61">
              <w:t>Pre-2003 – 2018</w:t>
            </w:r>
          </w:p>
        </w:tc>
      </w:tr>
      <w:tr w:rsidR="00B82028" w14:paraId="55501E49" w14:textId="77777777" w:rsidTr="00D62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DCAC084" w14:textId="18827A40" w:rsidR="00B82028" w:rsidRPr="00D62E61" w:rsidRDefault="00BF27B8" w:rsidP="00D62E61">
            <w:pPr>
              <w:pStyle w:val="BodySans"/>
            </w:pPr>
            <w:r w:rsidRPr="00D62E61">
              <w:t>MH – admitted patient where Major Diagnostic Category is “Mental Diseases and Disorders”</w:t>
            </w:r>
          </w:p>
        </w:tc>
        <w:tc>
          <w:tcPr>
            <w:tcW w:w="3398" w:type="dxa"/>
          </w:tcPr>
          <w:p w14:paraId="364838A8" w14:textId="46B6838F" w:rsidR="00B82028" w:rsidRPr="00D62E61" w:rsidRDefault="00BF27B8" w:rsidP="00D62E61">
            <w:pPr>
              <w:pStyle w:val="BodySans"/>
              <w:cnfStyle w:val="000000010000" w:firstRow="0" w:lastRow="0" w:firstColumn="0" w:lastColumn="0" w:oddVBand="0" w:evenVBand="0" w:oddHBand="0" w:evenHBand="1" w:firstRowFirstColumn="0" w:firstRowLastColumn="0" w:lastRowFirstColumn="0" w:lastRowLastColumn="0"/>
            </w:pPr>
            <w:r w:rsidRPr="00D62E61">
              <w:t>Health</w:t>
            </w:r>
          </w:p>
        </w:tc>
        <w:tc>
          <w:tcPr>
            <w:tcW w:w="3398" w:type="dxa"/>
          </w:tcPr>
          <w:p w14:paraId="0BB2616C" w14:textId="620EEDCD" w:rsidR="00B82028" w:rsidRPr="00D62E61" w:rsidRDefault="00BF27B8" w:rsidP="00D62E61">
            <w:pPr>
              <w:pStyle w:val="BodySans"/>
              <w:cnfStyle w:val="000000010000" w:firstRow="0" w:lastRow="0" w:firstColumn="0" w:lastColumn="0" w:oddVBand="0" w:evenVBand="0" w:oddHBand="0" w:evenHBand="1" w:firstRowFirstColumn="0" w:firstRowLastColumn="0" w:lastRowFirstColumn="0" w:lastRowLastColumn="0"/>
            </w:pPr>
            <w:r w:rsidRPr="00D62E61">
              <w:t>Pre-2003 – 2019</w:t>
            </w:r>
          </w:p>
        </w:tc>
      </w:tr>
      <w:tr w:rsidR="00B82028" w14:paraId="4F7B6D65" w14:textId="77777777" w:rsidTr="00D6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F8A8A54" w14:textId="4869974B" w:rsidR="00B82028" w:rsidRPr="00D62E61" w:rsidRDefault="00BF27B8" w:rsidP="00D62E61">
            <w:pPr>
              <w:pStyle w:val="BodySans"/>
            </w:pPr>
            <w:r w:rsidRPr="00D62E61">
              <w:t>AOD – admitted patient where Major Diagnostic Criteria is related to “substance use” or “toxic effects of drugs”</w:t>
            </w:r>
          </w:p>
        </w:tc>
        <w:tc>
          <w:tcPr>
            <w:tcW w:w="3398" w:type="dxa"/>
          </w:tcPr>
          <w:p w14:paraId="10E9A83D" w14:textId="5D0A9FCD" w:rsidR="00B82028" w:rsidRPr="00D62E61" w:rsidRDefault="00BF27B8" w:rsidP="00D62E61">
            <w:pPr>
              <w:pStyle w:val="BodySans"/>
              <w:cnfStyle w:val="000000100000" w:firstRow="0" w:lastRow="0" w:firstColumn="0" w:lastColumn="0" w:oddVBand="0" w:evenVBand="0" w:oddHBand="1" w:evenHBand="0" w:firstRowFirstColumn="0" w:firstRowLastColumn="0" w:lastRowFirstColumn="0" w:lastRowLastColumn="0"/>
            </w:pPr>
            <w:r w:rsidRPr="00D62E61">
              <w:t>Health</w:t>
            </w:r>
          </w:p>
        </w:tc>
        <w:tc>
          <w:tcPr>
            <w:tcW w:w="3398" w:type="dxa"/>
          </w:tcPr>
          <w:p w14:paraId="6EE7D8F7" w14:textId="2A73A950" w:rsidR="00B82028" w:rsidRPr="00D62E61" w:rsidRDefault="00BF27B8" w:rsidP="00D62E61">
            <w:pPr>
              <w:pStyle w:val="BodySans"/>
              <w:cnfStyle w:val="000000100000" w:firstRow="0" w:lastRow="0" w:firstColumn="0" w:lastColumn="0" w:oddVBand="0" w:evenVBand="0" w:oddHBand="1" w:evenHBand="0" w:firstRowFirstColumn="0" w:firstRowLastColumn="0" w:lastRowFirstColumn="0" w:lastRowLastColumn="0"/>
            </w:pPr>
            <w:r w:rsidRPr="00D62E61">
              <w:t>Pre-2003 – 2019</w:t>
            </w:r>
          </w:p>
        </w:tc>
      </w:tr>
    </w:tbl>
    <w:p w14:paraId="1FB8F6F5" w14:textId="6A818737" w:rsidR="004020C5" w:rsidRPr="004020C5" w:rsidRDefault="004020C5" w:rsidP="00D62E61">
      <w:pPr>
        <w:pStyle w:val="FigureTableHeading"/>
        <w:spacing w:before="360"/>
      </w:pPr>
      <w:r w:rsidRPr="00D03EC6">
        <w:rPr>
          <w:rStyle w:val="Strong"/>
        </w:rPr>
        <w:t>Figure 2:</w:t>
      </w:r>
      <w:r w:rsidRPr="004020C5">
        <w:t xml:space="preserve"> Breakdown of final sample of children and </w:t>
      </w:r>
      <w:r w:rsidRPr="00D62E61">
        <w:t>parents</w:t>
      </w:r>
      <w:r w:rsidRPr="004020C5">
        <w:t xml:space="preserve"> included for analysis</w:t>
      </w:r>
    </w:p>
    <w:p w14:paraId="15E6CF4D" w14:textId="6EC68268" w:rsidR="004020C5" w:rsidRDefault="004020C5" w:rsidP="004020C5">
      <w:r w:rsidRPr="004020C5">
        <w:rPr>
          <w:noProof/>
        </w:rPr>
        <w:drawing>
          <wp:inline distT="0" distB="0" distL="0" distR="0" wp14:anchorId="536D7A46" wp14:editId="040B0A3C">
            <wp:extent cx="6479540" cy="1052830"/>
            <wp:effectExtent l="0" t="0" r="0" b="0"/>
            <wp:docPr id="1589907854" name="Picture 213" descr="A flow chart diagram show the breakdown of final sample of children and parents included for analysis. The text alternative for this figur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7854" name="Picture 213" descr="A flow chart diagram show the breakdown of final sample of children and parents included for analysis. The text alternative for this figure is bel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1052830"/>
                    </a:xfrm>
                    <a:prstGeom prst="rect">
                      <a:avLst/>
                    </a:prstGeom>
                    <a:noFill/>
                    <a:ln>
                      <a:noFill/>
                    </a:ln>
                  </pic:spPr>
                </pic:pic>
              </a:graphicData>
            </a:graphic>
          </wp:inline>
        </w:drawing>
      </w:r>
    </w:p>
    <w:p w14:paraId="60D22AE0" w14:textId="758F3C86" w:rsidR="00D62E61" w:rsidRDefault="00D62E61" w:rsidP="00D62E61">
      <w:pPr>
        <w:pStyle w:val="TableSubheading"/>
      </w:pPr>
      <w:r>
        <w:t>Text alternative for figure 2</w:t>
      </w:r>
    </w:p>
    <w:tbl>
      <w:tblPr>
        <w:tblStyle w:val="Breakoutboxwhitelayout"/>
        <w:tblW w:w="0" w:type="auto"/>
        <w:tblLook w:val="04A0" w:firstRow="1" w:lastRow="0" w:firstColumn="1" w:lastColumn="0" w:noHBand="0" w:noVBand="1"/>
      </w:tblPr>
      <w:tblGrid>
        <w:gridCol w:w="10194"/>
      </w:tblGrid>
      <w:tr w:rsidR="00D62E61" w14:paraId="56E1014A" w14:textId="77777777" w:rsidTr="00D62E61">
        <w:tc>
          <w:tcPr>
            <w:tcW w:w="10194" w:type="dxa"/>
          </w:tcPr>
          <w:p w14:paraId="24B02E31" w14:textId="64CB0F2C" w:rsidR="00D62E61" w:rsidRDefault="00D62E61" w:rsidP="00D62E61">
            <w:pPr>
              <w:pStyle w:val="BodySansBullet1"/>
            </w:pPr>
            <w:r w:rsidRPr="00605796">
              <w:t>584,365 children with a first report to the Child Protection Helpline between January 2004 to June</w:t>
            </w:r>
            <w:r>
              <w:t> </w:t>
            </w:r>
            <w:r w:rsidRPr="00605796">
              <w:t>2018</w:t>
            </w:r>
          </w:p>
          <w:p w14:paraId="15E8D19D" w14:textId="77777777" w:rsidR="00D62E61" w:rsidRDefault="00D62E61" w:rsidP="00D62E61">
            <w:pPr>
              <w:pStyle w:val="BodySansBullet1"/>
            </w:pPr>
            <w:r w:rsidRPr="00605796">
              <w:t>330,168 children with a child protection report could be linked to a parent identifier</w:t>
            </w:r>
          </w:p>
          <w:p w14:paraId="1FBE3646" w14:textId="77777777" w:rsidR="00D62E61" w:rsidRDefault="00D62E61" w:rsidP="00D62E61">
            <w:pPr>
              <w:pStyle w:val="BodySansBullet1"/>
              <w:numPr>
                <w:ilvl w:val="1"/>
                <w:numId w:val="3"/>
              </w:numPr>
            </w:pPr>
            <w:r w:rsidRPr="00605796">
              <w:t xml:space="preserve">217,181 mothers </w:t>
            </w:r>
          </w:p>
          <w:p w14:paraId="5F34E4C8" w14:textId="77777777" w:rsidR="00D62E61" w:rsidRDefault="00D62E61" w:rsidP="00D62E61">
            <w:pPr>
              <w:pStyle w:val="BodySansBullet1"/>
              <w:numPr>
                <w:ilvl w:val="1"/>
                <w:numId w:val="3"/>
              </w:numPr>
            </w:pPr>
            <w:r w:rsidRPr="00605796">
              <w:t>234,331 "other" parents</w:t>
            </w:r>
          </w:p>
          <w:p w14:paraId="0C9F5087" w14:textId="5CCCFE70" w:rsidR="00D62E61" w:rsidRDefault="00D62E61" w:rsidP="00D62E61">
            <w:pPr>
              <w:pStyle w:val="BodySansBullet1"/>
            </w:pPr>
            <w:r w:rsidRPr="00605796">
              <w:t>257,842 children with available geographic location information after matching with parents.</w:t>
            </w:r>
          </w:p>
        </w:tc>
      </w:tr>
    </w:tbl>
    <w:p w14:paraId="52AB7C96" w14:textId="5A79B507" w:rsidR="004020C5" w:rsidRPr="004020C5" w:rsidRDefault="004020C5" w:rsidP="00D62E61">
      <w:pPr>
        <w:pStyle w:val="BodySerif"/>
        <w:spacing w:before="840"/>
      </w:pPr>
      <w:r w:rsidRPr="004020C5">
        <w:lastRenderedPageBreak/>
        <w:t>For the analysis, dummy variables (which take the values of 0 and 1) were created to indicate the presence or absence of</w:t>
      </w:r>
      <w:r w:rsidR="001A2029">
        <w:t> </w:t>
      </w:r>
      <w:r w:rsidRPr="004020C5">
        <w:t>parental DFV, AOD use and MH issues based on issues reported at Helpline contact. It is important to note here that these issues are the focus of this study, but they were not necessarily the “only</w:t>
      </w:r>
      <w:r w:rsidRPr="004020C5">
        <w:rPr>
          <w:i/>
          <w:iCs/>
        </w:rPr>
        <w:t>”</w:t>
      </w:r>
      <w:r w:rsidRPr="004020C5">
        <w:t> issues identified in child concern reports. Other forms of maltreatment may have been present such as neglect, or physical, sexual or emotional abuse, but</w:t>
      </w:r>
      <w:r w:rsidR="001A2029">
        <w:t> </w:t>
      </w:r>
      <w:r w:rsidRPr="004020C5">
        <w:t>these were not used for analysis. Additional dummy variables were created to flag where there was co-occurrence between the risk factors; that is, whether reports were for DFV only, DFV alongside AOD use or MH issues, or there was co-occurrence of DFV, AOD use and MH issues. The total number of reports involving each risk factor (or their co</w:t>
      </w:r>
      <w:r w:rsidR="001A2029">
        <w:noBreakHyphen/>
      </w:r>
      <w:r w:rsidRPr="004020C5">
        <w:t>occurrence) were also calculated based on: 1) the period 12 months after children’s first ever child concern report; as</w:t>
      </w:r>
      <w:r w:rsidR="001A2029">
        <w:t> </w:t>
      </w:r>
      <w:r w:rsidRPr="004020C5">
        <w:t>well as 2) the period before entry into OOHC for children who did enter care within 12 months of their first child concern report. Variables were also created to reflect the number of risk factors (1, 2 or 3) children were exposed to</w:t>
      </w:r>
      <w:r w:rsidR="001A2029">
        <w:t> </w:t>
      </w:r>
      <w:r w:rsidRPr="004020C5">
        <w:t>in</w:t>
      </w:r>
      <w:r w:rsidR="001A2029">
        <w:t> </w:t>
      </w:r>
      <w:r w:rsidRPr="004020C5">
        <w:t>the first 12 months after their first child concern report as well as before entry into OOHC.</w:t>
      </w:r>
    </w:p>
    <w:p w14:paraId="17D76880" w14:textId="30AF93E8" w:rsidR="004020C5" w:rsidRPr="004020C5" w:rsidRDefault="004020C5" w:rsidP="004020C5">
      <w:pPr>
        <w:pStyle w:val="H3"/>
      </w:pPr>
      <w:bookmarkStart w:id="24" w:name="_Toc191286650"/>
      <w:r w:rsidRPr="004020C5">
        <w:t>Data analysis</w:t>
      </w:r>
      <w:bookmarkEnd w:id="24"/>
    </w:p>
    <w:p w14:paraId="3DD0C074" w14:textId="1BDD5E74" w:rsidR="004020C5" w:rsidRPr="004020C5" w:rsidRDefault="004020C5" w:rsidP="004020C5">
      <w:pPr>
        <w:pStyle w:val="BodySerif"/>
      </w:pPr>
      <w:r w:rsidRPr="004020C5">
        <w:t>Descriptive statistics for continuous variables and frequency distributions for categorical variables were calculated to</w:t>
      </w:r>
      <w:r w:rsidR="001A2029">
        <w:t> </w:t>
      </w:r>
      <w:r w:rsidRPr="004020C5">
        <w:t>outline the pattern of issues related to DFV, AOD use, MH issues and their co-occurrences, as reported in child protection Helpline reports. The prevalence and co-occurrence of parental AOD use, DFV and MH issues were first established based on reports made to the child protection Helpline between 2004 and 2018. This was followed by further descriptive statistical analysis to show how issues reported to child protection were associated with parents’ interactions with “external” services as recorded in police, court and health databases before the first Helpline report. The uptake of</w:t>
      </w:r>
      <w:r w:rsidR="001A2029">
        <w:t> </w:t>
      </w:r>
      <w:r w:rsidRPr="004020C5">
        <w:t>child and family services (i.e. the Brighter Futures program) by parents with multiple risk factors was also examined. Descriptive statistics of the co-occurrence of risk factors based on geographic location were carried out to determine differences between metropolitan, regional and remote areas of NSW.</w:t>
      </w:r>
    </w:p>
    <w:p w14:paraId="0C7406B3" w14:textId="13F6BF24" w:rsidR="004020C5" w:rsidRPr="004020C5" w:rsidRDefault="004020C5" w:rsidP="004020C5">
      <w:pPr>
        <w:pStyle w:val="BodySerif"/>
      </w:pPr>
      <w:r w:rsidRPr="004020C5">
        <w:t>Finally, descriptive statistics of numbers of children who entered OOHC and had a history of child concern reports involving DFV, AOD use and MH issues were explored. Unadjusted and adjusted binomial logistic regression models were used to estimate the odds ratios and effect sizes for the impact of multiple risk factors on the probability of children entering OOHC within 12 months of the first child concern report. Data analysis was conducted using the statistical program Statistical Analysis Software (SAS) Studio for Windows, release 5.2. The procedure PROC GENMOD was used to run the binomial logistic regressions with entry into OOHC as the dependent variable. Generalised estimating equations (GEE) were used for the regression models to allow for dependence within clusters (i.e. sibling groups).</w:t>
      </w:r>
    </w:p>
    <w:p w14:paraId="5A31AB5C" w14:textId="7C0F95C7" w:rsidR="004020C5" w:rsidRPr="004020C5" w:rsidRDefault="004020C5" w:rsidP="004020C5">
      <w:pPr>
        <w:pStyle w:val="H2SectionTitle"/>
      </w:pPr>
      <w:bookmarkStart w:id="25" w:name="_Toc191286651"/>
      <w:r w:rsidRPr="004020C5">
        <w:lastRenderedPageBreak/>
        <w:t>Results</w:t>
      </w:r>
      <w:bookmarkEnd w:id="25"/>
    </w:p>
    <w:p w14:paraId="3E87DA50" w14:textId="7CF1DAFE" w:rsidR="004020C5" w:rsidRPr="004020C5" w:rsidRDefault="004020C5" w:rsidP="004020C5">
      <w:pPr>
        <w:pStyle w:val="H3"/>
      </w:pPr>
      <w:bookmarkStart w:id="26" w:name="_Toc191286652"/>
      <w:r w:rsidRPr="004020C5">
        <w:t>What is the prevalence and co-occurrence of DFV, AOD use and MH issues in the sample?</w:t>
      </w:r>
      <w:bookmarkEnd w:id="26"/>
    </w:p>
    <w:p w14:paraId="7CCF0C7F" w14:textId="656B2B19" w:rsidR="004020C5" w:rsidRPr="004020C5" w:rsidRDefault="004020C5" w:rsidP="004020C5">
      <w:pPr>
        <w:pStyle w:val="BodySerif"/>
      </w:pPr>
      <w:r w:rsidRPr="004020C5">
        <w:t>Of the 584,365 children who had their first child concern reports from January 2004 to June 2018, 193,705 children had reports with concerns about parental DFV or concerns about parental DFV alongside AOD use and/or MH issues (33%) within the 12 months after their first report. As indicated in Figure 3, of these 193,705 children, 157,356 children had reports related to DFV only (81%); 18,492 had reports for co-occurring DFV and parental AOD use (10%); 13,225 had reports for co-occurring DFV and parental MH issues (7%); and 4,632 had reports for co-occurring DFV, parental AOD use and parental MH issues (2%).</w:t>
      </w:r>
    </w:p>
    <w:p w14:paraId="2E1F5162" w14:textId="4582D601" w:rsidR="004020C5" w:rsidRPr="004020C5" w:rsidRDefault="004020C5" w:rsidP="004020C5">
      <w:pPr>
        <w:pStyle w:val="BodySerif"/>
      </w:pPr>
      <w:r w:rsidRPr="004020C5">
        <w:t>The focus of the analysis will be on the 193,705 children who had child concern reports related to parental DFV</w:t>
      </w:r>
      <w:r w:rsidR="006329A5">
        <w:t> </w:t>
      </w:r>
      <w:r w:rsidRPr="004020C5">
        <w:t>and</w:t>
      </w:r>
      <w:r w:rsidR="006329A5">
        <w:t> </w:t>
      </w:r>
      <w:r w:rsidRPr="004020C5">
        <w:t>its</w:t>
      </w:r>
      <w:r w:rsidR="006329A5">
        <w:t> </w:t>
      </w:r>
      <w:r w:rsidRPr="004020C5">
        <w:t>co-occurrence with parental AOD use and/or MH issues. The categorisation of these children is based on</w:t>
      </w:r>
      <w:r w:rsidR="006329A5">
        <w:t> </w:t>
      </w:r>
      <w:r w:rsidRPr="004020C5">
        <w:t>the </w:t>
      </w:r>
      <w:r w:rsidRPr="004020C5">
        <w:rPr>
          <w:i/>
          <w:iCs/>
        </w:rPr>
        <w:t>number</w:t>
      </w:r>
      <w:r w:rsidRPr="004020C5">
        <w:t> of</w:t>
      </w:r>
      <w:r w:rsidR="001A2029">
        <w:t> </w:t>
      </w:r>
      <w:r w:rsidRPr="004020C5">
        <w:t>reported risk factors within the first 12 months after first child concern report and is as follows: 1) DFV</w:t>
      </w:r>
      <w:r w:rsidR="006329A5">
        <w:t> </w:t>
      </w:r>
      <w:r w:rsidRPr="004020C5">
        <w:t>only reports, referred to as “DFV-only”; 2) DFV alongside either AOD or MH reports, referred to as “DFV</w:t>
      </w:r>
      <w:r w:rsidR="006329A5">
        <w:noBreakHyphen/>
      </w:r>
      <w:r w:rsidRPr="004020C5">
        <w:t>AOD/MH”; and 3) DFV alongside both AOD and MH reports, referred to as “DFV-AOD-MH”.</w:t>
      </w:r>
    </w:p>
    <w:p w14:paraId="0281F027" w14:textId="4F9C3772" w:rsidR="004020C5" w:rsidRPr="006329A5" w:rsidRDefault="004020C5" w:rsidP="004020C5">
      <w:pPr>
        <w:pStyle w:val="BodySerif"/>
        <w:rPr>
          <w:spacing w:val="-2"/>
        </w:rPr>
      </w:pPr>
      <w:r w:rsidRPr="006329A5">
        <w:rPr>
          <w:spacing w:val="-2"/>
        </w:rPr>
        <w:t>As depicted in Figure 4, for children who did not have reported issues related to DFV throughout their interactions with the</w:t>
      </w:r>
      <w:r w:rsidR="006329A5">
        <w:rPr>
          <w:spacing w:val="-2"/>
        </w:rPr>
        <w:t> </w:t>
      </w:r>
      <w:r w:rsidRPr="006329A5">
        <w:rPr>
          <w:spacing w:val="-2"/>
        </w:rPr>
        <w:t>child protection system, their average age at first Helpline report was 89.2 months (</w:t>
      </w:r>
      <w:r w:rsidRPr="006329A5">
        <w:rPr>
          <w:i/>
          <w:iCs/>
          <w:spacing w:val="-2"/>
        </w:rPr>
        <w:t>SD</w:t>
      </w:r>
      <w:r w:rsidRPr="006329A5">
        <w:rPr>
          <w:spacing w:val="-2"/>
        </w:rPr>
        <w:t> = 64.8) or about 7.4 years, total</w:t>
      </w:r>
      <w:r w:rsidR="006329A5">
        <w:rPr>
          <w:spacing w:val="-2"/>
        </w:rPr>
        <w:t> </w:t>
      </w:r>
      <w:r w:rsidRPr="006329A5">
        <w:rPr>
          <w:spacing w:val="-2"/>
        </w:rPr>
        <w:t>number of reports received was 1.8 (</w:t>
      </w:r>
      <w:r w:rsidRPr="006329A5">
        <w:rPr>
          <w:i/>
          <w:iCs/>
          <w:spacing w:val="-2"/>
        </w:rPr>
        <w:t>SD</w:t>
      </w:r>
      <w:r w:rsidRPr="006329A5">
        <w:rPr>
          <w:spacing w:val="-2"/>
        </w:rPr>
        <w:t> = 1.8) and total RoSH reports received was 1.1 (</w:t>
      </w:r>
      <w:r w:rsidRPr="006329A5">
        <w:rPr>
          <w:i/>
          <w:iCs/>
          <w:spacing w:val="-2"/>
        </w:rPr>
        <w:t>SD</w:t>
      </w:r>
      <w:r w:rsidRPr="006329A5">
        <w:rPr>
          <w:spacing w:val="-2"/>
        </w:rPr>
        <w:t> = 1.2). For children who had child concern reports related to DFV alone, the average age at first Helpline report was 66.7 months (</w:t>
      </w:r>
      <w:r w:rsidRPr="006329A5">
        <w:rPr>
          <w:i/>
          <w:iCs/>
          <w:spacing w:val="-2"/>
        </w:rPr>
        <w:t>SD</w:t>
      </w:r>
      <w:r w:rsidRPr="006329A5">
        <w:rPr>
          <w:spacing w:val="-2"/>
        </w:rPr>
        <w:t> =</w:t>
      </w:r>
      <w:r w:rsidR="006329A5" w:rsidRPr="006329A5">
        <w:rPr>
          <w:spacing w:val="-2"/>
        </w:rPr>
        <w:t> </w:t>
      </w:r>
      <w:r w:rsidRPr="006329A5">
        <w:rPr>
          <w:spacing w:val="-2"/>
        </w:rPr>
        <w:t>58.8) or</w:t>
      </w:r>
      <w:r w:rsidR="006329A5">
        <w:rPr>
          <w:spacing w:val="-2"/>
        </w:rPr>
        <w:t> </w:t>
      </w:r>
      <w:r w:rsidRPr="006329A5">
        <w:rPr>
          <w:spacing w:val="-2"/>
        </w:rPr>
        <w:t>about 5.6 years. Children’s average age at first Helpline report decreased with more co-occurring risk factors related to</w:t>
      </w:r>
      <w:r w:rsidR="006329A5">
        <w:rPr>
          <w:spacing w:val="-2"/>
        </w:rPr>
        <w:t> </w:t>
      </w:r>
      <w:r w:rsidRPr="006329A5">
        <w:rPr>
          <w:spacing w:val="-2"/>
        </w:rPr>
        <w:t>parental AOD use and/or MH issues: 40.6 months (</w:t>
      </w:r>
      <w:r w:rsidRPr="006329A5">
        <w:rPr>
          <w:i/>
          <w:iCs/>
          <w:spacing w:val="-2"/>
        </w:rPr>
        <w:t>SD</w:t>
      </w:r>
      <w:r w:rsidRPr="006329A5">
        <w:rPr>
          <w:spacing w:val="-2"/>
        </w:rPr>
        <w:t> = 50.5) or 3.4 years for children with DFV</w:t>
      </w:r>
      <w:r w:rsidR="006329A5" w:rsidRPr="006329A5">
        <w:rPr>
          <w:spacing w:val="-2"/>
        </w:rPr>
        <w:noBreakHyphen/>
      </w:r>
      <w:r w:rsidRPr="006329A5">
        <w:rPr>
          <w:spacing w:val="-2"/>
        </w:rPr>
        <w:t>AOD/MH reports, and</w:t>
      </w:r>
      <w:r w:rsidR="006329A5">
        <w:rPr>
          <w:spacing w:val="-2"/>
        </w:rPr>
        <w:t> </w:t>
      </w:r>
      <w:r w:rsidRPr="006329A5">
        <w:rPr>
          <w:spacing w:val="-2"/>
        </w:rPr>
        <w:t>26.9 months (</w:t>
      </w:r>
      <w:r w:rsidRPr="006329A5">
        <w:rPr>
          <w:i/>
          <w:iCs/>
          <w:spacing w:val="-2"/>
        </w:rPr>
        <w:t>SD</w:t>
      </w:r>
      <w:r w:rsidRPr="006329A5">
        <w:rPr>
          <w:spacing w:val="-2"/>
        </w:rPr>
        <w:t> = 42.5) or 2.2 years for children with DFV-AOD-MH reports. A total of</w:t>
      </w:r>
      <w:r w:rsidR="006329A5" w:rsidRPr="006329A5">
        <w:rPr>
          <w:spacing w:val="-2"/>
        </w:rPr>
        <w:t> </w:t>
      </w:r>
      <w:r w:rsidRPr="006329A5">
        <w:rPr>
          <w:spacing w:val="-2"/>
        </w:rPr>
        <w:t>217,181 sibling groups were identified based on children with the same mother and it was found that the size of</w:t>
      </w:r>
      <w:r w:rsidR="006329A5" w:rsidRPr="006329A5">
        <w:rPr>
          <w:spacing w:val="-2"/>
        </w:rPr>
        <w:t> </w:t>
      </w:r>
      <w:r w:rsidRPr="006329A5">
        <w:rPr>
          <w:spacing w:val="-2"/>
        </w:rPr>
        <w:t>sibling groups differed based on whether children in that sibling group experienced any DFV. The average size was 1.38 (</w:t>
      </w:r>
      <w:r w:rsidRPr="006329A5">
        <w:rPr>
          <w:i/>
          <w:iCs/>
          <w:spacing w:val="-2"/>
        </w:rPr>
        <w:t>SD</w:t>
      </w:r>
      <w:r w:rsidRPr="006329A5">
        <w:rPr>
          <w:spacing w:val="-2"/>
        </w:rPr>
        <w:t> = 0.7) for a sibling group that had not experienced DFV, whereas it was 1.74 (</w:t>
      </w:r>
      <w:r w:rsidRPr="006329A5">
        <w:rPr>
          <w:i/>
          <w:iCs/>
          <w:spacing w:val="-2"/>
        </w:rPr>
        <w:t>SD</w:t>
      </w:r>
      <w:r w:rsidRPr="006329A5">
        <w:rPr>
          <w:spacing w:val="-2"/>
        </w:rPr>
        <w:t> = 1.0) for a sibling group that had experienced DFV. It</w:t>
      </w:r>
      <w:r w:rsidR="00F41E6C" w:rsidRPr="006329A5">
        <w:rPr>
          <w:spacing w:val="-2"/>
        </w:rPr>
        <w:t> </w:t>
      </w:r>
      <w:r w:rsidRPr="006329A5">
        <w:rPr>
          <w:spacing w:val="-2"/>
        </w:rPr>
        <w:t>is</w:t>
      </w:r>
      <w:r w:rsidR="00F41E6C" w:rsidRPr="006329A5">
        <w:rPr>
          <w:spacing w:val="-2"/>
        </w:rPr>
        <w:t> </w:t>
      </w:r>
      <w:r w:rsidRPr="006329A5">
        <w:rPr>
          <w:spacing w:val="-2"/>
        </w:rPr>
        <w:t>noted, however, that there are limitations around calculating the sibling group size due to limited data quality and availability when relying on</w:t>
      </w:r>
      <w:r w:rsidR="006329A5">
        <w:rPr>
          <w:spacing w:val="-2"/>
        </w:rPr>
        <w:t> </w:t>
      </w:r>
      <w:r w:rsidRPr="006329A5">
        <w:rPr>
          <w:spacing w:val="-2"/>
        </w:rPr>
        <w:t>children being recorded as having the same mother in the RBDM dataset.</w:t>
      </w:r>
    </w:p>
    <w:p w14:paraId="4DE6A996" w14:textId="486FF1BB" w:rsidR="004020C5" w:rsidRPr="004020C5" w:rsidRDefault="004020C5" w:rsidP="004020C5">
      <w:pPr>
        <w:pStyle w:val="BodySerif"/>
      </w:pPr>
      <w:r w:rsidRPr="004020C5">
        <w:t>The total number of reports children received in the 12 months after their first child concern report from 2004 to 2018 displayed a similar pattern: children with DFV-only reports had an average total of 2.0 reports (</w:t>
      </w:r>
      <w:r w:rsidRPr="004020C5">
        <w:rPr>
          <w:i/>
          <w:iCs/>
        </w:rPr>
        <w:t>SD</w:t>
      </w:r>
      <w:r w:rsidRPr="004020C5">
        <w:t> = 1.8), 5.2 reports (</w:t>
      </w:r>
      <w:r w:rsidRPr="004020C5">
        <w:rPr>
          <w:i/>
          <w:iCs/>
        </w:rPr>
        <w:t>SD</w:t>
      </w:r>
      <w:r w:rsidRPr="004020C5">
        <w:t> = 3.7) for children with DFV-AOD/MH reports, and 9.0 reports (</w:t>
      </w:r>
      <w:r w:rsidRPr="004020C5">
        <w:rPr>
          <w:i/>
          <w:iCs/>
        </w:rPr>
        <w:t>SD</w:t>
      </w:r>
      <w:r w:rsidRPr="004020C5">
        <w:t> = 5.3) for children with DFV-AOD-MH reports. This pattern was the same for total number of reports that were considered RoSH: children with DFV-only reports had an average total of 1.1 RoSH reports (</w:t>
      </w:r>
      <w:r w:rsidRPr="004020C5">
        <w:rPr>
          <w:i/>
          <w:iCs/>
        </w:rPr>
        <w:t>SD</w:t>
      </w:r>
      <w:r w:rsidRPr="004020C5">
        <w:t> = 1.2), 3.2 RoSH reports (</w:t>
      </w:r>
      <w:r w:rsidRPr="004020C5">
        <w:rPr>
          <w:i/>
          <w:iCs/>
        </w:rPr>
        <w:t>SD</w:t>
      </w:r>
      <w:r w:rsidRPr="004020C5">
        <w:t> = 2.5) for children with DFV-AOD/MH reports, and 5.5 RoSH reports (</w:t>
      </w:r>
      <w:r w:rsidRPr="004020C5">
        <w:rPr>
          <w:i/>
          <w:iCs/>
        </w:rPr>
        <w:t>SD</w:t>
      </w:r>
      <w:r w:rsidRPr="004020C5">
        <w:t> = 3.6) for children with DFV-AOD-MH reports. Hence, children with more</w:t>
      </w:r>
      <w:r w:rsidR="006329A5">
        <w:t> </w:t>
      </w:r>
      <w:r w:rsidRPr="004020C5">
        <w:t>co-occurring risk factors relating to parental DFV, AOD use and MH issues tended to be younger at first report, had</w:t>
      </w:r>
      <w:r w:rsidR="00F41E6C">
        <w:t> </w:t>
      </w:r>
      <w:r w:rsidRPr="004020C5">
        <w:t>more Helpline reports and more Helpline reports considered to meet the RoSH threshold.</w:t>
      </w:r>
    </w:p>
    <w:p w14:paraId="2504B9C9" w14:textId="291BE65D" w:rsidR="004020C5" w:rsidRPr="004020C5" w:rsidRDefault="004020C5" w:rsidP="004020C5">
      <w:pPr>
        <w:pStyle w:val="BodySerif"/>
      </w:pPr>
      <w:r w:rsidRPr="004020C5">
        <w:t>A comparison of characteristics for the 330,168 children who could be linked with their parents with the 254,197 children who could not be so linked revealed that these two groups were similar in the distribution of gender and age at</w:t>
      </w:r>
      <w:r w:rsidR="00F41E6C">
        <w:t> </w:t>
      </w:r>
      <w:r w:rsidRPr="004020C5">
        <w:t>first Helpline report. However, there were differences in the number of reported risk factors in the 12 months following first child concern report. For instance, linked children generally had more co-occurring risk factors than non</w:t>
      </w:r>
      <w:r w:rsidR="00F41E6C">
        <w:noBreakHyphen/>
      </w:r>
      <w:r w:rsidRPr="004020C5">
        <w:t>linked children, respectively: 31 per cent versus 22 per cent for DFV-only, 7 per cent versus 4 per cent for DFV</w:t>
      </w:r>
      <w:r w:rsidR="00F41E6C">
        <w:noBreakHyphen/>
      </w:r>
      <w:r w:rsidRPr="004020C5">
        <w:t>AOD/MH, and 1 per cent versus 0.5 per cent for DFV-AOD-MH. Further, the total number of child concern reports was higher for linked children (</w:t>
      </w:r>
      <w:r w:rsidRPr="004020C5">
        <w:rPr>
          <w:i/>
          <w:iCs/>
        </w:rPr>
        <w:t>M</w:t>
      </w:r>
      <w:r w:rsidRPr="004020C5">
        <w:t> = 2.29, </w:t>
      </w:r>
      <w:r w:rsidRPr="004020C5">
        <w:rPr>
          <w:i/>
          <w:iCs/>
        </w:rPr>
        <w:t>SD</w:t>
      </w:r>
      <w:r w:rsidRPr="004020C5">
        <w:t> = 2.4) than for unlinked children (</w:t>
      </w:r>
      <w:r w:rsidRPr="004020C5">
        <w:rPr>
          <w:i/>
          <w:iCs/>
        </w:rPr>
        <w:t>M</w:t>
      </w:r>
      <w:r w:rsidRPr="004020C5">
        <w:t> = 1.78, </w:t>
      </w:r>
      <w:r w:rsidRPr="004020C5">
        <w:rPr>
          <w:i/>
          <w:iCs/>
        </w:rPr>
        <w:t>SD</w:t>
      </w:r>
      <w:r w:rsidRPr="004020C5">
        <w:t> = 1.9), as was the total number of RoSH reports. Such results suggest the sample of children linked with their parents may be a biased sample in which these families are likely to be having more interactions with the child protection and OOHC systems overall, as well as other NSW services.</w:t>
      </w:r>
    </w:p>
    <w:p w14:paraId="415819C7" w14:textId="79656482" w:rsidR="004020C5" w:rsidRPr="004020C5" w:rsidRDefault="004020C5" w:rsidP="00F52B2A">
      <w:pPr>
        <w:pStyle w:val="FigureTableHeading"/>
      </w:pPr>
      <w:r w:rsidRPr="00F41E6C">
        <w:rPr>
          <w:rStyle w:val="Strong"/>
        </w:rPr>
        <w:lastRenderedPageBreak/>
        <w:t>Figure 3</w:t>
      </w:r>
      <w:r w:rsidRPr="00B03923">
        <w:t xml:space="preserve">: </w:t>
      </w:r>
      <w:r w:rsidRPr="004020C5">
        <w:t>Breakdown of the nature of concerns across Helpline reports in the first 12 months after the first child concern report related to parental DFV and co-occurrence with parental AOD use and/or MH issues (</w:t>
      </w:r>
      <w:r w:rsidRPr="004020C5">
        <w:rPr>
          <w:i/>
          <w:iCs/>
        </w:rPr>
        <w:t>n</w:t>
      </w:r>
      <w:r w:rsidRPr="004020C5">
        <w:t> = 193,705 children) 2.4</w:t>
      </w:r>
    </w:p>
    <w:p w14:paraId="6BE1C540" w14:textId="1924BE4E" w:rsidR="004020C5" w:rsidRDefault="004020C5" w:rsidP="004020C5">
      <w:r w:rsidRPr="004020C5">
        <w:rPr>
          <w:noProof/>
        </w:rPr>
        <w:drawing>
          <wp:inline distT="0" distB="0" distL="0" distR="0" wp14:anchorId="29F8A79F" wp14:editId="1489C303">
            <wp:extent cx="6479540" cy="2762250"/>
            <wp:effectExtent l="0" t="0" r="0" b="0"/>
            <wp:docPr id="2062641587" name="Picture 212" descr="This is a bar graph that shows the percentage of DFV-related case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41587" name="Picture 212" descr="This is a bar graph that shows the percentage of DFV-related cases. The data in this graph is in the table below."/>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427"/>
                    <a:stretch/>
                  </pic:blipFill>
                  <pic:spPr bwMode="auto">
                    <a:xfrm>
                      <a:off x="0" y="0"/>
                      <a:ext cx="6479540"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7CDCB985" w14:textId="37D2B988" w:rsidR="00F52B2A" w:rsidRPr="00D62E61" w:rsidRDefault="00F52B2A" w:rsidP="00D62E61">
      <w:pPr>
        <w:pStyle w:val="TableSubheading"/>
      </w:pPr>
      <w:r w:rsidRPr="00D62E61">
        <w:t>Data table for Figure 3:</w:t>
      </w:r>
    </w:p>
    <w:tbl>
      <w:tblPr>
        <w:tblStyle w:val="ANROWSTable"/>
        <w:tblW w:w="0" w:type="auto"/>
        <w:tblLook w:val="04A0" w:firstRow="1" w:lastRow="0" w:firstColumn="1" w:lastColumn="0" w:noHBand="0" w:noVBand="1"/>
      </w:tblPr>
      <w:tblGrid>
        <w:gridCol w:w="5102"/>
        <w:gridCol w:w="5102"/>
      </w:tblGrid>
      <w:tr w:rsidR="00B86822" w14:paraId="6CCEF823" w14:textId="77777777" w:rsidTr="00D62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Pr>
          <w:p w14:paraId="109ACEDB" w14:textId="04D9E08B" w:rsidR="00B86822" w:rsidRPr="00D62E61" w:rsidRDefault="00B86822" w:rsidP="00D62E61">
            <w:pPr>
              <w:pStyle w:val="BodySans"/>
            </w:pPr>
            <w:r w:rsidRPr="00D62E61">
              <w:t>Number of risk factors</w:t>
            </w:r>
          </w:p>
        </w:tc>
        <w:tc>
          <w:tcPr>
            <w:tcW w:w="5102" w:type="dxa"/>
          </w:tcPr>
          <w:p w14:paraId="1DFE5A10" w14:textId="537C4AD0" w:rsidR="00B86822" w:rsidRPr="00D62E61" w:rsidRDefault="00B86822" w:rsidP="00D62E61">
            <w:pPr>
              <w:pStyle w:val="BodySans"/>
              <w:cnfStyle w:val="100000000000" w:firstRow="1" w:lastRow="0" w:firstColumn="0" w:lastColumn="0" w:oddVBand="0" w:evenVBand="0" w:oddHBand="0" w:evenHBand="0" w:firstRowFirstColumn="0" w:firstRowLastColumn="0" w:lastRowFirstColumn="0" w:lastRowLastColumn="0"/>
            </w:pPr>
            <w:r w:rsidRPr="00D62E61">
              <w:t>Percentage of DFV-related cases</w:t>
            </w:r>
            <w:r w:rsidR="006E25B7" w:rsidRPr="00D62E61">
              <w:t xml:space="preserve"> (%)</w:t>
            </w:r>
          </w:p>
        </w:tc>
      </w:tr>
      <w:tr w:rsidR="00B86822" w14:paraId="6ED39231" w14:textId="77777777" w:rsidTr="00B86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5B12503F" w14:textId="0C8496BC" w:rsidR="00B86822" w:rsidRPr="00D62E61" w:rsidRDefault="00B86822" w:rsidP="00D62E61">
            <w:pPr>
              <w:pStyle w:val="BodySans"/>
            </w:pPr>
            <w:r w:rsidRPr="00D62E61">
              <w:t>1 risk factor (DFV only)</w:t>
            </w:r>
          </w:p>
        </w:tc>
        <w:tc>
          <w:tcPr>
            <w:tcW w:w="5102" w:type="dxa"/>
          </w:tcPr>
          <w:p w14:paraId="689D72B3" w14:textId="77DD87DC" w:rsidR="00B86822" w:rsidRPr="00D62E61" w:rsidRDefault="00B86822" w:rsidP="00D62E61">
            <w:pPr>
              <w:pStyle w:val="BodySans"/>
              <w:cnfStyle w:val="000000100000" w:firstRow="0" w:lastRow="0" w:firstColumn="0" w:lastColumn="0" w:oddVBand="0" w:evenVBand="0" w:oddHBand="1" w:evenHBand="0" w:firstRowFirstColumn="0" w:firstRowLastColumn="0" w:lastRowFirstColumn="0" w:lastRowLastColumn="0"/>
            </w:pPr>
            <w:r w:rsidRPr="00D62E61">
              <w:t>81.2</w:t>
            </w:r>
          </w:p>
        </w:tc>
      </w:tr>
      <w:tr w:rsidR="00B86822" w14:paraId="4ABD45B0" w14:textId="77777777" w:rsidTr="00B86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459C4C80" w14:textId="3D013A2E" w:rsidR="00B86822" w:rsidRPr="00D62E61" w:rsidRDefault="00B86822" w:rsidP="00D62E61">
            <w:pPr>
              <w:pStyle w:val="BodySans"/>
            </w:pPr>
            <w:r w:rsidRPr="00D62E61">
              <w:t>2 risk facto</w:t>
            </w:r>
            <w:r w:rsidR="00CC7EEA">
              <w:t>r</w:t>
            </w:r>
            <w:r w:rsidRPr="00D62E61">
              <w:t>s (DFV-AOD/MH)</w:t>
            </w:r>
          </w:p>
        </w:tc>
        <w:tc>
          <w:tcPr>
            <w:tcW w:w="5102" w:type="dxa"/>
          </w:tcPr>
          <w:p w14:paraId="182F9728" w14:textId="6FBED253" w:rsidR="00B86822" w:rsidRPr="00D62E61" w:rsidRDefault="00B86822" w:rsidP="00D62E61">
            <w:pPr>
              <w:pStyle w:val="BodySans"/>
              <w:cnfStyle w:val="000000010000" w:firstRow="0" w:lastRow="0" w:firstColumn="0" w:lastColumn="0" w:oddVBand="0" w:evenVBand="0" w:oddHBand="0" w:evenHBand="1" w:firstRowFirstColumn="0" w:firstRowLastColumn="0" w:lastRowFirstColumn="0" w:lastRowLastColumn="0"/>
            </w:pPr>
            <w:r w:rsidRPr="00D62E61">
              <w:t>16.4</w:t>
            </w:r>
          </w:p>
        </w:tc>
      </w:tr>
      <w:tr w:rsidR="00B86822" w14:paraId="1112A500" w14:textId="77777777" w:rsidTr="00B86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5A2749BA" w14:textId="035E02A1" w:rsidR="00B86822" w:rsidRPr="00D62E61" w:rsidRDefault="00B86822" w:rsidP="00D62E61">
            <w:pPr>
              <w:pStyle w:val="BodySans"/>
            </w:pPr>
            <w:r w:rsidRPr="00D62E61">
              <w:t>3 risk factors (DFV-AOD-MH)</w:t>
            </w:r>
          </w:p>
        </w:tc>
        <w:tc>
          <w:tcPr>
            <w:tcW w:w="5102" w:type="dxa"/>
          </w:tcPr>
          <w:p w14:paraId="304447C7" w14:textId="42DB9126" w:rsidR="00B86822" w:rsidRPr="00D62E61" w:rsidRDefault="00B86822" w:rsidP="00D62E61">
            <w:pPr>
              <w:pStyle w:val="BodySans"/>
              <w:cnfStyle w:val="000000100000" w:firstRow="0" w:lastRow="0" w:firstColumn="0" w:lastColumn="0" w:oddVBand="0" w:evenVBand="0" w:oddHBand="1" w:evenHBand="0" w:firstRowFirstColumn="0" w:firstRowLastColumn="0" w:lastRowFirstColumn="0" w:lastRowLastColumn="0"/>
            </w:pPr>
            <w:r w:rsidRPr="00D62E61">
              <w:t>2.4</w:t>
            </w:r>
          </w:p>
        </w:tc>
      </w:tr>
    </w:tbl>
    <w:p w14:paraId="4F591FE9" w14:textId="41CDB8E1" w:rsidR="004020C5" w:rsidRPr="004020C5" w:rsidRDefault="004020C5" w:rsidP="006329A5">
      <w:pPr>
        <w:pStyle w:val="H3"/>
        <w:spacing w:before="600"/>
      </w:pPr>
      <w:bookmarkStart w:id="27" w:name="_Toc191286653"/>
      <w:r w:rsidRPr="004020C5">
        <w:t>Are these risk factors associated with other markers of DFV, AOD use and MH issues outside of the NSW child protection system?</w:t>
      </w:r>
      <w:bookmarkEnd w:id="27"/>
    </w:p>
    <w:p w14:paraId="292A0AA2" w14:textId="382F6604" w:rsidR="004020C5" w:rsidRPr="004020C5" w:rsidRDefault="004020C5" w:rsidP="004020C5">
      <w:pPr>
        <w:pStyle w:val="BodySerif"/>
      </w:pPr>
      <w:r w:rsidRPr="004020C5">
        <w:t>This analysis examined the percentage of mothers and “other” parents who had a child concern report and engaged with</w:t>
      </w:r>
      <w:r w:rsidR="006329A5">
        <w:t> </w:t>
      </w:r>
      <w:r w:rsidRPr="004020C5">
        <w:t>other NSW services including police services as victims of DFV or perpetrators of DFV, mental health services, and</w:t>
      </w:r>
      <w:r w:rsidR="006329A5">
        <w:t> </w:t>
      </w:r>
      <w:r w:rsidRPr="004020C5">
        <w:t>admissions to hospital for AOD use. Table 1 shows the number and percentage of parents who had interactions with</w:t>
      </w:r>
      <w:r w:rsidR="006329A5">
        <w:t> </w:t>
      </w:r>
      <w:r w:rsidRPr="004020C5">
        <w:t>external systems related to DFV (i.e. police reports and finalised charges): 31 per cent of mothers and 9 per cent of</w:t>
      </w:r>
      <w:r w:rsidR="006329A5">
        <w:t> </w:t>
      </w:r>
      <w:r w:rsidRPr="004020C5">
        <w:t>“other” parents with children in the NSW child protection system were recorded in a police report as a victim of</w:t>
      </w:r>
      <w:r w:rsidR="006329A5">
        <w:t> </w:t>
      </w:r>
      <w:r w:rsidRPr="004020C5">
        <w:t>a</w:t>
      </w:r>
      <w:r w:rsidR="006329A5">
        <w:t> </w:t>
      </w:r>
      <w:r w:rsidRPr="004020C5">
        <w:t>DFV incident in which the perpetrator was a current or ex-partner at any point between 1997 and 2019. Of the “other” parents, 1 in 10 had a court appearance with a finalised charge for perpetrating DFV compared with less than 1</w:t>
      </w:r>
      <w:r w:rsidR="006329A5">
        <w:t> </w:t>
      </w:r>
      <w:r w:rsidRPr="004020C5">
        <w:t>in 20 mothers. In</w:t>
      </w:r>
      <w:r w:rsidR="00F41E6C">
        <w:t> </w:t>
      </w:r>
      <w:r w:rsidRPr="004020C5">
        <w:t>addition, about 1 in 10 mothers and “other” parents were recorded as having interactions with mental health services or were admitted to hospitals for MH issues or AOD use.</w:t>
      </w:r>
    </w:p>
    <w:p w14:paraId="486C58A4" w14:textId="164AA2A1" w:rsidR="004020C5" w:rsidRPr="004020C5" w:rsidRDefault="004020C5" w:rsidP="004020C5">
      <w:pPr>
        <w:pStyle w:val="BodySerif"/>
      </w:pPr>
      <w:r w:rsidRPr="004020C5">
        <w:t>Focusing on the parents whose children had a child concern report involving parental DFV with co-occurring parental AOD use and/or MH issues, a pattern is apparent in relation to their interactions with police, courts, mental health services and hospitals prior to first Helpline report (Figure 5). To illustrate the differences in interactions based on</w:t>
      </w:r>
      <w:r w:rsidR="00F41E6C">
        <w:t> </w:t>
      </w:r>
      <w:r w:rsidRPr="004020C5">
        <w:t>combinations of risk factors, children with risk factors related to DV-AOD or DV-MH are shown separately here. The</w:t>
      </w:r>
      <w:r w:rsidR="00F41E6C">
        <w:t> </w:t>
      </w:r>
      <w:r w:rsidRPr="004020C5">
        <w:t>figure shows the percentage of children who had at least</w:t>
      </w:r>
      <w:r w:rsidR="006329A5">
        <w:t xml:space="preserve"> </w:t>
      </w:r>
      <w:r w:rsidRPr="004020C5">
        <w:t>one parent</w:t>
      </w:r>
      <w:r w:rsidR="00A16F09">
        <w:rPr>
          <w:rStyle w:val="FootnoteReference"/>
        </w:rPr>
        <w:footnoteReference w:id="6"/>
      </w:r>
      <w:r w:rsidRPr="004020C5">
        <w:t> interact with an external service associated with DFV, AOD use and MH issues outside of child protection. It is evident that over two-fifths (40%) of children with child concern reports involving DFV issues, either alone or</w:t>
      </w:r>
      <w:r w:rsidR="00F41E6C">
        <w:t> </w:t>
      </w:r>
      <w:r w:rsidRPr="004020C5">
        <w:t>in</w:t>
      </w:r>
      <w:r w:rsidR="00F41E6C">
        <w:t> </w:t>
      </w:r>
      <w:r w:rsidRPr="004020C5">
        <w:t>conjunction with parental AOD use and/or MH issues, had</w:t>
      </w:r>
      <w:r w:rsidR="006329A5">
        <w:t> </w:t>
      </w:r>
      <w:r w:rsidRPr="004020C5">
        <w:t>at</w:t>
      </w:r>
      <w:r w:rsidR="006329A5">
        <w:t> </w:t>
      </w:r>
      <w:r w:rsidRPr="004020C5">
        <w:t>least one parent who was a victim of a DFV incident as</w:t>
      </w:r>
      <w:r w:rsidR="00F41E6C">
        <w:t> </w:t>
      </w:r>
      <w:r w:rsidRPr="004020C5">
        <w:t xml:space="preserve">recorded in police reports before the children’s first </w:t>
      </w:r>
      <w:r w:rsidRPr="004020C5">
        <w:lastRenderedPageBreak/>
        <w:t>Helpline report. Further, about 1 in 20 children in the sample have at</w:t>
      </w:r>
      <w:r w:rsidR="00F41E6C">
        <w:t> </w:t>
      </w:r>
      <w:r w:rsidRPr="004020C5">
        <w:t>least one parent who had a finalised charge for DFV before their first Helpline report.</w:t>
      </w:r>
    </w:p>
    <w:p w14:paraId="7F916989" w14:textId="5011D36A" w:rsidR="004020C5" w:rsidRPr="004020C5" w:rsidRDefault="004020C5" w:rsidP="004020C5">
      <w:pPr>
        <w:pStyle w:val="BodySerif"/>
      </w:pPr>
      <w:r w:rsidRPr="004020C5">
        <w:t>In addition, children with reports related to DFV-AOD-MH had parents with the highest level of interactions with mental health services and hospitals for MH issues or AOD use prior to their first Helpline report compared to children with reports involving only one or two of the risk factors of interest. Where children had risk factors related to MH issues in</w:t>
      </w:r>
      <w:r w:rsidR="00F41E6C">
        <w:t> </w:t>
      </w:r>
      <w:r w:rsidRPr="004020C5">
        <w:t>child concern reports, there were corresponding patterns of parents’ interactions with mental health services and hospitalisations for MH issues prior to first Helpline report. Similarly, where children had risk factors related to parental AOD use in child concern reports, there were corresponding patterns for parents admitted to hospitals for AOD use prior to first Helpline report in addition to admission for MH issues.</w:t>
      </w:r>
    </w:p>
    <w:p w14:paraId="0B8AD73E" w14:textId="76F850BE" w:rsidR="004020C5" w:rsidRPr="004020C5" w:rsidRDefault="004020C5" w:rsidP="00CA2BB5">
      <w:pPr>
        <w:pStyle w:val="FigureTableHeading"/>
        <w:spacing w:before="960"/>
      </w:pPr>
      <w:r w:rsidRPr="00F41E6C">
        <w:rPr>
          <w:rStyle w:val="Strong"/>
        </w:rPr>
        <w:t>Figure 4</w:t>
      </w:r>
      <w:r w:rsidRPr="00B03923">
        <w:t>:</w:t>
      </w:r>
      <w:r w:rsidRPr="004020C5">
        <w:t xml:space="preserve"> Comparisons between groups based on the nature of concerns across Helpline reports for a) mean age at first Helpline report; and b) total number of Helpline reports and total number of RoSH reports within 12</w:t>
      </w:r>
      <w:r w:rsidR="00F41E6C">
        <w:t> </w:t>
      </w:r>
      <w:r w:rsidRPr="004020C5">
        <w:t>months after the first Helpline report (</w:t>
      </w:r>
      <w:r w:rsidRPr="004020C5">
        <w:rPr>
          <w:i/>
          <w:iCs/>
        </w:rPr>
        <w:t>n</w:t>
      </w:r>
      <w:r w:rsidRPr="004020C5">
        <w:t> = 584,365 children)</w:t>
      </w:r>
    </w:p>
    <w:p w14:paraId="68701D1E" w14:textId="6289E22C" w:rsidR="004020C5" w:rsidRDefault="004020C5" w:rsidP="004020C5">
      <w:r w:rsidRPr="004020C5">
        <w:rPr>
          <w:noProof/>
        </w:rPr>
        <w:drawing>
          <wp:inline distT="0" distB="0" distL="0" distR="0" wp14:anchorId="08774B75" wp14:editId="292BE8AB">
            <wp:extent cx="6478786" cy="3175000"/>
            <wp:effectExtent l="0" t="0" r="0" b="0"/>
            <wp:docPr id="550082273" name="Picture 211" descr="This is a bar graph that shows the age of first Helpline report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82273" name="Picture 211" descr="This is a bar graph that shows the age of first Helpline reports. The data in this graph is in the table below."/>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64" t="54"/>
                    <a:stretch/>
                  </pic:blipFill>
                  <pic:spPr bwMode="auto">
                    <a:xfrm>
                      <a:off x="0" y="0"/>
                      <a:ext cx="6480000" cy="3175595"/>
                    </a:xfrm>
                    <a:prstGeom prst="rect">
                      <a:avLst/>
                    </a:prstGeom>
                    <a:noFill/>
                    <a:ln>
                      <a:noFill/>
                    </a:ln>
                    <a:extLst>
                      <a:ext uri="{53640926-AAD7-44D8-BBD7-CCE9431645EC}">
                        <a14:shadowObscured xmlns:a14="http://schemas.microsoft.com/office/drawing/2010/main"/>
                      </a:ext>
                    </a:extLst>
                  </pic:spPr>
                </pic:pic>
              </a:graphicData>
            </a:graphic>
          </wp:inline>
        </w:drawing>
      </w:r>
    </w:p>
    <w:p w14:paraId="3B6D7458" w14:textId="2FC7C99B" w:rsidR="00C93930" w:rsidRPr="00D62E61" w:rsidRDefault="00C93930" w:rsidP="00D62E61">
      <w:pPr>
        <w:pStyle w:val="TableSubheading"/>
      </w:pPr>
      <w:r w:rsidRPr="00D62E61">
        <w:t>Data table for Figure 4-A:</w:t>
      </w:r>
    </w:p>
    <w:tbl>
      <w:tblPr>
        <w:tblStyle w:val="ANROWSTable"/>
        <w:tblW w:w="0" w:type="auto"/>
        <w:tblLook w:val="04A0" w:firstRow="1" w:lastRow="0" w:firstColumn="1" w:lastColumn="0" w:noHBand="0" w:noVBand="1"/>
      </w:tblPr>
      <w:tblGrid>
        <w:gridCol w:w="5097"/>
        <w:gridCol w:w="5097"/>
      </w:tblGrid>
      <w:tr w:rsidR="006E25B7" w14:paraId="0615E981" w14:textId="77777777" w:rsidTr="00D62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1815871E" w14:textId="6EF0CDA4" w:rsidR="006E25B7" w:rsidRDefault="002C11F8" w:rsidP="00D62E61">
            <w:pPr>
              <w:pStyle w:val="BodySans"/>
            </w:pPr>
            <w:r>
              <w:t>Number of co-occurring risk factors</w:t>
            </w:r>
          </w:p>
        </w:tc>
        <w:tc>
          <w:tcPr>
            <w:tcW w:w="5097" w:type="dxa"/>
          </w:tcPr>
          <w:p w14:paraId="0CED48FE" w14:textId="1BEA7264" w:rsidR="006E25B7" w:rsidRDefault="002C11F8" w:rsidP="00D62E61">
            <w:pPr>
              <w:pStyle w:val="BodySans"/>
              <w:cnfStyle w:val="100000000000" w:firstRow="1" w:lastRow="0" w:firstColumn="0" w:lastColumn="0" w:oddVBand="0" w:evenVBand="0" w:oddHBand="0" w:evenHBand="0" w:firstRowFirstColumn="0" w:firstRowLastColumn="0" w:lastRowFirstColumn="0" w:lastRowLastColumn="0"/>
            </w:pPr>
            <w:r>
              <w:t>Mean age at the first report</w:t>
            </w:r>
            <w:r w:rsidR="004E1470">
              <w:t xml:space="preserve"> (months)</w:t>
            </w:r>
          </w:p>
        </w:tc>
      </w:tr>
      <w:tr w:rsidR="006E25B7" w14:paraId="01177045" w14:textId="77777777" w:rsidTr="002C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1ABBA4E" w14:textId="4BF1DDFD" w:rsidR="006E25B7" w:rsidRDefault="002C11F8" w:rsidP="00D62E61">
            <w:pPr>
              <w:pStyle w:val="BodySans"/>
            </w:pPr>
            <w:r>
              <w:t>Risk factors unrelated to DFV</w:t>
            </w:r>
          </w:p>
        </w:tc>
        <w:tc>
          <w:tcPr>
            <w:tcW w:w="5097" w:type="dxa"/>
          </w:tcPr>
          <w:p w14:paraId="0416FDE8" w14:textId="1F214922" w:rsidR="006E25B7" w:rsidRDefault="002C11F8" w:rsidP="00D62E61">
            <w:pPr>
              <w:pStyle w:val="BodySans"/>
              <w:cnfStyle w:val="000000100000" w:firstRow="0" w:lastRow="0" w:firstColumn="0" w:lastColumn="0" w:oddVBand="0" w:evenVBand="0" w:oddHBand="1" w:evenHBand="0" w:firstRowFirstColumn="0" w:firstRowLastColumn="0" w:lastRowFirstColumn="0" w:lastRowLastColumn="0"/>
            </w:pPr>
            <w:r>
              <w:t>89.2</w:t>
            </w:r>
          </w:p>
        </w:tc>
      </w:tr>
      <w:tr w:rsidR="006E25B7" w14:paraId="21D494E7" w14:textId="77777777" w:rsidTr="002C11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B3AC960" w14:textId="78DF966D" w:rsidR="006E25B7" w:rsidRDefault="002C11F8" w:rsidP="00D62E61">
            <w:pPr>
              <w:pStyle w:val="BodySans"/>
            </w:pPr>
            <w:r>
              <w:t>1 risk factor (DFV-only)</w:t>
            </w:r>
          </w:p>
        </w:tc>
        <w:tc>
          <w:tcPr>
            <w:tcW w:w="5097" w:type="dxa"/>
          </w:tcPr>
          <w:p w14:paraId="194C5E91" w14:textId="5AFF50AD" w:rsidR="006E25B7" w:rsidRDefault="002C11F8" w:rsidP="00D62E61">
            <w:pPr>
              <w:pStyle w:val="BodySans"/>
              <w:cnfStyle w:val="000000010000" w:firstRow="0" w:lastRow="0" w:firstColumn="0" w:lastColumn="0" w:oddVBand="0" w:evenVBand="0" w:oddHBand="0" w:evenHBand="1" w:firstRowFirstColumn="0" w:firstRowLastColumn="0" w:lastRowFirstColumn="0" w:lastRowLastColumn="0"/>
            </w:pPr>
            <w:r>
              <w:t>66.7</w:t>
            </w:r>
          </w:p>
        </w:tc>
      </w:tr>
      <w:tr w:rsidR="006E25B7" w14:paraId="2432BA77" w14:textId="77777777" w:rsidTr="002C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3612C8B" w14:textId="419C2633" w:rsidR="006E25B7" w:rsidRDefault="002C11F8" w:rsidP="00D62E61">
            <w:pPr>
              <w:pStyle w:val="BodySans"/>
            </w:pPr>
            <w:r>
              <w:t>2 risk factors (DFV-AOD/MH)</w:t>
            </w:r>
          </w:p>
        </w:tc>
        <w:tc>
          <w:tcPr>
            <w:tcW w:w="5097" w:type="dxa"/>
          </w:tcPr>
          <w:p w14:paraId="71F6CD66" w14:textId="5C96B38B" w:rsidR="006E25B7" w:rsidRDefault="002C11F8" w:rsidP="00D62E61">
            <w:pPr>
              <w:pStyle w:val="BodySans"/>
              <w:cnfStyle w:val="000000100000" w:firstRow="0" w:lastRow="0" w:firstColumn="0" w:lastColumn="0" w:oddVBand="0" w:evenVBand="0" w:oddHBand="1" w:evenHBand="0" w:firstRowFirstColumn="0" w:firstRowLastColumn="0" w:lastRowFirstColumn="0" w:lastRowLastColumn="0"/>
            </w:pPr>
            <w:r>
              <w:t>40.6</w:t>
            </w:r>
          </w:p>
        </w:tc>
      </w:tr>
      <w:tr w:rsidR="006E25B7" w14:paraId="7E9A6BB0" w14:textId="77777777" w:rsidTr="002C11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9283D2C" w14:textId="4AD6B205" w:rsidR="006E25B7" w:rsidRDefault="002C11F8" w:rsidP="00D62E61">
            <w:pPr>
              <w:pStyle w:val="BodySans"/>
            </w:pPr>
            <w:r>
              <w:t>3 risk factors (DFV-AOD-MH)</w:t>
            </w:r>
          </w:p>
        </w:tc>
        <w:tc>
          <w:tcPr>
            <w:tcW w:w="5097" w:type="dxa"/>
          </w:tcPr>
          <w:p w14:paraId="27BFA7F0" w14:textId="7B88E909" w:rsidR="006E25B7" w:rsidRDefault="002C11F8" w:rsidP="00D62E61">
            <w:pPr>
              <w:pStyle w:val="BodySans"/>
              <w:cnfStyle w:val="000000010000" w:firstRow="0" w:lastRow="0" w:firstColumn="0" w:lastColumn="0" w:oddVBand="0" w:evenVBand="0" w:oddHBand="0" w:evenHBand="1" w:firstRowFirstColumn="0" w:firstRowLastColumn="0" w:lastRowFirstColumn="0" w:lastRowLastColumn="0"/>
            </w:pPr>
            <w:r>
              <w:t>26.9</w:t>
            </w:r>
          </w:p>
        </w:tc>
      </w:tr>
    </w:tbl>
    <w:p w14:paraId="1C2E851C" w14:textId="77777777" w:rsidR="006E25B7" w:rsidRPr="004020C5" w:rsidRDefault="006E25B7" w:rsidP="004020C5"/>
    <w:p w14:paraId="3019FF8F" w14:textId="108B460C" w:rsidR="004020C5" w:rsidRPr="004020C5" w:rsidRDefault="004020C5" w:rsidP="004020C5">
      <w:r w:rsidRPr="004020C5">
        <w:rPr>
          <w:noProof/>
        </w:rPr>
        <w:lastRenderedPageBreak/>
        <w:drawing>
          <wp:inline distT="0" distB="0" distL="0" distR="0" wp14:anchorId="63968D7C" wp14:editId="7D00F7B5">
            <wp:extent cx="6480000" cy="3380279"/>
            <wp:effectExtent l="0" t="0" r="0" b="0"/>
            <wp:docPr id="994798119" name="Picture 210" descr="This is a bar graph that shows the total number of Helpline reports and total number of RoSH report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8119" name="Picture 210" descr="This is a bar graph that shows the total number of Helpline reports and total number of RoSH reports. The data in this graph is in the table below."/>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64" t="7435"/>
                    <a:stretch/>
                  </pic:blipFill>
                  <pic:spPr bwMode="auto">
                    <a:xfrm>
                      <a:off x="0" y="0"/>
                      <a:ext cx="6480000" cy="3380279"/>
                    </a:xfrm>
                    <a:prstGeom prst="rect">
                      <a:avLst/>
                    </a:prstGeom>
                    <a:noFill/>
                    <a:ln>
                      <a:noFill/>
                    </a:ln>
                    <a:extLst>
                      <a:ext uri="{53640926-AAD7-44D8-BBD7-CCE9431645EC}">
                        <a14:shadowObscured xmlns:a14="http://schemas.microsoft.com/office/drawing/2010/main"/>
                      </a:ext>
                    </a:extLst>
                  </pic:spPr>
                </pic:pic>
              </a:graphicData>
            </a:graphic>
          </wp:inline>
        </w:drawing>
      </w:r>
    </w:p>
    <w:p w14:paraId="2BFC2021" w14:textId="281B94C4" w:rsidR="00C93930" w:rsidRPr="00D62E61" w:rsidRDefault="00C93930" w:rsidP="00D62E61">
      <w:pPr>
        <w:pStyle w:val="TableSubheading"/>
      </w:pPr>
      <w:r w:rsidRPr="00D62E61">
        <w:t>Data table for Figure 4-B:</w:t>
      </w:r>
    </w:p>
    <w:tbl>
      <w:tblPr>
        <w:tblStyle w:val="ANROWSTable"/>
        <w:tblW w:w="0" w:type="auto"/>
        <w:tblLook w:val="04A0" w:firstRow="1" w:lastRow="0" w:firstColumn="1" w:lastColumn="0" w:noHBand="0" w:noVBand="1"/>
      </w:tblPr>
      <w:tblGrid>
        <w:gridCol w:w="3398"/>
        <w:gridCol w:w="3123"/>
        <w:gridCol w:w="3673"/>
      </w:tblGrid>
      <w:tr w:rsidR="00C93930" w14:paraId="3738D9E1" w14:textId="77777777" w:rsidTr="00D62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2B032537" w14:textId="0BD88483" w:rsidR="00C93930" w:rsidRDefault="0020771A" w:rsidP="00D62E61">
            <w:pPr>
              <w:pStyle w:val="BodySans"/>
            </w:pPr>
            <w:r>
              <w:t>Number of co-occurring risk factors</w:t>
            </w:r>
          </w:p>
        </w:tc>
        <w:tc>
          <w:tcPr>
            <w:tcW w:w="3123" w:type="dxa"/>
          </w:tcPr>
          <w:p w14:paraId="32B784A0" w14:textId="633C35BA" w:rsidR="00C93930" w:rsidRDefault="0020771A" w:rsidP="00D62E61">
            <w:pPr>
              <w:pStyle w:val="BodySans"/>
              <w:cnfStyle w:val="100000000000" w:firstRow="1" w:lastRow="0" w:firstColumn="0" w:lastColumn="0" w:oddVBand="0" w:evenVBand="0" w:oddHBand="0" w:evenHBand="0" w:firstRowFirstColumn="0" w:firstRowLastColumn="0" w:lastRowFirstColumn="0" w:lastRowLastColumn="0"/>
            </w:pPr>
            <w:r>
              <w:t xml:space="preserve">Mean number of reports: </w:t>
            </w:r>
            <w:r w:rsidR="00C93930">
              <w:t>Total</w:t>
            </w:r>
            <w:r>
              <w:t> </w:t>
            </w:r>
            <w:r w:rsidR="00C93930">
              <w:t>reports</w:t>
            </w:r>
          </w:p>
        </w:tc>
        <w:tc>
          <w:tcPr>
            <w:tcW w:w="3673" w:type="dxa"/>
          </w:tcPr>
          <w:p w14:paraId="4567B934" w14:textId="0CBCA708" w:rsidR="00C93930" w:rsidRDefault="0020771A" w:rsidP="00D62E61">
            <w:pPr>
              <w:pStyle w:val="BodySans"/>
              <w:cnfStyle w:val="100000000000" w:firstRow="1" w:lastRow="0" w:firstColumn="0" w:lastColumn="0" w:oddVBand="0" w:evenVBand="0" w:oddHBand="0" w:evenHBand="0" w:firstRowFirstColumn="0" w:firstRowLastColumn="0" w:lastRowFirstColumn="0" w:lastRowLastColumn="0"/>
            </w:pPr>
            <w:r>
              <w:t xml:space="preserve">Mean number of reports: </w:t>
            </w:r>
            <w:r w:rsidR="00C93930">
              <w:t>Total</w:t>
            </w:r>
            <w:r>
              <w:t> </w:t>
            </w:r>
            <w:r w:rsidR="00C93930">
              <w:t>reports considered R</w:t>
            </w:r>
            <w:r w:rsidR="00DC12A6">
              <w:t>o</w:t>
            </w:r>
            <w:r w:rsidR="00C93930">
              <w:t>SH</w:t>
            </w:r>
          </w:p>
        </w:tc>
      </w:tr>
      <w:tr w:rsidR="00C93930" w14:paraId="3F79FC1B" w14:textId="77777777" w:rsidTr="003A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B0B6C59" w14:textId="4C950C5D" w:rsidR="00C93930" w:rsidRDefault="00315A25" w:rsidP="00D62E61">
            <w:pPr>
              <w:pStyle w:val="BodySans"/>
            </w:pPr>
            <w:r>
              <w:t>Risk factors unrelated to DFV</w:t>
            </w:r>
          </w:p>
        </w:tc>
        <w:tc>
          <w:tcPr>
            <w:tcW w:w="3123" w:type="dxa"/>
          </w:tcPr>
          <w:p w14:paraId="2048637B" w14:textId="37F81E0B" w:rsidR="00C93930" w:rsidRDefault="0020771A" w:rsidP="00D62E61">
            <w:pPr>
              <w:pStyle w:val="BodySans"/>
              <w:cnfStyle w:val="000000100000" w:firstRow="0" w:lastRow="0" w:firstColumn="0" w:lastColumn="0" w:oddVBand="0" w:evenVBand="0" w:oddHBand="1" w:evenHBand="0" w:firstRowFirstColumn="0" w:firstRowLastColumn="0" w:lastRowFirstColumn="0" w:lastRowLastColumn="0"/>
            </w:pPr>
            <w:r>
              <w:t>1.8</w:t>
            </w:r>
          </w:p>
        </w:tc>
        <w:tc>
          <w:tcPr>
            <w:tcW w:w="3673" w:type="dxa"/>
          </w:tcPr>
          <w:p w14:paraId="141D34A9" w14:textId="45C82E7C" w:rsidR="00C93930" w:rsidRDefault="0020771A" w:rsidP="00D62E61">
            <w:pPr>
              <w:pStyle w:val="BodySans"/>
              <w:cnfStyle w:val="000000100000" w:firstRow="0" w:lastRow="0" w:firstColumn="0" w:lastColumn="0" w:oddVBand="0" w:evenVBand="0" w:oddHBand="1" w:evenHBand="0" w:firstRowFirstColumn="0" w:firstRowLastColumn="0" w:lastRowFirstColumn="0" w:lastRowLastColumn="0"/>
            </w:pPr>
            <w:r>
              <w:t>1.1</w:t>
            </w:r>
          </w:p>
        </w:tc>
      </w:tr>
      <w:tr w:rsidR="00C93930" w14:paraId="283E46A1" w14:textId="77777777" w:rsidTr="003A76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5C960F0" w14:textId="38940DDE" w:rsidR="00C93930" w:rsidRDefault="00315A25" w:rsidP="00D62E61">
            <w:pPr>
              <w:pStyle w:val="BodySans"/>
            </w:pPr>
            <w:r>
              <w:t>1 risk factor (DFV-only)</w:t>
            </w:r>
          </w:p>
        </w:tc>
        <w:tc>
          <w:tcPr>
            <w:tcW w:w="3123" w:type="dxa"/>
          </w:tcPr>
          <w:p w14:paraId="5998BBD1" w14:textId="5E85BD08" w:rsidR="00C93930" w:rsidRDefault="0020771A" w:rsidP="00D62E61">
            <w:pPr>
              <w:pStyle w:val="BodySans"/>
              <w:cnfStyle w:val="000000010000" w:firstRow="0" w:lastRow="0" w:firstColumn="0" w:lastColumn="0" w:oddVBand="0" w:evenVBand="0" w:oddHBand="0" w:evenHBand="1" w:firstRowFirstColumn="0" w:firstRowLastColumn="0" w:lastRowFirstColumn="0" w:lastRowLastColumn="0"/>
            </w:pPr>
            <w:r>
              <w:t>2.0</w:t>
            </w:r>
          </w:p>
        </w:tc>
        <w:tc>
          <w:tcPr>
            <w:tcW w:w="3673" w:type="dxa"/>
          </w:tcPr>
          <w:p w14:paraId="536A1897" w14:textId="49A7EA59" w:rsidR="00C93930" w:rsidRDefault="0020771A" w:rsidP="00D62E61">
            <w:pPr>
              <w:pStyle w:val="BodySans"/>
              <w:cnfStyle w:val="000000010000" w:firstRow="0" w:lastRow="0" w:firstColumn="0" w:lastColumn="0" w:oddVBand="0" w:evenVBand="0" w:oddHBand="0" w:evenHBand="1" w:firstRowFirstColumn="0" w:firstRowLastColumn="0" w:lastRowFirstColumn="0" w:lastRowLastColumn="0"/>
            </w:pPr>
            <w:r>
              <w:t>1.1</w:t>
            </w:r>
          </w:p>
        </w:tc>
      </w:tr>
      <w:tr w:rsidR="00C93930" w14:paraId="43E3F80B" w14:textId="77777777" w:rsidTr="003A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82845EF" w14:textId="36672DDA" w:rsidR="00C93930" w:rsidRDefault="00315A25" w:rsidP="00D62E61">
            <w:pPr>
              <w:pStyle w:val="BodySans"/>
            </w:pPr>
            <w:r>
              <w:t>2 risk factors (DFV-AOD/MH)</w:t>
            </w:r>
          </w:p>
        </w:tc>
        <w:tc>
          <w:tcPr>
            <w:tcW w:w="3123" w:type="dxa"/>
          </w:tcPr>
          <w:p w14:paraId="3C0FCB8C" w14:textId="40EC6FC3" w:rsidR="00C93930" w:rsidRDefault="0020771A" w:rsidP="00D62E61">
            <w:pPr>
              <w:pStyle w:val="BodySans"/>
              <w:cnfStyle w:val="000000100000" w:firstRow="0" w:lastRow="0" w:firstColumn="0" w:lastColumn="0" w:oddVBand="0" w:evenVBand="0" w:oddHBand="1" w:evenHBand="0" w:firstRowFirstColumn="0" w:firstRowLastColumn="0" w:lastRowFirstColumn="0" w:lastRowLastColumn="0"/>
            </w:pPr>
            <w:r>
              <w:t>5.2</w:t>
            </w:r>
          </w:p>
        </w:tc>
        <w:tc>
          <w:tcPr>
            <w:tcW w:w="3673" w:type="dxa"/>
          </w:tcPr>
          <w:p w14:paraId="45009F16" w14:textId="643D8F2A" w:rsidR="00C93930" w:rsidRDefault="0020771A" w:rsidP="00D62E61">
            <w:pPr>
              <w:pStyle w:val="BodySans"/>
              <w:cnfStyle w:val="000000100000" w:firstRow="0" w:lastRow="0" w:firstColumn="0" w:lastColumn="0" w:oddVBand="0" w:evenVBand="0" w:oddHBand="1" w:evenHBand="0" w:firstRowFirstColumn="0" w:firstRowLastColumn="0" w:lastRowFirstColumn="0" w:lastRowLastColumn="0"/>
            </w:pPr>
            <w:r>
              <w:t>3.2</w:t>
            </w:r>
          </w:p>
        </w:tc>
      </w:tr>
      <w:tr w:rsidR="00C93930" w14:paraId="7EBDDF7F" w14:textId="77777777" w:rsidTr="003A76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BAF8ACD" w14:textId="75304C53" w:rsidR="00C93930" w:rsidRDefault="00315A25" w:rsidP="00D62E61">
            <w:pPr>
              <w:pStyle w:val="BodySans"/>
            </w:pPr>
            <w:r>
              <w:t>3 risk factors (DFV-AOD-MH)</w:t>
            </w:r>
          </w:p>
        </w:tc>
        <w:tc>
          <w:tcPr>
            <w:tcW w:w="3123" w:type="dxa"/>
          </w:tcPr>
          <w:p w14:paraId="386C94EB" w14:textId="585561D2" w:rsidR="00C93930" w:rsidRDefault="0020771A" w:rsidP="00D62E61">
            <w:pPr>
              <w:pStyle w:val="BodySans"/>
              <w:cnfStyle w:val="000000010000" w:firstRow="0" w:lastRow="0" w:firstColumn="0" w:lastColumn="0" w:oddVBand="0" w:evenVBand="0" w:oddHBand="0" w:evenHBand="1" w:firstRowFirstColumn="0" w:firstRowLastColumn="0" w:lastRowFirstColumn="0" w:lastRowLastColumn="0"/>
            </w:pPr>
            <w:r>
              <w:t>9.0</w:t>
            </w:r>
          </w:p>
        </w:tc>
        <w:tc>
          <w:tcPr>
            <w:tcW w:w="3673" w:type="dxa"/>
          </w:tcPr>
          <w:p w14:paraId="3899C8EC" w14:textId="0E6BAB50" w:rsidR="00C93930" w:rsidRDefault="0020771A" w:rsidP="00D62E61">
            <w:pPr>
              <w:pStyle w:val="BodySans"/>
              <w:cnfStyle w:val="000000010000" w:firstRow="0" w:lastRow="0" w:firstColumn="0" w:lastColumn="0" w:oddVBand="0" w:evenVBand="0" w:oddHBand="0" w:evenHBand="1" w:firstRowFirstColumn="0" w:firstRowLastColumn="0" w:lastRowFirstColumn="0" w:lastRowLastColumn="0"/>
            </w:pPr>
            <w:r>
              <w:t>5.5</w:t>
            </w:r>
          </w:p>
        </w:tc>
      </w:tr>
    </w:tbl>
    <w:p w14:paraId="444AF3C1" w14:textId="60217058" w:rsidR="004020C5" w:rsidRPr="004020C5" w:rsidRDefault="004860E7" w:rsidP="002425C7">
      <w:pPr>
        <w:pStyle w:val="BodySerif"/>
        <w:spacing w:before="480"/>
      </w:pPr>
      <w:r w:rsidRPr="004020C5">
        <w:t>Of particular interest was where parents interacted with external services for AOD use or MH issues but there was no</w:t>
      </w:r>
      <w:r>
        <w:t> </w:t>
      </w:r>
      <w:r w:rsidRPr="004020C5">
        <w:t>corresponding record in child concern reports for these risk factors. For example, there were 102,130 children who</w:t>
      </w:r>
      <w:r>
        <w:t> </w:t>
      </w:r>
      <w:r w:rsidRPr="004020C5">
        <w:t>had</w:t>
      </w:r>
      <w:r>
        <w:t xml:space="preserve"> </w:t>
      </w:r>
      <w:r w:rsidR="004020C5" w:rsidRPr="004020C5">
        <w:t>child concern reports flagging issues related only to DFV, but between 7 to 16 per cent of children had parents who used mental health services or were hospitalised for MH issues or AOD use prior to first Helpline report. Of 9,475 children with parental MH issues flagged in their child concern report, only about 26 per cent of children had at least one parent who had accessed mental health ambulatory services prior to first Helpline report, indicating that parental MH issues are possibly not being detected or addressed until there is</w:t>
      </w:r>
      <w:r w:rsidR="002E4A0D">
        <w:t xml:space="preserve"> </w:t>
      </w:r>
      <w:r w:rsidR="004020C5" w:rsidRPr="004020C5">
        <w:t>contact with the child protection system. Such findings also suggest that there may be an underreporting of issues and risk factors within child concern reports, whether because the issue was not identified when the report was made to Helpline, or it was not the primary concern recorded.</w:t>
      </w:r>
    </w:p>
    <w:p w14:paraId="6B7A59BA" w14:textId="4EBC7D62" w:rsidR="004020C5" w:rsidRPr="004020C5" w:rsidRDefault="004020C5" w:rsidP="004020C5">
      <w:pPr>
        <w:pStyle w:val="FigureTableHeading"/>
      </w:pPr>
      <w:r w:rsidRPr="00B03923">
        <w:rPr>
          <w:rStyle w:val="Strong"/>
        </w:rPr>
        <w:t>Table 1</w:t>
      </w:r>
      <w:r w:rsidRPr="00B03923">
        <w:t>:</w:t>
      </w:r>
      <w:r w:rsidRPr="004020C5">
        <w:t xml:space="preserve"> Number (and percentage) of mothers and other parents with children who had a child concern report and involvement with other NSW services for DFV, AOD use and MH issues</w:t>
      </w:r>
    </w:p>
    <w:tbl>
      <w:tblPr>
        <w:tblStyle w:val="ANROWSTable"/>
        <w:tblW w:w="10206" w:type="dxa"/>
        <w:tblLook w:val="04A0" w:firstRow="1" w:lastRow="0" w:firstColumn="1" w:lastColumn="0" w:noHBand="0" w:noVBand="1"/>
      </w:tblPr>
      <w:tblGrid>
        <w:gridCol w:w="3402"/>
        <w:gridCol w:w="3402"/>
        <w:gridCol w:w="3402"/>
      </w:tblGrid>
      <w:tr w:rsidR="004020C5" w:rsidRPr="004020C5" w14:paraId="7998249E" w14:textId="77777777" w:rsidTr="00C35B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hideMark/>
          </w:tcPr>
          <w:p w14:paraId="4FD12BA1" w14:textId="77777777" w:rsidR="004020C5" w:rsidRPr="00C35BE6" w:rsidRDefault="004020C5" w:rsidP="00C35BE6">
            <w:pPr>
              <w:pStyle w:val="BodySans"/>
            </w:pPr>
          </w:p>
        </w:tc>
        <w:tc>
          <w:tcPr>
            <w:tcW w:w="3402" w:type="dxa"/>
            <w:hideMark/>
          </w:tcPr>
          <w:p w14:paraId="2683B175" w14:textId="3022FCEF"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Mother (n = 217,181)</w:t>
            </w:r>
          </w:p>
        </w:tc>
        <w:tc>
          <w:tcPr>
            <w:tcW w:w="3402" w:type="dxa"/>
            <w:hideMark/>
          </w:tcPr>
          <w:p w14:paraId="253B938C" w14:textId="494E189E"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Other parent (n = 234,331)</w:t>
            </w:r>
          </w:p>
        </w:tc>
      </w:tr>
      <w:tr w:rsidR="004020C5" w:rsidRPr="004020C5" w14:paraId="208BC6F8" w14:textId="77777777" w:rsidTr="00B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5CC1BB88" w14:textId="54133D4A" w:rsidR="004020C5" w:rsidRPr="00C35BE6" w:rsidRDefault="004020C5" w:rsidP="00C35BE6">
            <w:pPr>
              <w:pStyle w:val="BodySans"/>
            </w:pPr>
            <w:r w:rsidRPr="00C35BE6">
              <w:t>Finalised charge – DFV</w:t>
            </w:r>
          </w:p>
        </w:tc>
        <w:tc>
          <w:tcPr>
            <w:tcW w:w="3402" w:type="dxa"/>
            <w:hideMark/>
          </w:tcPr>
          <w:p w14:paraId="0F442D3F" w14:textId="01231C33"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8,400 (4%)</w:t>
            </w:r>
          </w:p>
        </w:tc>
        <w:tc>
          <w:tcPr>
            <w:tcW w:w="3402" w:type="dxa"/>
            <w:hideMark/>
          </w:tcPr>
          <w:p w14:paraId="45887F63" w14:textId="3AFD7B9D"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22,976 (10%)</w:t>
            </w:r>
          </w:p>
        </w:tc>
      </w:tr>
      <w:tr w:rsidR="004020C5" w:rsidRPr="004020C5" w14:paraId="6DC75E93" w14:textId="77777777" w:rsidTr="00B0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D5CCEF1" w14:textId="297BFA86" w:rsidR="004020C5" w:rsidRPr="00C35BE6" w:rsidRDefault="004020C5" w:rsidP="00C35BE6">
            <w:pPr>
              <w:pStyle w:val="BodySans"/>
            </w:pPr>
            <w:r w:rsidRPr="00C35BE6">
              <w:t>DFV police reports (victim)</w:t>
            </w:r>
          </w:p>
        </w:tc>
        <w:tc>
          <w:tcPr>
            <w:tcW w:w="3402" w:type="dxa"/>
            <w:hideMark/>
          </w:tcPr>
          <w:p w14:paraId="5C7BCBE4" w14:textId="1446A65F"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68,283 (31%)</w:t>
            </w:r>
          </w:p>
        </w:tc>
        <w:tc>
          <w:tcPr>
            <w:tcW w:w="3402" w:type="dxa"/>
            <w:hideMark/>
          </w:tcPr>
          <w:p w14:paraId="1449C997" w14:textId="75694D1F"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19,999 (9%)</w:t>
            </w:r>
          </w:p>
        </w:tc>
      </w:tr>
      <w:tr w:rsidR="004020C5" w:rsidRPr="004020C5" w14:paraId="122053ED" w14:textId="77777777" w:rsidTr="00B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4841A80" w14:textId="63C08A75" w:rsidR="004020C5" w:rsidRPr="00C35BE6" w:rsidRDefault="004020C5" w:rsidP="00C35BE6">
            <w:pPr>
              <w:pStyle w:val="BodySans"/>
            </w:pPr>
            <w:r w:rsidRPr="00C35BE6">
              <w:lastRenderedPageBreak/>
              <w:t>MHAMB</w:t>
            </w:r>
          </w:p>
        </w:tc>
        <w:tc>
          <w:tcPr>
            <w:tcW w:w="3402" w:type="dxa"/>
            <w:hideMark/>
          </w:tcPr>
          <w:p w14:paraId="2AF965F6" w14:textId="6C8C8F6E"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32,742 (15%)</w:t>
            </w:r>
          </w:p>
        </w:tc>
        <w:tc>
          <w:tcPr>
            <w:tcW w:w="3402" w:type="dxa"/>
            <w:hideMark/>
          </w:tcPr>
          <w:p w14:paraId="3CC95074" w14:textId="67676280"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24,675 (11%)</w:t>
            </w:r>
          </w:p>
        </w:tc>
      </w:tr>
      <w:tr w:rsidR="004020C5" w:rsidRPr="004020C5" w14:paraId="2EC0609A" w14:textId="77777777" w:rsidTr="00B0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D406025" w14:textId="043AA5F1" w:rsidR="004020C5" w:rsidRPr="00C35BE6" w:rsidRDefault="004020C5" w:rsidP="00C35BE6">
            <w:pPr>
              <w:pStyle w:val="BodySans"/>
            </w:pPr>
            <w:r w:rsidRPr="00C35BE6">
              <w:t>APDC mental health</w:t>
            </w:r>
          </w:p>
        </w:tc>
        <w:tc>
          <w:tcPr>
            <w:tcW w:w="3402" w:type="dxa"/>
            <w:hideMark/>
          </w:tcPr>
          <w:p w14:paraId="29B55C5C" w14:textId="58FCAF12"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20,944 (10%)</w:t>
            </w:r>
          </w:p>
        </w:tc>
        <w:tc>
          <w:tcPr>
            <w:tcW w:w="3402" w:type="dxa"/>
            <w:hideMark/>
          </w:tcPr>
          <w:p w14:paraId="2DA50512" w14:textId="70D518EE"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14,979 (6%)</w:t>
            </w:r>
          </w:p>
        </w:tc>
      </w:tr>
      <w:tr w:rsidR="004020C5" w:rsidRPr="004020C5" w14:paraId="4296BEC2" w14:textId="77777777" w:rsidTr="00B0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546BE5A" w14:textId="3A2A6908" w:rsidR="004020C5" w:rsidRPr="00C35BE6" w:rsidRDefault="004020C5" w:rsidP="00C35BE6">
            <w:pPr>
              <w:pStyle w:val="BodySans"/>
            </w:pPr>
            <w:r w:rsidRPr="00C35BE6">
              <w:t>APDC alcohol/drugs</w:t>
            </w:r>
          </w:p>
        </w:tc>
        <w:tc>
          <w:tcPr>
            <w:tcW w:w="3402" w:type="dxa"/>
            <w:hideMark/>
          </w:tcPr>
          <w:p w14:paraId="26014456" w14:textId="080C3A71"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31,712 (15%)</w:t>
            </w:r>
          </w:p>
        </w:tc>
        <w:tc>
          <w:tcPr>
            <w:tcW w:w="3402" w:type="dxa"/>
            <w:hideMark/>
          </w:tcPr>
          <w:p w14:paraId="19A74F37" w14:textId="582AAF0E"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36,195 (15%)</w:t>
            </w:r>
          </w:p>
        </w:tc>
      </w:tr>
    </w:tbl>
    <w:p w14:paraId="2C20E0C9" w14:textId="788A9A27" w:rsidR="004020C5" w:rsidRPr="004020C5" w:rsidRDefault="004020C5" w:rsidP="00B03923">
      <w:pPr>
        <w:pStyle w:val="FigureTableHeading"/>
      </w:pPr>
      <w:r w:rsidRPr="00B03923">
        <w:rPr>
          <w:rStyle w:val="Strong"/>
        </w:rPr>
        <w:t>Figure 5</w:t>
      </w:r>
      <w:r w:rsidRPr="004020C5">
        <w:t>: Percentage of children who have had at least one parent interact with external services (police, courts, mental health services and hospital admissions) prior to children’s first Helpline report based on co-occurring risk factors</w:t>
      </w:r>
    </w:p>
    <w:p w14:paraId="045C3D5D" w14:textId="708A2222" w:rsidR="004020C5" w:rsidRDefault="004020C5" w:rsidP="004020C5">
      <w:r w:rsidRPr="004020C5">
        <w:rPr>
          <w:noProof/>
        </w:rPr>
        <w:drawing>
          <wp:inline distT="0" distB="0" distL="0" distR="0" wp14:anchorId="21BEC0EA" wp14:editId="263FEA01">
            <wp:extent cx="6479540" cy="3812540"/>
            <wp:effectExtent l="0" t="0" r="0" b="0"/>
            <wp:docPr id="1341959990" name="Picture 209" descr="This is a bar graph that shows the number of children who have had a parent interact with external service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59990" name="Picture 209" descr="This is a bar graph that shows the number of children who have had a parent interact with external services. The data in this graph is in the table belo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9540" cy="3812540"/>
                    </a:xfrm>
                    <a:prstGeom prst="rect">
                      <a:avLst/>
                    </a:prstGeom>
                    <a:noFill/>
                    <a:ln>
                      <a:noFill/>
                    </a:ln>
                  </pic:spPr>
                </pic:pic>
              </a:graphicData>
            </a:graphic>
          </wp:inline>
        </w:drawing>
      </w:r>
    </w:p>
    <w:p w14:paraId="09351BD7" w14:textId="33104040" w:rsidR="00AD5C16" w:rsidRPr="00D62E61" w:rsidRDefault="00AD5C16" w:rsidP="00D62E61">
      <w:pPr>
        <w:pStyle w:val="TableSubheading"/>
      </w:pPr>
      <w:r w:rsidRPr="00D62E61">
        <w:t>Data table for Figure 5:</w:t>
      </w:r>
    </w:p>
    <w:tbl>
      <w:tblPr>
        <w:tblStyle w:val="ANROWSTable"/>
        <w:tblW w:w="0" w:type="auto"/>
        <w:tblLook w:val="04A0" w:firstRow="1" w:lastRow="0" w:firstColumn="1" w:lastColumn="0" w:noHBand="0" w:noVBand="1"/>
      </w:tblPr>
      <w:tblGrid>
        <w:gridCol w:w="2268"/>
        <w:gridCol w:w="1984"/>
        <w:gridCol w:w="1984"/>
        <w:gridCol w:w="1984"/>
        <w:gridCol w:w="1984"/>
      </w:tblGrid>
      <w:tr w:rsidR="00AD5C16" w14:paraId="6BECF65A" w14:textId="77777777" w:rsidTr="00D62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4CEAC68C" w14:textId="293912D4" w:rsidR="00AD5C16" w:rsidRPr="00D62E61" w:rsidRDefault="00AD5C16" w:rsidP="00D62E61">
            <w:pPr>
              <w:pStyle w:val="BodySans"/>
            </w:pPr>
            <w:r w:rsidRPr="00D62E61">
              <w:t>Parents’ interactions with external services</w:t>
            </w:r>
          </w:p>
        </w:tc>
        <w:tc>
          <w:tcPr>
            <w:tcW w:w="1984" w:type="dxa"/>
          </w:tcPr>
          <w:p w14:paraId="65CFB775" w14:textId="6298D708" w:rsidR="00AD5C16" w:rsidRPr="00D62E61" w:rsidRDefault="003D769B" w:rsidP="00D62E61">
            <w:pPr>
              <w:pStyle w:val="BodySans"/>
              <w:cnfStyle w:val="100000000000" w:firstRow="1" w:lastRow="0" w:firstColumn="0" w:lastColumn="0" w:oddVBand="0" w:evenVBand="0" w:oddHBand="0" w:evenHBand="0" w:firstRowFirstColumn="0" w:firstRowLastColumn="0" w:lastRowFirstColumn="0" w:lastRowLastColumn="0"/>
            </w:pPr>
            <w:r w:rsidRPr="00D62E61">
              <w:t xml:space="preserve">% </w:t>
            </w:r>
            <w:r w:rsidR="00AD5C16" w:rsidRPr="00D62E61">
              <w:t>DFV only (n=102,130)</w:t>
            </w:r>
          </w:p>
        </w:tc>
        <w:tc>
          <w:tcPr>
            <w:tcW w:w="1984" w:type="dxa"/>
          </w:tcPr>
          <w:p w14:paraId="6CBDF218" w14:textId="32CF8DA2" w:rsidR="00AD5C16" w:rsidRPr="00D62E61" w:rsidRDefault="003D769B" w:rsidP="00D62E61">
            <w:pPr>
              <w:pStyle w:val="BodySans"/>
              <w:cnfStyle w:val="100000000000" w:firstRow="1" w:lastRow="0" w:firstColumn="0" w:lastColumn="0" w:oddVBand="0" w:evenVBand="0" w:oddHBand="0" w:evenHBand="0" w:firstRowFirstColumn="0" w:firstRowLastColumn="0" w:lastRowFirstColumn="0" w:lastRowLastColumn="0"/>
            </w:pPr>
            <w:r w:rsidRPr="00D62E61">
              <w:t xml:space="preserve">% </w:t>
            </w:r>
            <w:r w:rsidR="00AD5C16" w:rsidRPr="00D62E61">
              <w:t>DFV-AOD (n=12,859)</w:t>
            </w:r>
          </w:p>
        </w:tc>
        <w:tc>
          <w:tcPr>
            <w:tcW w:w="1984" w:type="dxa"/>
          </w:tcPr>
          <w:p w14:paraId="4DFD86D1" w14:textId="4A22B320" w:rsidR="00AD5C16" w:rsidRPr="00D62E61" w:rsidRDefault="003D769B" w:rsidP="00D62E61">
            <w:pPr>
              <w:pStyle w:val="BodySans"/>
              <w:cnfStyle w:val="100000000000" w:firstRow="1" w:lastRow="0" w:firstColumn="0" w:lastColumn="0" w:oddVBand="0" w:evenVBand="0" w:oddHBand="0" w:evenHBand="0" w:firstRowFirstColumn="0" w:firstRowLastColumn="0" w:lastRowFirstColumn="0" w:lastRowLastColumn="0"/>
            </w:pPr>
            <w:r w:rsidRPr="00D62E61">
              <w:t xml:space="preserve">% </w:t>
            </w:r>
            <w:r w:rsidR="00AD5C16" w:rsidRPr="00D62E61">
              <w:t>DFV-MH (n=9,475)</w:t>
            </w:r>
          </w:p>
        </w:tc>
        <w:tc>
          <w:tcPr>
            <w:tcW w:w="1984" w:type="dxa"/>
          </w:tcPr>
          <w:p w14:paraId="1229E2C2" w14:textId="6D90D83D" w:rsidR="00AD5C16" w:rsidRPr="00D62E61" w:rsidRDefault="003D769B" w:rsidP="00D62E61">
            <w:pPr>
              <w:pStyle w:val="BodySans"/>
              <w:cnfStyle w:val="100000000000" w:firstRow="1" w:lastRow="0" w:firstColumn="0" w:lastColumn="0" w:oddVBand="0" w:evenVBand="0" w:oddHBand="0" w:evenHBand="0" w:firstRowFirstColumn="0" w:firstRowLastColumn="0" w:lastRowFirstColumn="0" w:lastRowLastColumn="0"/>
            </w:pPr>
            <w:r w:rsidRPr="00D62E61">
              <w:t xml:space="preserve">% </w:t>
            </w:r>
            <w:r w:rsidR="00AD5C16" w:rsidRPr="00D62E61">
              <w:t>DFV-AOD-MH (n=3,420)</w:t>
            </w:r>
          </w:p>
        </w:tc>
      </w:tr>
      <w:tr w:rsidR="00AD5C16" w14:paraId="40D8BCD4" w14:textId="77777777" w:rsidTr="00CE6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B3DEA4" w14:textId="1E516C04" w:rsidR="00AD5C16" w:rsidRPr="00D62E61" w:rsidRDefault="00AD5C16" w:rsidP="00D62E61">
            <w:pPr>
              <w:pStyle w:val="BodySans"/>
            </w:pPr>
            <w:r w:rsidRPr="00D62E61">
              <w:t>Finalised charge</w:t>
            </w:r>
          </w:p>
        </w:tc>
        <w:tc>
          <w:tcPr>
            <w:tcW w:w="1984" w:type="dxa"/>
          </w:tcPr>
          <w:p w14:paraId="1B7134D6" w14:textId="328177D2"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4</w:t>
            </w:r>
          </w:p>
        </w:tc>
        <w:tc>
          <w:tcPr>
            <w:tcW w:w="1984" w:type="dxa"/>
          </w:tcPr>
          <w:p w14:paraId="6104C7F0" w14:textId="2BDE9094"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8</w:t>
            </w:r>
          </w:p>
        </w:tc>
        <w:tc>
          <w:tcPr>
            <w:tcW w:w="1984" w:type="dxa"/>
          </w:tcPr>
          <w:p w14:paraId="0F7725FF" w14:textId="145D36B7"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4</w:t>
            </w:r>
          </w:p>
        </w:tc>
        <w:tc>
          <w:tcPr>
            <w:tcW w:w="1984" w:type="dxa"/>
          </w:tcPr>
          <w:p w14:paraId="68F95903" w14:textId="5708BFC1"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6</w:t>
            </w:r>
          </w:p>
        </w:tc>
      </w:tr>
      <w:tr w:rsidR="00AD5C16" w14:paraId="674BAFF0" w14:textId="77777777" w:rsidTr="00CE6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5D0EAB4" w14:textId="05736E6B" w:rsidR="00AD5C16" w:rsidRPr="00D62E61" w:rsidRDefault="00AD5C16" w:rsidP="00D62E61">
            <w:pPr>
              <w:pStyle w:val="BodySans"/>
            </w:pPr>
            <w:r w:rsidRPr="00D62E61">
              <w:t>DFV police reports (victim)</w:t>
            </w:r>
          </w:p>
        </w:tc>
        <w:tc>
          <w:tcPr>
            <w:tcW w:w="1984" w:type="dxa"/>
          </w:tcPr>
          <w:p w14:paraId="4AC8E57D" w14:textId="7954809C" w:rsidR="00AD5C16" w:rsidRPr="00D62E61" w:rsidRDefault="00AD5C16" w:rsidP="00D62E61">
            <w:pPr>
              <w:pStyle w:val="BodySans"/>
              <w:cnfStyle w:val="000000010000" w:firstRow="0" w:lastRow="0" w:firstColumn="0" w:lastColumn="0" w:oddVBand="0" w:evenVBand="0" w:oddHBand="0" w:evenHBand="1" w:firstRowFirstColumn="0" w:firstRowLastColumn="0" w:lastRowFirstColumn="0" w:lastRowLastColumn="0"/>
            </w:pPr>
            <w:r w:rsidRPr="00D62E61">
              <w:t>40</w:t>
            </w:r>
          </w:p>
        </w:tc>
        <w:tc>
          <w:tcPr>
            <w:tcW w:w="1984" w:type="dxa"/>
          </w:tcPr>
          <w:p w14:paraId="1818CE0B" w14:textId="03192794" w:rsidR="00AD5C16" w:rsidRPr="00D62E61" w:rsidRDefault="00AD5C16" w:rsidP="00D62E61">
            <w:pPr>
              <w:pStyle w:val="BodySans"/>
              <w:cnfStyle w:val="000000010000" w:firstRow="0" w:lastRow="0" w:firstColumn="0" w:lastColumn="0" w:oddVBand="0" w:evenVBand="0" w:oddHBand="0" w:evenHBand="1" w:firstRowFirstColumn="0" w:firstRowLastColumn="0" w:lastRowFirstColumn="0" w:lastRowLastColumn="0"/>
            </w:pPr>
            <w:r w:rsidRPr="00D62E61">
              <w:t>47</w:t>
            </w:r>
          </w:p>
        </w:tc>
        <w:tc>
          <w:tcPr>
            <w:tcW w:w="1984" w:type="dxa"/>
          </w:tcPr>
          <w:p w14:paraId="0AA5497A" w14:textId="3C3FA8E2" w:rsidR="00AD5C16" w:rsidRPr="00D62E61" w:rsidRDefault="00AD5C16" w:rsidP="00D62E61">
            <w:pPr>
              <w:pStyle w:val="BodySans"/>
              <w:cnfStyle w:val="000000010000" w:firstRow="0" w:lastRow="0" w:firstColumn="0" w:lastColumn="0" w:oddVBand="0" w:evenVBand="0" w:oddHBand="0" w:evenHBand="1" w:firstRowFirstColumn="0" w:firstRowLastColumn="0" w:lastRowFirstColumn="0" w:lastRowLastColumn="0"/>
            </w:pPr>
            <w:r w:rsidRPr="00D62E61">
              <w:t>34</w:t>
            </w:r>
          </w:p>
        </w:tc>
        <w:tc>
          <w:tcPr>
            <w:tcW w:w="1984" w:type="dxa"/>
          </w:tcPr>
          <w:p w14:paraId="020079C2" w14:textId="0C25F6F4" w:rsidR="00AD5C16" w:rsidRPr="00D62E61" w:rsidRDefault="00AD5C16" w:rsidP="00D62E61">
            <w:pPr>
              <w:pStyle w:val="BodySans"/>
              <w:cnfStyle w:val="000000010000" w:firstRow="0" w:lastRow="0" w:firstColumn="0" w:lastColumn="0" w:oddVBand="0" w:evenVBand="0" w:oddHBand="0" w:evenHBand="1" w:firstRowFirstColumn="0" w:firstRowLastColumn="0" w:lastRowFirstColumn="0" w:lastRowLastColumn="0"/>
            </w:pPr>
            <w:r w:rsidRPr="00D62E61">
              <w:t>47</w:t>
            </w:r>
          </w:p>
        </w:tc>
      </w:tr>
      <w:tr w:rsidR="00AD5C16" w14:paraId="20DA79A7" w14:textId="77777777" w:rsidTr="00CE6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DA96753" w14:textId="53A27F86" w:rsidR="00AD5C16" w:rsidRPr="00D62E61" w:rsidRDefault="00AD5C16" w:rsidP="00D62E61">
            <w:pPr>
              <w:pStyle w:val="BodySans"/>
            </w:pPr>
            <w:r w:rsidRPr="00D62E61">
              <w:t>MHAMB</w:t>
            </w:r>
          </w:p>
        </w:tc>
        <w:tc>
          <w:tcPr>
            <w:tcW w:w="1984" w:type="dxa"/>
          </w:tcPr>
          <w:p w14:paraId="46EDC387" w14:textId="695B0976"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10</w:t>
            </w:r>
          </w:p>
        </w:tc>
        <w:tc>
          <w:tcPr>
            <w:tcW w:w="1984" w:type="dxa"/>
          </w:tcPr>
          <w:p w14:paraId="2A72ECDC" w14:textId="255D0A19"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22</w:t>
            </w:r>
          </w:p>
        </w:tc>
        <w:tc>
          <w:tcPr>
            <w:tcW w:w="1984" w:type="dxa"/>
          </w:tcPr>
          <w:p w14:paraId="15F56D18" w14:textId="5E39FAD3"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26</w:t>
            </w:r>
          </w:p>
        </w:tc>
        <w:tc>
          <w:tcPr>
            <w:tcW w:w="1984" w:type="dxa"/>
          </w:tcPr>
          <w:p w14:paraId="0366FBE7" w14:textId="672267EC"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34</w:t>
            </w:r>
          </w:p>
        </w:tc>
      </w:tr>
      <w:tr w:rsidR="00AD5C16" w14:paraId="463BCE4D" w14:textId="77777777" w:rsidTr="00CE6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879C000" w14:textId="4561F670" w:rsidR="00AD5C16" w:rsidRPr="00D62E61" w:rsidRDefault="00AD5C16" w:rsidP="00D62E61">
            <w:pPr>
              <w:pStyle w:val="BodySans"/>
            </w:pPr>
            <w:r w:rsidRPr="00D62E61">
              <w:t>APDC mental health</w:t>
            </w:r>
          </w:p>
        </w:tc>
        <w:tc>
          <w:tcPr>
            <w:tcW w:w="1984" w:type="dxa"/>
          </w:tcPr>
          <w:p w14:paraId="71C7B303" w14:textId="04142DA9" w:rsidR="00AD5C16" w:rsidRPr="00D62E61" w:rsidRDefault="00AD5C16" w:rsidP="00D62E61">
            <w:pPr>
              <w:pStyle w:val="BodySans"/>
              <w:cnfStyle w:val="000000010000" w:firstRow="0" w:lastRow="0" w:firstColumn="0" w:lastColumn="0" w:oddVBand="0" w:evenVBand="0" w:oddHBand="0" w:evenHBand="1" w:firstRowFirstColumn="0" w:firstRowLastColumn="0" w:lastRowFirstColumn="0" w:lastRowLastColumn="0"/>
            </w:pPr>
            <w:r w:rsidRPr="00D62E61">
              <w:t>16</w:t>
            </w:r>
          </w:p>
        </w:tc>
        <w:tc>
          <w:tcPr>
            <w:tcW w:w="1984" w:type="dxa"/>
          </w:tcPr>
          <w:p w14:paraId="152B7367" w14:textId="5135E267" w:rsidR="00AD5C16" w:rsidRPr="00D62E61" w:rsidRDefault="00AD5C16" w:rsidP="00D62E61">
            <w:pPr>
              <w:pStyle w:val="BodySans"/>
              <w:cnfStyle w:val="000000010000" w:firstRow="0" w:lastRow="0" w:firstColumn="0" w:lastColumn="0" w:oddVBand="0" w:evenVBand="0" w:oddHBand="0" w:evenHBand="1" w:firstRowFirstColumn="0" w:firstRowLastColumn="0" w:lastRowFirstColumn="0" w:lastRowLastColumn="0"/>
            </w:pPr>
            <w:r w:rsidRPr="00D62E61">
              <w:t>31</w:t>
            </w:r>
          </w:p>
        </w:tc>
        <w:tc>
          <w:tcPr>
            <w:tcW w:w="1984" w:type="dxa"/>
          </w:tcPr>
          <w:p w14:paraId="3EF6ECE4" w14:textId="4EA9A02D" w:rsidR="00AD5C16" w:rsidRPr="00D62E61" w:rsidRDefault="00AD5C16" w:rsidP="00D62E61">
            <w:pPr>
              <w:pStyle w:val="BodySans"/>
              <w:cnfStyle w:val="000000010000" w:firstRow="0" w:lastRow="0" w:firstColumn="0" w:lastColumn="0" w:oddVBand="0" w:evenVBand="0" w:oddHBand="0" w:evenHBand="1" w:firstRowFirstColumn="0" w:firstRowLastColumn="0" w:lastRowFirstColumn="0" w:lastRowLastColumn="0"/>
            </w:pPr>
            <w:r w:rsidRPr="00D62E61">
              <w:t>25</w:t>
            </w:r>
          </w:p>
        </w:tc>
        <w:tc>
          <w:tcPr>
            <w:tcW w:w="1984" w:type="dxa"/>
          </w:tcPr>
          <w:p w14:paraId="21EAC2B1" w14:textId="39446D46" w:rsidR="00AD5C16" w:rsidRPr="00D62E61" w:rsidRDefault="00AD5C16" w:rsidP="00D62E61">
            <w:pPr>
              <w:pStyle w:val="BodySans"/>
              <w:cnfStyle w:val="000000010000" w:firstRow="0" w:lastRow="0" w:firstColumn="0" w:lastColumn="0" w:oddVBand="0" w:evenVBand="0" w:oddHBand="0" w:evenHBand="1" w:firstRowFirstColumn="0" w:firstRowLastColumn="0" w:lastRowFirstColumn="0" w:lastRowLastColumn="0"/>
            </w:pPr>
            <w:r w:rsidRPr="00D62E61">
              <w:t>37</w:t>
            </w:r>
          </w:p>
        </w:tc>
      </w:tr>
      <w:tr w:rsidR="00AD5C16" w14:paraId="3A1A4D8F" w14:textId="77777777" w:rsidTr="00CE6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F663D2E" w14:textId="23FCC0E9" w:rsidR="00AD5C16" w:rsidRPr="00D62E61" w:rsidRDefault="00AD5C16" w:rsidP="00D62E61">
            <w:pPr>
              <w:pStyle w:val="BodySans"/>
            </w:pPr>
            <w:r w:rsidRPr="00D62E61">
              <w:t>APDC alcohol/drugs</w:t>
            </w:r>
          </w:p>
        </w:tc>
        <w:tc>
          <w:tcPr>
            <w:tcW w:w="1984" w:type="dxa"/>
          </w:tcPr>
          <w:p w14:paraId="10460C6B" w14:textId="681B085F"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7</w:t>
            </w:r>
          </w:p>
        </w:tc>
        <w:tc>
          <w:tcPr>
            <w:tcW w:w="1984" w:type="dxa"/>
          </w:tcPr>
          <w:p w14:paraId="6A571E57" w14:textId="701D1AAC"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13</w:t>
            </w:r>
          </w:p>
        </w:tc>
        <w:tc>
          <w:tcPr>
            <w:tcW w:w="1984" w:type="dxa"/>
          </w:tcPr>
          <w:p w14:paraId="2B33D5A9" w14:textId="2795237C"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21</w:t>
            </w:r>
          </w:p>
        </w:tc>
        <w:tc>
          <w:tcPr>
            <w:tcW w:w="1984" w:type="dxa"/>
          </w:tcPr>
          <w:p w14:paraId="7E987701" w14:textId="1F7F0E36" w:rsidR="00AD5C16" w:rsidRPr="00D62E61" w:rsidRDefault="00AD5C16" w:rsidP="00D62E61">
            <w:pPr>
              <w:pStyle w:val="BodySans"/>
              <w:cnfStyle w:val="000000100000" w:firstRow="0" w:lastRow="0" w:firstColumn="0" w:lastColumn="0" w:oddVBand="0" w:evenVBand="0" w:oddHBand="1" w:evenHBand="0" w:firstRowFirstColumn="0" w:firstRowLastColumn="0" w:lastRowFirstColumn="0" w:lastRowLastColumn="0"/>
            </w:pPr>
            <w:r w:rsidRPr="00D62E61">
              <w:t>27</w:t>
            </w:r>
          </w:p>
        </w:tc>
      </w:tr>
    </w:tbl>
    <w:p w14:paraId="7122EFBB" w14:textId="5B4E31EC" w:rsidR="004020C5" w:rsidRPr="004020C5" w:rsidRDefault="004860E7" w:rsidP="00353C54">
      <w:pPr>
        <w:pStyle w:val="BodySerif"/>
        <w:spacing w:before="600"/>
      </w:pPr>
      <w:r w:rsidRPr="004020C5">
        <w:lastRenderedPageBreak/>
        <w:t>To better capture the extent to which the number of issues flagged in child concern reports was associated with parents’ interactions with external services, Table 2 presents the</w:t>
      </w:r>
      <w:r>
        <w:t xml:space="preserve"> </w:t>
      </w:r>
      <w:r w:rsidR="004020C5" w:rsidRPr="004020C5">
        <w:t>average number of interactions mothers had with external services prior to the first Helpline report based on the combination of issues noted in child concern reports. In general, with increasing co-occurring risk factors, there were some increases in interactions with external services, although there is wide variability as indicated by the standard deviations. In general, for mothers who had interactions with courts, police, mental health services and hospitals prior to their children’s first Helpline report, the average number of</w:t>
      </w:r>
      <w:r w:rsidR="002425C7">
        <w:t> </w:t>
      </w:r>
      <w:r w:rsidR="004020C5" w:rsidRPr="004020C5">
        <w:t>interactions was about one or two times, with the exception of mental health service usage. Mothers of children with DFV-only reports interacted with mental health services an average of 8.3 times (</w:t>
      </w:r>
      <w:r w:rsidR="004020C5" w:rsidRPr="004020C5">
        <w:rPr>
          <w:i/>
          <w:iCs/>
        </w:rPr>
        <w:t>SD</w:t>
      </w:r>
      <w:r w:rsidR="004020C5" w:rsidRPr="004020C5">
        <w:t> = 42.3) and this increased for</w:t>
      </w:r>
      <w:r>
        <w:t xml:space="preserve"> </w:t>
      </w:r>
      <w:r w:rsidR="004020C5" w:rsidRPr="004020C5">
        <w:t>children with DFV-AOD/MH reports (</w:t>
      </w:r>
      <w:r w:rsidR="004020C5" w:rsidRPr="004020C5">
        <w:rPr>
          <w:i/>
          <w:iCs/>
        </w:rPr>
        <w:t>M</w:t>
      </w:r>
      <w:r w:rsidR="004020C5" w:rsidRPr="004020C5">
        <w:t> = 13.0, </w:t>
      </w:r>
      <w:r w:rsidR="004020C5" w:rsidRPr="004020C5">
        <w:rPr>
          <w:i/>
          <w:iCs/>
        </w:rPr>
        <w:t>SD</w:t>
      </w:r>
      <w:r w:rsidR="004020C5" w:rsidRPr="004020C5">
        <w:t> = 67.9) and DFV-AOD-MH reports (</w:t>
      </w:r>
      <w:r w:rsidR="004020C5" w:rsidRPr="004020C5">
        <w:rPr>
          <w:i/>
          <w:iCs/>
        </w:rPr>
        <w:t>M</w:t>
      </w:r>
      <w:r w:rsidR="004020C5" w:rsidRPr="004020C5">
        <w:t> = 10.0, </w:t>
      </w:r>
      <w:r w:rsidR="004020C5" w:rsidRPr="004020C5">
        <w:rPr>
          <w:i/>
          <w:iCs/>
        </w:rPr>
        <w:t>SD</w:t>
      </w:r>
      <w:r w:rsidR="004020C5" w:rsidRPr="004020C5">
        <w:t> = 40.4).</w:t>
      </w:r>
    </w:p>
    <w:p w14:paraId="6453DD7B" w14:textId="61DE11FC" w:rsidR="004020C5" w:rsidRPr="004020C5" w:rsidRDefault="004020C5" w:rsidP="00D157E6">
      <w:pPr>
        <w:pStyle w:val="BodySerif"/>
        <w:keepLines/>
      </w:pPr>
      <w:r w:rsidRPr="004020C5">
        <w:t>Similarly, Table 3 presents the average number of interactions “other” parents had with external services prior to the children’s first Helpline reports based on the combination of issues noted in child concern reports. The average number of interactions “other” parents had with courts, police, mental health services and hospitals prior to the children’s first Helpline report was comparable to that of mothers. However, there were substantial differences in use of mental health services, with “other” parents using these services about 20 times before first Helpline report.</w:t>
      </w:r>
    </w:p>
    <w:p w14:paraId="00649DF7" w14:textId="7606DB9E" w:rsidR="004020C5" w:rsidRPr="004020C5" w:rsidRDefault="004020C5" w:rsidP="004020C5">
      <w:pPr>
        <w:pStyle w:val="FigureTableHeading"/>
      </w:pPr>
      <w:r w:rsidRPr="00F41E6C">
        <w:rPr>
          <w:rStyle w:val="Strong"/>
        </w:rPr>
        <w:t>Table 2:</w:t>
      </w:r>
      <w:r w:rsidRPr="004020C5">
        <w:t xml:space="preserve"> Mean (</w:t>
      </w:r>
      <w:r w:rsidRPr="004020C5">
        <w:rPr>
          <w:i/>
          <w:iCs/>
        </w:rPr>
        <w:t>SD) </w:t>
      </w:r>
      <w:r w:rsidRPr="004020C5">
        <w:t>number of mothers’ interactions with external services prior to the first Helpline report based on number of</w:t>
      </w:r>
      <w:r w:rsidR="00F41E6C">
        <w:t> </w:t>
      </w:r>
      <w:r w:rsidRPr="004020C5">
        <w:t>risk factors identified in child concern reports</w:t>
      </w:r>
    </w:p>
    <w:tbl>
      <w:tblPr>
        <w:tblStyle w:val="ANROWSTable"/>
        <w:tblW w:w="10206" w:type="dxa"/>
        <w:tblLook w:val="04A0" w:firstRow="1" w:lastRow="0" w:firstColumn="1" w:lastColumn="0" w:noHBand="0" w:noVBand="1"/>
      </w:tblPr>
      <w:tblGrid>
        <w:gridCol w:w="3402"/>
        <w:gridCol w:w="2268"/>
        <w:gridCol w:w="2268"/>
        <w:gridCol w:w="2268"/>
      </w:tblGrid>
      <w:tr w:rsidR="004020C5" w:rsidRPr="00C35BE6" w14:paraId="72988A2C" w14:textId="77777777" w:rsidTr="00C35B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hideMark/>
          </w:tcPr>
          <w:p w14:paraId="2F0CBDE3" w14:textId="77777777" w:rsidR="004020C5" w:rsidRPr="00C35BE6" w:rsidRDefault="004020C5" w:rsidP="00C35BE6">
            <w:pPr>
              <w:pStyle w:val="BodySans"/>
            </w:pPr>
          </w:p>
        </w:tc>
        <w:tc>
          <w:tcPr>
            <w:tcW w:w="2268" w:type="dxa"/>
            <w:hideMark/>
          </w:tcPr>
          <w:p w14:paraId="46C2D343" w14:textId="4B70E174"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DFV-only</w:t>
            </w:r>
            <w:r w:rsidR="00CE6ECC" w:rsidRPr="00C35BE6">
              <w:br/>
            </w:r>
            <w:r w:rsidRPr="00C35BE6">
              <w:t xml:space="preserve"> (1 risk factor)</w:t>
            </w:r>
          </w:p>
        </w:tc>
        <w:tc>
          <w:tcPr>
            <w:tcW w:w="2268" w:type="dxa"/>
            <w:hideMark/>
          </w:tcPr>
          <w:p w14:paraId="2B87E38A" w14:textId="63F2583D"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DFV-AOD/MH</w:t>
            </w:r>
            <w:r w:rsidR="00CE6ECC" w:rsidRPr="00C35BE6">
              <w:br/>
            </w:r>
            <w:r w:rsidRPr="00C35BE6">
              <w:t xml:space="preserve"> (2 risk factors)</w:t>
            </w:r>
          </w:p>
        </w:tc>
        <w:tc>
          <w:tcPr>
            <w:tcW w:w="2268" w:type="dxa"/>
            <w:hideMark/>
          </w:tcPr>
          <w:p w14:paraId="48E41F7B" w14:textId="46DF976A"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DFV-AOD-MH</w:t>
            </w:r>
            <w:r w:rsidR="00CE6ECC" w:rsidRPr="00C35BE6">
              <w:br/>
            </w:r>
            <w:r w:rsidRPr="00C35BE6">
              <w:t xml:space="preserve"> (3 risk factors)</w:t>
            </w:r>
          </w:p>
        </w:tc>
      </w:tr>
      <w:tr w:rsidR="004020C5" w:rsidRPr="00C35BE6" w14:paraId="3EEED3BE" w14:textId="77777777" w:rsidTr="00F66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0F9A7AD" w14:textId="1DB010FE" w:rsidR="004020C5" w:rsidRPr="00C35BE6" w:rsidRDefault="004020C5" w:rsidP="00C35BE6">
            <w:pPr>
              <w:pStyle w:val="BodySans"/>
            </w:pPr>
            <w:r w:rsidRPr="00C35BE6">
              <w:t>Finalised charge – DFV</w:t>
            </w:r>
          </w:p>
        </w:tc>
        <w:tc>
          <w:tcPr>
            <w:tcW w:w="2268" w:type="dxa"/>
            <w:hideMark/>
          </w:tcPr>
          <w:p w14:paraId="64A2950D" w14:textId="0688AFED"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1.28 (0.7)</w:t>
            </w:r>
          </w:p>
        </w:tc>
        <w:tc>
          <w:tcPr>
            <w:tcW w:w="2268" w:type="dxa"/>
            <w:hideMark/>
          </w:tcPr>
          <w:p w14:paraId="4C3D0191" w14:textId="44D1CDCC"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1.48 (1.0)</w:t>
            </w:r>
          </w:p>
        </w:tc>
        <w:tc>
          <w:tcPr>
            <w:tcW w:w="2268" w:type="dxa"/>
            <w:hideMark/>
          </w:tcPr>
          <w:p w14:paraId="5B71FC74" w14:textId="3FD0D583"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1.81 (1.4)</w:t>
            </w:r>
          </w:p>
        </w:tc>
      </w:tr>
      <w:tr w:rsidR="004020C5" w:rsidRPr="00C35BE6" w14:paraId="66254877" w14:textId="77777777" w:rsidTr="00F668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B3E058D" w14:textId="499BEA97" w:rsidR="004020C5" w:rsidRPr="00C35BE6" w:rsidRDefault="004020C5" w:rsidP="00C35BE6">
            <w:pPr>
              <w:pStyle w:val="BodySans"/>
            </w:pPr>
            <w:r w:rsidRPr="00C35BE6">
              <w:t>DFV police reports (victim)</w:t>
            </w:r>
          </w:p>
        </w:tc>
        <w:tc>
          <w:tcPr>
            <w:tcW w:w="2268" w:type="dxa"/>
            <w:hideMark/>
          </w:tcPr>
          <w:p w14:paraId="4567D0C8" w14:textId="7D838130"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1.41 (1.0)</w:t>
            </w:r>
          </w:p>
        </w:tc>
        <w:tc>
          <w:tcPr>
            <w:tcW w:w="2268" w:type="dxa"/>
            <w:hideMark/>
          </w:tcPr>
          <w:p w14:paraId="3AC16B7D" w14:textId="39000294"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1.86 (1.6)</w:t>
            </w:r>
          </w:p>
        </w:tc>
        <w:tc>
          <w:tcPr>
            <w:tcW w:w="2268" w:type="dxa"/>
            <w:hideMark/>
          </w:tcPr>
          <w:p w14:paraId="2945644B" w14:textId="506FB038"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1.87 (1.5)</w:t>
            </w:r>
          </w:p>
        </w:tc>
      </w:tr>
      <w:tr w:rsidR="004020C5" w:rsidRPr="00C35BE6" w14:paraId="1F114157" w14:textId="77777777" w:rsidTr="00F66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F59F86A" w14:textId="67C846FB" w:rsidR="004020C5" w:rsidRPr="00C35BE6" w:rsidRDefault="004020C5" w:rsidP="00C35BE6">
            <w:pPr>
              <w:pStyle w:val="BodySans"/>
            </w:pPr>
            <w:r w:rsidRPr="00C35BE6">
              <w:t>MHAMB</w:t>
            </w:r>
          </w:p>
        </w:tc>
        <w:tc>
          <w:tcPr>
            <w:tcW w:w="2268" w:type="dxa"/>
            <w:hideMark/>
          </w:tcPr>
          <w:p w14:paraId="799BC5A8" w14:textId="095807F1"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8.26 (42.3)</w:t>
            </w:r>
          </w:p>
        </w:tc>
        <w:tc>
          <w:tcPr>
            <w:tcW w:w="2268" w:type="dxa"/>
            <w:hideMark/>
          </w:tcPr>
          <w:p w14:paraId="67FAC55A" w14:textId="11356C97"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12.96 (67.9)</w:t>
            </w:r>
          </w:p>
        </w:tc>
        <w:tc>
          <w:tcPr>
            <w:tcW w:w="2268" w:type="dxa"/>
            <w:hideMark/>
          </w:tcPr>
          <w:p w14:paraId="1A71E956" w14:textId="49938DA2"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9.98 (40.4)</w:t>
            </w:r>
          </w:p>
        </w:tc>
      </w:tr>
      <w:tr w:rsidR="004020C5" w:rsidRPr="00C35BE6" w14:paraId="4D30F855" w14:textId="77777777" w:rsidTr="00F668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40469D0" w14:textId="3CAD6335" w:rsidR="004020C5" w:rsidRPr="00C35BE6" w:rsidRDefault="004020C5" w:rsidP="00C35BE6">
            <w:pPr>
              <w:pStyle w:val="BodySans"/>
            </w:pPr>
            <w:r w:rsidRPr="00C35BE6">
              <w:t>APDC mental health</w:t>
            </w:r>
          </w:p>
        </w:tc>
        <w:tc>
          <w:tcPr>
            <w:tcW w:w="2268" w:type="dxa"/>
            <w:hideMark/>
          </w:tcPr>
          <w:p w14:paraId="685C4E24" w14:textId="62C3BC8C"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2.25 (7.0)</w:t>
            </w:r>
          </w:p>
        </w:tc>
        <w:tc>
          <w:tcPr>
            <w:tcW w:w="2268" w:type="dxa"/>
            <w:hideMark/>
          </w:tcPr>
          <w:p w14:paraId="382EA567" w14:textId="0A252DF7"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2.73 (8.8)</w:t>
            </w:r>
          </w:p>
        </w:tc>
        <w:tc>
          <w:tcPr>
            <w:tcW w:w="2268" w:type="dxa"/>
            <w:hideMark/>
          </w:tcPr>
          <w:p w14:paraId="708C3097" w14:textId="4F610DCF"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2.61 (3.2)</w:t>
            </w:r>
          </w:p>
        </w:tc>
      </w:tr>
      <w:tr w:rsidR="004020C5" w:rsidRPr="00C35BE6" w14:paraId="76505C22" w14:textId="77777777" w:rsidTr="00F66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AB3A8DF" w14:textId="595B9710" w:rsidR="004020C5" w:rsidRPr="00C35BE6" w:rsidRDefault="004020C5" w:rsidP="00C35BE6">
            <w:pPr>
              <w:pStyle w:val="BodySans"/>
            </w:pPr>
            <w:r w:rsidRPr="00C35BE6">
              <w:t>APDC alcohol/drugs</w:t>
            </w:r>
          </w:p>
        </w:tc>
        <w:tc>
          <w:tcPr>
            <w:tcW w:w="2268" w:type="dxa"/>
            <w:hideMark/>
          </w:tcPr>
          <w:p w14:paraId="0962649B" w14:textId="29BF2AFD"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1.36 (1.5)</w:t>
            </w:r>
          </w:p>
        </w:tc>
        <w:tc>
          <w:tcPr>
            <w:tcW w:w="2268" w:type="dxa"/>
            <w:hideMark/>
          </w:tcPr>
          <w:p w14:paraId="1EBA4FE0" w14:textId="25E0EE26"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1.70 (2.0)</w:t>
            </w:r>
          </w:p>
        </w:tc>
        <w:tc>
          <w:tcPr>
            <w:tcW w:w="2268" w:type="dxa"/>
            <w:hideMark/>
          </w:tcPr>
          <w:p w14:paraId="6C96F560" w14:textId="411CF129"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1.98 (2.0)</w:t>
            </w:r>
          </w:p>
        </w:tc>
      </w:tr>
    </w:tbl>
    <w:p w14:paraId="03EB72BA" w14:textId="41B701E6" w:rsidR="004020C5" w:rsidRPr="004020C5" w:rsidRDefault="004020C5" w:rsidP="004020C5">
      <w:pPr>
        <w:pStyle w:val="FigureTableHeading"/>
      </w:pPr>
      <w:r w:rsidRPr="00F41E6C">
        <w:rPr>
          <w:rStyle w:val="Strong"/>
        </w:rPr>
        <w:t>Table 3:</w:t>
      </w:r>
      <w:r w:rsidRPr="004020C5">
        <w:t xml:space="preserve"> Mean (</w:t>
      </w:r>
      <w:r w:rsidRPr="004020C5">
        <w:rPr>
          <w:i/>
          <w:iCs/>
        </w:rPr>
        <w:t>SD</w:t>
      </w:r>
      <w:r w:rsidRPr="004020C5">
        <w:t>) number of other parents’ interactions with external services based on number of risk factors identified in</w:t>
      </w:r>
      <w:r w:rsidR="00F41E6C">
        <w:t> </w:t>
      </w:r>
      <w:r w:rsidRPr="004020C5">
        <w:t>child concern reports</w:t>
      </w:r>
    </w:p>
    <w:tbl>
      <w:tblPr>
        <w:tblStyle w:val="ANROWSTable"/>
        <w:tblW w:w="10206" w:type="dxa"/>
        <w:tblLook w:val="04A0" w:firstRow="1" w:lastRow="0" w:firstColumn="1" w:lastColumn="0" w:noHBand="0" w:noVBand="1"/>
      </w:tblPr>
      <w:tblGrid>
        <w:gridCol w:w="3408"/>
        <w:gridCol w:w="2271"/>
        <w:gridCol w:w="2271"/>
        <w:gridCol w:w="2256"/>
      </w:tblGrid>
      <w:tr w:rsidR="00F66859" w:rsidRPr="004020C5" w14:paraId="0FB1D224" w14:textId="77777777" w:rsidTr="00C35B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7" w:type="dxa"/>
            <w:hideMark/>
          </w:tcPr>
          <w:p w14:paraId="7A9CEC1C" w14:textId="77777777" w:rsidR="004020C5" w:rsidRPr="00C35BE6" w:rsidRDefault="004020C5" w:rsidP="00C35BE6">
            <w:pPr>
              <w:pStyle w:val="BodySans"/>
            </w:pPr>
          </w:p>
        </w:tc>
        <w:tc>
          <w:tcPr>
            <w:tcW w:w="2238" w:type="dxa"/>
            <w:hideMark/>
          </w:tcPr>
          <w:p w14:paraId="2FB39C02" w14:textId="4B0CE7DB"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DFV-only</w:t>
            </w:r>
            <w:r w:rsidR="00CE6ECC" w:rsidRPr="00C35BE6">
              <w:br/>
            </w:r>
            <w:r w:rsidRPr="00C35BE6">
              <w:t xml:space="preserve"> (1 risk factor)</w:t>
            </w:r>
          </w:p>
        </w:tc>
        <w:tc>
          <w:tcPr>
            <w:tcW w:w="2238" w:type="dxa"/>
            <w:hideMark/>
          </w:tcPr>
          <w:p w14:paraId="51D377F9" w14:textId="11C11633"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DFV-AOD/MH</w:t>
            </w:r>
            <w:r w:rsidR="00CE6ECC" w:rsidRPr="00C35BE6">
              <w:br/>
            </w:r>
            <w:r w:rsidRPr="00C35BE6">
              <w:t xml:space="preserve"> (2 risk factors)</w:t>
            </w:r>
          </w:p>
        </w:tc>
        <w:tc>
          <w:tcPr>
            <w:tcW w:w="2223" w:type="dxa"/>
            <w:hideMark/>
          </w:tcPr>
          <w:p w14:paraId="14F82BB7" w14:textId="601C81BB"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DFV-AOD-MH</w:t>
            </w:r>
            <w:r w:rsidR="00CE6ECC" w:rsidRPr="00C35BE6">
              <w:br/>
            </w:r>
            <w:r w:rsidRPr="00C35BE6">
              <w:t xml:space="preserve"> (3 risk factors)</w:t>
            </w:r>
          </w:p>
        </w:tc>
      </w:tr>
      <w:tr w:rsidR="00F66859" w:rsidRPr="004020C5" w14:paraId="52EE91DE" w14:textId="77777777" w:rsidTr="00F66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hideMark/>
          </w:tcPr>
          <w:p w14:paraId="33D76D92" w14:textId="5407DD37" w:rsidR="004020C5" w:rsidRPr="00C35BE6" w:rsidRDefault="004020C5" w:rsidP="00C35BE6">
            <w:pPr>
              <w:pStyle w:val="BodySans"/>
            </w:pPr>
            <w:r w:rsidRPr="00C35BE6">
              <w:t>Finalised charge – DFV</w:t>
            </w:r>
          </w:p>
        </w:tc>
        <w:tc>
          <w:tcPr>
            <w:tcW w:w="2238" w:type="dxa"/>
            <w:hideMark/>
          </w:tcPr>
          <w:p w14:paraId="6A93403F" w14:textId="4CBE67F0"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1.45 (0.9)</w:t>
            </w:r>
          </w:p>
        </w:tc>
        <w:tc>
          <w:tcPr>
            <w:tcW w:w="2238" w:type="dxa"/>
            <w:hideMark/>
          </w:tcPr>
          <w:p w14:paraId="2E14924B" w14:textId="3FA63DAD"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1.62 (1.1)</w:t>
            </w:r>
          </w:p>
        </w:tc>
        <w:tc>
          <w:tcPr>
            <w:tcW w:w="2223" w:type="dxa"/>
            <w:hideMark/>
          </w:tcPr>
          <w:p w14:paraId="663D262E" w14:textId="6798E75E"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1.62 (1.0)</w:t>
            </w:r>
          </w:p>
        </w:tc>
      </w:tr>
      <w:tr w:rsidR="00F66859" w:rsidRPr="004020C5" w14:paraId="3C9E2DE6" w14:textId="77777777" w:rsidTr="00F668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hideMark/>
          </w:tcPr>
          <w:p w14:paraId="255EE5B7" w14:textId="6FF0F2F6" w:rsidR="004020C5" w:rsidRPr="00C35BE6" w:rsidRDefault="004020C5" w:rsidP="00C35BE6">
            <w:pPr>
              <w:pStyle w:val="BodySans"/>
            </w:pPr>
            <w:r w:rsidRPr="00C35BE6">
              <w:t>DFV police reports (victim)</w:t>
            </w:r>
          </w:p>
        </w:tc>
        <w:tc>
          <w:tcPr>
            <w:tcW w:w="2238" w:type="dxa"/>
            <w:hideMark/>
          </w:tcPr>
          <w:p w14:paraId="449F5ED1" w14:textId="09A5C434"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1.16 (0.5)</w:t>
            </w:r>
          </w:p>
        </w:tc>
        <w:tc>
          <w:tcPr>
            <w:tcW w:w="2238" w:type="dxa"/>
            <w:hideMark/>
          </w:tcPr>
          <w:p w14:paraId="310560C0" w14:textId="3764A3AE"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1.26 (0.7)</w:t>
            </w:r>
          </w:p>
        </w:tc>
        <w:tc>
          <w:tcPr>
            <w:tcW w:w="2223" w:type="dxa"/>
            <w:hideMark/>
          </w:tcPr>
          <w:p w14:paraId="365D8403" w14:textId="2AE82B2B"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1.40 (0.9)</w:t>
            </w:r>
          </w:p>
        </w:tc>
      </w:tr>
      <w:tr w:rsidR="00F66859" w:rsidRPr="004020C5" w14:paraId="6DE036D8" w14:textId="77777777" w:rsidTr="00F66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hideMark/>
          </w:tcPr>
          <w:p w14:paraId="1B539CFC" w14:textId="27CCEC1C" w:rsidR="004020C5" w:rsidRPr="00C35BE6" w:rsidRDefault="004020C5" w:rsidP="00C35BE6">
            <w:pPr>
              <w:pStyle w:val="BodySans"/>
            </w:pPr>
            <w:r w:rsidRPr="00C35BE6">
              <w:t>MHAMB</w:t>
            </w:r>
          </w:p>
        </w:tc>
        <w:tc>
          <w:tcPr>
            <w:tcW w:w="2238" w:type="dxa"/>
            <w:hideMark/>
          </w:tcPr>
          <w:p w14:paraId="71BA2D83" w14:textId="7B8ABFB1"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21.14 (113.0)</w:t>
            </w:r>
          </w:p>
        </w:tc>
        <w:tc>
          <w:tcPr>
            <w:tcW w:w="2238" w:type="dxa"/>
            <w:hideMark/>
          </w:tcPr>
          <w:p w14:paraId="0E70DCC0" w14:textId="14E8DB1F"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20.56 (104.8)</w:t>
            </w:r>
          </w:p>
        </w:tc>
        <w:tc>
          <w:tcPr>
            <w:tcW w:w="2223" w:type="dxa"/>
            <w:hideMark/>
          </w:tcPr>
          <w:p w14:paraId="1AD1636E" w14:textId="442AE471"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19.83 (89.7)</w:t>
            </w:r>
          </w:p>
        </w:tc>
      </w:tr>
      <w:tr w:rsidR="00F66859" w:rsidRPr="004020C5" w14:paraId="35015768" w14:textId="77777777" w:rsidTr="00F668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hideMark/>
          </w:tcPr>
          <w:p w14:paraId="4DA4EC09" w14:textId="3C8A9506" w:rsidR="004020C5" w:rsidRPr="00C35BE6" w:rsidRDefault="004020C5" w:rsidP="00C35BE6">
            <w:pPr>
              <w:pStyle w:val="BodySans"/>
            </w:pPr>
            <w:r w:rsidRPr="00C35BE6">
              <w:t>APDC mental health</w:t>
            </w:r>
          </w:p>
        </w:tc>
        <w:tc>
          <w:tcPr>
            <w:tcW w:w="2238" w:type="dxa"/>
            <w:hideMark/>
          </w:tcPr>
          <w:p w14:paraId="4B0000F1" w14:textId="2B83D615"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2.23 (5.0)</w:t>
            </w:r>
          </w:p>
        </w:tc>
        <w:tc>
          <w:tcPr>
            <w:tcW w:w="2238" w:type="dxa"/>
            <w:hideMark/>
          </w:tcPr>
          <w:p w14:paraId="5A30F810" w14:textId="7BB8A15E"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2.45 (5.6)</w:t>
            </w:r>
          </w:p>
        </w:tc>
        <w:tc>
          <w:tcPr>
            <w:tcW w:w="2223" w:type="dxa"/>
            <w:hideMark/>
          </w:tcPr>
          <w:p w14:paraId="23A967D7" w14:textId="751386C3"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2.78 (6.9)</w:t>
            </w:r>
          </w:p>
        </w:tc>
      </w:tr>
      <w:tr w:rsidR="00F66859" w:rsidRPr="004020C5" w14:paraId="35D968EB" w14:textId="77777777" w:rsidTr="00F66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hideMark/>
          </w:tcPr>
          <w:p w14:paraId="0F830262" w14:textId="0925CB2C" w:rsidR="004020C5" w:rsidRPr="00C35BE6" w:rsidRDefault="004020C5" w:rsidP="00C35BE6">
            <w:pPr>
              <w:pStyle w:val="BodySans"/>
            </w:pPr>
            <w:r w:rsidRPr="00C35BE6">
              <w:t>APDC alcohol/drugs</w:t>
            </w:r>
          </w:p>
        </w:tc>
        <w:tc>
          <w:tcPr>
            <w:tcW w:w="2238" w:type="dxa"/>
            <w:hideMark/>
          </w:tcPr>
          <w:p w14:paraId="2FFF15A9" w14:textId="09F012DB"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1.55 (2.0)</w:t>
            </w:r>
          </w:p>
        </w:tc>
        <w:tc>
          <w:tcPr>
            <w:tcW w:w="2238" w:type="dxa"/>
            <w:hideMark/>
          </w:tcPr>
          <w:p w14:paraId="67EEC6BD" w14:textId="5A10140E"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1.74 (2.3)</w:t>
            </w:r>
          </w:p>
        </w:tc>
        <w:tc>
          <w:tcPr>
            <w:tcW w:w="2223" w:type="dxa"/>
            <w:hideMark/>
          </w:tcPr>
          <w:p w14:paraId="4E4B3267" w14:textId="35DE3547"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1.93 (2.2)</w:t>
            </w:r>
          </w:p>
        </w:tc>
      </w:tr>
    </w:tbl>
    <w:p w14:paraId="709ACE7E" w14:textId="56BEEF9D" w:rsidR="004020C5" w:rsidRPr="004020C5" w:rsidRDefault="004020C5" w:rsidP="004020C5">
      <w:pPr>
        <w:pStyle w:val="H3"/>
      </w:pPr>
      <w:bookmarkStart w:id="28" w:name="_Toc191286654"/>
      <w:r w:rsidRPr="004020C5">
        <w:t>What was the child and family service uptake of these families with co</w:t>
      </w:r>
      <w:r w:rsidR="00F41E6C">
        <w:noBreakHyphen/>
      </w:r>
      <w:r w:rsidRPr="004020C5">
        <w:t>occurring risk factors?</w:t>
      </w:r>
      <w:bookmarkEnd w:id="28"/>
    </w:p>
    <w:p w14:paraId="7DF0B0C7" w14:textId="1E84F8D1" w:rsidR="004020C5" w:rsidRPr="004020C5" w:rsidRDefault="004020C5" w:rsidP="004020C5">
      <w:pPr>
        <w:pStyle w:val="BodySerif"/>
      </w:pPr>
      <w:r w:rsidRPr="004020C5">
        <w:t xml:space="preserve">For the overall sample, uptake of the Brighter Futures program was quite low, with just over 21,755 (10%) mothers and 9,921 “other” parents (4%) engaged in the program. There is an observed interaction between families having one </w:t>
      </w:r>
      <w:r w:rsidRPr="004020C5">
        <w:lastRenderedPageBreak/>
        <w:t>or</w:t>
      </w:r>
      <w:r w:rsidR="00F41E6C">
        <w:t> </w:t>
      </w:r>
      <w:r w:rsidRPr="004020C5">
        <w:t>more risk factors related to DFV, AOD use, MH issues and parents’ participation in Brighter Futures. As</w:t>
      </w:r>
      <w:r w:rsidR="00F41E6C">
        <w:t> </w:t>
      </w:r>
      <w:r w:rsidRPr="004020C5">
        <w:t>the Brighter</w:t>
      </w:r>
      <w:r w:rsidR="00F41E6C">
        <w:t> </w:t>
      </w:r>
      <w:r w:rsidRPr="004020C5">
        <w:t>Futures program targets families with a child under 9 years at risk of entering the child protection system, Figure 6 depicts the percentage of children aged under 9 years at first Helpline report whose parent engaged with the Brighter Futures program before their children’s first report was recorded. In general, engagement with the program was low: 4</w:t>
      </w:r>
      <w:r w:rsidR="00F41E6C">
        <w:t> </w:t>
      </w:r>
      <w:r w:rsidRPr="004020C5">
        <w:t>per cent for DFV-only, and a slight increase at 7 per cent for DFV-AOD/MH, and 6 per cent for DFV-AOD-MH. In examining the number of engagements with the program prior to child protection involvement, Table 4 indicates that most parents were involved on average at least once, and mothers participated in the program more often than “other”</w:t>
      </w:r>
      <w:r w:rsidR="00F41E6C">
        <w:t> </w:t>
      </w:r>
      <w:r w:rsidRPr="004020C5">
        <w:t>parents.</w:t>
      </w:r>
    </w:p>
    <w:p w14:paraId="15BACFFC" w14:textId="34C3D05A" w:rsidR="004020C5" w:rsidRPr="004020C5" w:rsidRDefault="004020C5" w:rsidP="004020C5">
      <w:pPr>
        <w:pStyle w:val="BodySerif"/>
      </w:pPr>
      <w:r w:rsidRPr="004020C5">
        <w:t>As a further illustration of the overrepresentation of mothers in the Brighter Futures program, Figure 7 shows the breakdown of participation before the child’s first Helpline report by region type. Within each region type, mothers</w:t>
      </w:r>
      <w:r w:rsidR="00F41E6C">
        <w:t> </w:t>
      </w:r>
      <w:r w:rsidRPr="004020C5">
        <w:t>comprised nearly three-quarters (69–77%) of program participants and “other” parents less than a third (23</w:t>
      </w:r>
      <w:r w:rsidR="00F41E6C">
        <w:noBreakHyphen/>
      </w:r>
      <w:r w:rsidRPr="004020C5">
        <w:t>31%) of</w:t>
      </w:r>
      <w:r w:rsidR="00F41E6C">
        <w:t> </w:t>
      </w:r>
      <w:r w:rsidRPr="004020C5">
        <w:t>participants. Hence, there is a clear focus on involvement of mothers over “other” parents (i.e.</w:t>
      </w:r>
      <w:r w:rsidR="00F41E6C">
        <w:t> </w:t>
      </w:r>
      <w:r w:rsidRPr="004020C5">
        <w:t>typically</w:t>
      </w:r>
      <w:r w:rsidR="00F41E6C">
        <w:t> </w:t>
      </w:r>
      <w:r w:rsidRPr="004020C5">
        <w:t>fathers).</w:t>
      </w:r>
    </w:p>
    <w:p w14:paraId="3AC9BC9B" w14:textId="7D25FF11" w:rsidR="004020C5" w:rsidRPr="004020C5" w:rsidRDefault="004020C5" w:rsidP="004020C5">
      <w:pPr>
        <w:pStyle w:val="H3"/>
      </w:pPr>
      <w:bookmarkStart w:id="29" w:name="_Toc191286655"/>
      <w:r w:rsidRPr="004020C5">
        <w:t>How do risk factors differ by region classification?</w:t>
      </w:r>
      <w:bookmarkEnd w:id="29"/>
    </w:p>
    <w:p w14:paraId="685559C7" w14:textId="396FEF2A" w:rsidR="004020C5" w:rsidRPr="004020C5" w:rsidRDefault="004020C5" w:rsidP="004020C5">
      <w:pPr>
        <w:pStyle w:val="BodySerif"/>
      </w:pPr>
      <w:r w:rsidRPr="004020C5">
        <w:t>While it is important to note that data on geographic locations were not available for all families (i.e. only 257,842 or</w:t>
      </w:r>
      <w:r w:rsidR="00F41E6C">
        <w:t> </w:t>
      </w:r>
      <w:r w:rsidRPr="004020C5">
        <w:t>44% of children who could be matched with their parents), analysis was conducted where possible. Figure 8 shows the percentage of children with co-occurring risk factors flagged in child concern reports within each of the different region types (metropolitan, inner regional, outer regional, remote/very remote). In general, DFV-only was the most common risk factor across region types (over 74%) and percentages decreased with more co-occurring risk factors. The</w:t>
      </w:r>
      <w:r w:rsidR="00F41E6C">
        <w:t> </w:t>
      </w:r>
      <w:r w:rsidRPr="004020C5">
        <w:t>percentage</w:t>
      </w:r>
      <w:r w:rsidR="00F41E6C">
        <w:t xml:space="preserve"> </w:t>
      </w:r>
      <w:r w:rsidR="00F41E6C" w:rsidRPr="004020C5">
        <w:t>of children flagged for all three risk factors (DFV-AOD-MH) were similar across all region types at</w:t>
      </w:r>
      <w:r w:rsidR="00F41E6C">
        <w:t> </w:t>
      </w:r>
      <w:r w:rsidR="00F41E6C" w:rsidRPr="004020C5">
        <w:t>about 2 to 4 per cent.</w:t>
      </w:r>
    </w:p>
    <w:p w14:paraId="2D620E78" w14:textId="517BBC72" w:rsidR="004020C5" w:rsidRPr="004020C5" w:rsidRDefault="004020C5" w:rsidP="00727E41">
      <w:pPr>
        <w:pStyle w:val="FigureTableHeading"/>
      </w:pPr>
      <w:r w:rsidRPr="00F41E6C">
        <w:rPr>
          <w:rStyle w:val="Strong"/>
        </w:rPr>
        <w:t>Figure 6:</w:t>
      </w:r>
      <w:r w:rsidRPr="004020C5">
        <w:t xml:space="preserve"> Percentage of children aged under 9 years at first child concern report who have at least one parent engaged in the Brighter Futures program before the children’s first Helpline report based on the combination of</w:t>
      </w:r>
      <w:r w:rsidR="00F41E6C">
        <w:t> </w:t>
      </w:r>
      <w:r w:rsidRPr="004020C5">
        <w:t>DFV, AOD and MH risk factors</w:t>
      </w:r>
      <w:r w:rsidR="00727E41">
        <w:t> </w:t>
      </w:r>
      <w:r w:rsidRPr="004020C5">
        <w:t>reported</w:t>
      </w:r>
    </w:p>
    <w:p w14:paraId="25D1F001" w14:textId="2E8723E9" w:rsidR="004020C5" w:rsidRDefault="004020C5" w:rsidP="004020C5">
      <w:r w:rsidRPr="004020C5">
        <w:rPr>
          <w:noProof/>
        </w:rPr>
        <w:drawing>
          <wp:inline distT="0" distB="0" distL="0" distR="0" wp14:anchorId="2DFB95F1" wp14:editId="5DA88D41">
            <wp:extent cx="6479540" cy="3605530"/>
            <wp:effectExtent l="0" t="0" r="0" b="0"/>
            <wp:docPr id="866539121" name="Picture 208" descr="This is a bar graph that shows children who have at least on parent in the Bright Futures program.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39121" name="Picture 208" descr="This is a bar graph that shows children who have at least on parent in the Bright Futures program. The data in this graph is in the table bel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9540" cy="3605530"/>
                    </a:xfrm>
                    <a:prstGeom prst="rect">
                      <a:avLst/>
                    </a:prstGeom>
                    <a:noFill/>
                    <a:ln>
                      <a:noFill/>
                    </a:ln>
                  </pic:spPr>
                </pic:pic>
              </a:graphicData>
            </a:graphic>
          </wp:inline>
        </w:drawing>
      </w:r>
    </w:p>
    <w:p w14:paraId="002C5EA9" w14:textId="6AFC6403" w:rsidR="00F66859" w:rsidRPr="00D62E61" w:rsidRDefault="00937B94" w:rsidP="00D62E61">
      <w:pPr>
        <w:pStyle w:val="TableSubheading"/>
      </w:pPr>
      <w:r w:rsidRPr="00D62E61">
        <w:lastRenderedPageBreak/>
        <w:t>Data table for Figure 6:</w:t>
      </w:r>
    </w:p>
    <w:tbl>
      <w:tblPr>
        <w:tblStyle w:val="ANROWSTable"/>
        <w:tblW w:w="0" w:type="auto"/>
        <w:tblLook w:val="04A0" w:firstRow="1" w:lastRow="0" w:firstColumn="1" w:lastColumn="0" w:noHBand="0" w:noVBand="1"/>
      </w:tblPr>
      <w:tblGrid>
        <w:gridCol w:w="3398"/>
        <w:gridCol w:w="3260"/>
        <w:gridCol w:w="3536"/>
      </w:tblGrid>
      <w:tr w:rsidR="00937B94" w14:paraId="76F9BF63" w14:textId="77777777" w:rsidTr="00C35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5517439" w14:textId="6AD20D75" w:rsidR="00937B94" w:rsidRPr="00C35BE6" w:rsidRDefault="00937B94" w:rsidP="00C35BE6">
            <w:pPr>
              <w:pStyle w:val="BodySans"/>
            </w:pPr>
            <w:r w:rsidRPr="00C35BE6">
              <w:t>Number of co-occurring risk</w:t>
            </w:r>
            <w:r w:rsidR="00DF6C6D" w:rsidRPr="00C35BE6">
              <w:t> </w:t>
            </w:r>
            <w:r w:rsidRPr="00C35BE6">
              <w:t>factors</w:t>
            </w:r>
          </w:p>
        </w:tc>
        <w:tc>
          <w:tcPr>
            <w:tcW w:w="3260" w:type="dxa"/>
          </w:tcPr>
          <w:p w14:paraId="30E48566" w14:textId="77BD7BA8" w:rsidR="00937B94" w:rsidRPr="00C35BE6" w:rsidRDefault="00937B94" w:rsidP="00C35BE6">
            <w:pPr>
              <w:pStyle w:val="BodySans"/>
              <w:cnfStyle w:val="100000000000" w:firstRow="1" w:lastRow="0" w:firstColumn="0" w:lastColumn="0" w:oddVBand="0" w:evenVBand="0" w:oddHBand="0" w:evenHBand="0" w:firstRowFirstColumn="0" w:firstRowLastColumn="0" w:lastRowFirstColumn="0" w:lastRowLastColumn="0"/>
            </w:pPr>
            <w:r w:rsidRPr="00C35BE6">
              <w:t>Percentage of children</w:t>
            </w:r>
            <w:r w:rsidR="00EA1140" w:rsidRPr="00C35BE6">
              <w:t xml:space="preserve"> (%)</w:t>
            </w:r>
            <w:r w:rsidRPr="00C35BE6">
              <w:t>:</w:t>
            </w:r>
            <w:r w:rsidR="00CE6ECC" w:rsidRPr="00C35BE6">
              <w:br/>
            </w:r>
            <w:r w:rsidRPr="00C35BE6">
              <w:t>No parent in Brighter Futures</w:t>
            </w:r>
          </w:p>
        </w:tc>
        <w:tc>
          <w:tcPr>
            <w:tcW w:w="3536" w:type="dxa"/>
          </w:tcPr>
          <w:p w14:paraId="49DE79F6" w14:textId="571412C6" w:rsidR="00937B94" w:rsidRPr="00C35BE6" w:rsidRDefault="00937B94" w:rsidP="00C35BE6">
            <w:pPr>
              <w:pStyle w:val="BodySans"/>
              <w:cnfStyle w:val="100000000000" w:firstRow="1" w:lastRow="0" w:firstColumn="0" w:lastColumn="0" w:oddVBand="0" w:evenVBand="0" w:oddHBand="0" w:evenHBand="0" w:firstRowFirstColumn="0" w:firstRowLastColumn="0" w:lastRowFirstColumn="0" w:lastRowLastColumn="0"/>
            </w:pPr>
            <w:r w:rsidRPr="00C35BE6">
              <w:t>Percentage of children</w:t>
            </w:r>
            <w:r w:rsidR="00EA1140" w:rsidRPr="00C35BE6">
              <w:t xml:space="preserve"> (%)</w:t>
            </w:r>
            <w:r w:rsidRPr="00C35BE6">
              <w:t>:</w:t>
            </w:r>
            <w:r w:rsidR="00CE6ECC" w:rsidRPr="00C35BE6">
              <w:br/>
            </w:r>
            <w:r w:rsidRPr="00C35BE6">
              <w:t>At least one parent in</w:t>
            </w:r>
            <w:r w:rsidR="00EE4884" w:rsidRPr="00C35BE6">
              <w:t> </w:t>
            </w:r>
            <w:r w:rsidRPr="00C35BE6">
              <w:t>Brighter</w:t>
            </w:r>
            <w:r w:rsidR="00EE4884" w:rsidRPr="00C35BE6">
              <w:t> </w:t>
            </w:r>
            <w:r w:rsidRPr="00C35BE6">
              <w:t>Futures</w:t>
            </w:r>
          </w:p>
        </w:tc>
      </w:tr>
      <w:tr w:rsidR="00937B94" w14:paraId="4CF76B36" w14:textId="77777777" w:rsidTr="00C3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6301DD1" w14:textId="2DBD8FEC" w:rsidR="00937B94" w:rsidRPr="00C35BE6" w:rsidRDefault="00937B94" w:rsidP="00C35BE6">
            <w:pPr>
              <w:pStyle w:val="BodySans"/>
            </w:pPr>
            <w:r w:rsidRPr="00C35BE6">
              <w:t>Risk factors unrelated to DFV</w:t>
            </w:r>
          </w:p>
        </w:tc>
        <w:tc>
          <w:tcPr>
            <w:tcW w:w="3260" w:type="dxa"/>
          </w:tcPr>
          <w:p w14:paraId="5EF4C7A5" w14:textId="4437C439" w:rsidR="00937B94" w:rsidRPr="00C35BE6" w:rsidRDefault="00937B94" w:rsidP="00C35BE6">
            <w:pPr>
              <w:pStyle w:val="BodySans"/>
              <w:cnfStyle w:val="000000100000" w:firstRow="0" w:lastRow="0" w:firstColumn="0" w:lastColumn="0" w:oddVBand="0" w:evenVBand="0" w:oddHBand="1" w:evenHBand="0" w:firstRowFirstColumn="0" w:firstRowLastColumn="0" w:lastRowFirstColumn="0" w:lastRowLastColumn="0"/>
            </w:pPr>
            <w:r w:rsidRPr="00C35BE6">
              <w:t>94</w:t>
            </w:r>
          </w:p>
        </w:tc>
        <w:tc>
          <w:tcPr>
            <w:tcW w:w="3536" w:type="dxa"/>
          </w:tcPr>
          <w:p w14:paraId="6F9BF448" w14:textId="2A6F9507" w:rsidR="00937B94" w:rsidRPr="00C35BE6" w:rsidRDefault="00937B94" w:rsidP="00C35BE6">
            <w:pPr>
              <w:pStyle w:val="BodySans"/>
              <w:cnfStyle w:val="000000100000" w:firstRow="0" w:lastRow="0" w:firstColumn="0" w:lastColumn="0" w:oddVBand="0" w:evenVBand="0" w:oddHBand="1" w:evenHBand="0" w:firstRowFirstColumn="0" w:firstRowLastColumn="0" w:lastRowFirstColumn="0" w:lastRowLastColumn="0"/>
            </w:pPr>
            <w:r w:rsidRPr="00C35BE6">
              <w:t>6</w:t>
            </w:r>
          </w:p>
        </w:tc>
      </w:tr>
      <w:tr w:rsidR="00937B94" w14:paraId="0A256697" w14:textId="77777777" w:rsidTr="00C35B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AD8D69A" w14:textId="5A883205" w:rsidR="00937B94" w:rsidRPr="00C35BE6" w:rsidRDefault="00937B94" w:rsidP="00C35BE6">
            <w:pPr>
              <w:pStyle w:val="BodySans"/>
            </w:pPr>
            <w:r w:rsidRPr="00C35BE6">
              <w:t>1 risk factor (DFV-only)</w:t>
            </w:r>
          </w:p>
        </w:tc>
        <w:tc>
          <w:tcPr>
            <w:tcW w:w="3260" w:type="dxa"/>
          </w:tcPr>
          <w:p w14:paraId="7BAD9F91" w14:textId="36BEC714" w:rsidR="00937B94" w:rsidRPr="00C35BE6" w:rsidRDefault="00937B94" w:rsidP="00C35BE6">
            <w:pPr>
              <w:pStyle w:val="BodySans"/>
              <w:cnfStyle w:val="000000010000" w:firstRow="0" w:lastRow="0" w:firstColumn="0" w:lastColumn="0" w:oddVBand="0" w:evenVBand="0" w:oddHBand="0" w:evenHBand="1" w:firstRowFirstColumn="0" w:firstRowLastColumn="0" w:lastRowFirstColumn="0" w:lastRowLastColumn="0"/>
            </w:pPr>
            <w:r w:rsidRPr="00C35BE6">
              <w:t>96</w:t>
            </w:r>
          </w:p>
        </w:tc>
        <w:tc>
          <w:tcPr>
            <w:tcW w:w="3536" w:type="dxa"/>
          </w:tcPr>
          <w:p w14:paraId="4ECF84C5" w14:textId="4FE815CB" w:rsidR="00937B94" w:rsidRPr="00C35BE6" w:rsidRDefault="00937B94" w:rsidP="00C35BE6">
            <w:pPr>
              <w:pStyle w:val="BodySans"/>
              <w:cnfStyle w:val="000000010000" w:firstRow="0" w:lastRow="0" w:firstColumn="0" w:lastColumn="0" w:oddVBand="0" w:evenVBand="0" w:oddHBand="0" w:evenHBand="1" w:firstRowFirstColumn="0" w:firstRowLastColumn="0" w:lastRowFirstColumn="0" w:lastRowLastColumn="0"/>
            </w:pPr>
            <w:r w:rsidRPr="00C35BE6">
              <w:t>4</w:t>
            </w:r>
          </w:p>
        </w:tc>
      </w:tr>
      <w:tr w:rsidR="00937B94" w14:paraId="6F339D10" w14:textId="77777777" w:rsidTr="00C3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7DD6D58" w14:textId="34F393DF" w:rsidR="00937B94" w:rsidRPr="00C35BE6" w:rsidRDefault="00937B94" w:rsidP="00C35BE6">
            <w:pPr>
              <w:pStyle w:val="BodySans"/>
            </w:pPr>
            <w:r w:rsidRPr="00C35BE6">
              <w:t>2 risk factors (DFV-AOD/MH)</w:t>
            </w:r>
          </w:p>
        </w:tc>
        <w:tc>
          <w:tcPr>
            <w:tcW w:w="3260" w:type="dxa"/>
          </w:tcPr>
          <w:p w14:paraId="64B8B58A" w14:textId="265CD3F5" w:rsidR="00937B94" w:rsidRPr="00C35BE6" w:rsidRDefault="00937B94" w:rsidP="00C35BE6">
            <w:pPr>
              <w:pStyle w:val="BodySans"/>
              <w:cnfStyle w:val="000000100000" w:firstRow="0" w:lastRow="0" w:firstColumn="0" w:lastColumn="0" w:oddVBand="0" w:evenVBand="0" w:oddHBand="1" w:evenHBand="0" w:firstRowFirstColumn="0" w:firstRowLastColumn="0" w:lastRowFirstColumn="0" w:lastRowLastColumn="0"/>
            </w:pPr>
            <w:r w:rsidRPr="00C35BE6">
              <w:t>93</w:t>
            </w:r>
          </w:p>
        </w:tc>
        <w:tc>
          <w:tcPr>
            <w:tcW w:w="3536" w:type="dxa"/>
          </w:tcPr>
          <w:p w14:paraId="1D19508B" w14:textId="523C3166" w:rsidR="00937B94" w:rsidRPr="00C35BE6" w:rsidRDefault="00937B94" w:rsidP="00C35BE6">
            <w:pPr>
              <w:pStyle w:val="BodySans"/>
              <w:cnfStyle w:val="000000100000" w:firstRow="0" w:lastRow="0" w:firstColumn="0" w:lastColumn="0" w:oddVBand="0" w:evenVBand="0" w:oddHBand="1" w:evenHBand="0" w:firstRowFirstColumn="0" w:firstRowLastColumn="0" w:lastRowFirstColumn="0" w:lastRowLastColumn="0"/>
            </w:pPr>
            <w:r w:rsidRPr="00C35BE6">
              <w:t>7</w:t>
            </w:r>
          </w:p>
        </w:tc>
      </w:tr>
      <w:tr w:rsidR="00937B94" w14:paraId="1E7E98DC" w14:textId="77777777" w:rsidTr="00C35B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A1D7456" w14:textId="5BF0827A" w:rsidR="00937B94" w:rsidRPr="00C35BE6" w:rsidRDefault="00937B94" w:rsidP="00C35BE6">
            <w:pPr>
              <w:pStyle w:val="BodySans"/>
            </w:pPr>
            <w:r w:rsidRPr="00C35BE6">
              <w:t>3 risk factors (DFV-AOD-MH)</w:t>
            </w:r>
          </w:p>
        </w:tc>
        <w:tc>
          <w:tcPr>
            <w:tcW w:w="3260" w:type="dxa"/>
          </w:tcPr>
          <w:p w14:paraId="4704D518" w14:textId="32D74ADF" w:rsidR="00937B94" w:rsidRPr="00C35BE6" w:rsidRDefault="00937B94" w:rsidP="00C35BE6">
            <w:pPr>
              <w:pStyle w:val="BodySans"/>
              <w:cnfStyle w:val="000000010000" w:firstRow="0" w:lastRow="0" w:firstColumn="0" w:lastColumn="0" w:oddVBand="0" w:evenVBand="0" w:oddHBand="0" w:evenHBand="1" w:firstRowFirstColumn="0" w:firstRowLastColumn="0" w:lastRowFirstColumn="0" w:lastRowLastColumn="0"/>
            </w:pPr>
            <w:r w:rsidRPr="00C35BE6">
              <w:t>94</w:t>
            </w:r>
          </w:p>
        </w:tc>
        <w:tc>
          <w:tcPr>
            <w:tcW w:w="3536" w:type="dxa"/>
          </w:tcPr>
          <w:p w14:paraId="1F6FC8FF" w14:textId="08602162" w:rsidR="00937B94" w:rsidRPr="00C35BE6" w:rsidRDefault="00937B94" w:rsidP="00C35BE6">
            <w:pPr>
              <w:pStyle w:val="BodySans"/>
              <w:cnfStyle w:val="000000010000" w:firstRow="0" w:lastRow="0" w:firstColumn="0" w:lastColumn="0" w:oddVBand="0" w:evenVBand="0" w:oddHBand="0" w:evenHBand="1" w:firstRowFirstColumn="0" w:firstRowLastColumn="0" w:lastRowFirstColumn="0" w:lastRowLastColumn="0"/>
            </w:pPr>
            <w:r w:rsidRPr="00C35BE6">
              <w:t>6</w:t>
            </w:r>
          </w:p>
        </w:tc>
      </w:tr>
    </w:tbl>
    <w:p w14:paraId="6701CA3B" w14:textId="77777777" w:rsidR="00D157E6" w:rsidRDefault="00D157E6">
      <w:pPr>
        <w:rPr>
          <w:rStyle w:val="Strong"/>
          <w:rFonts w:ascii="Arial" w:eastAsia="Times New Roman" w:hAnsi="Arial" w:cs="Arial"/>
          <w:color w:val="505554"/>
          <w:sz w:val="18"/>
          <w:szCs w:val="18"/>
          <w:lang w:val="en-US" w:eastAsia="en-AU"/>
        </w:rPr>
      </w:pPr>
      <w:r>
        <w:rPr>
          <w:rStyle w:val="Strong"/>
        </w:rPr>
        <w:br w:type="page"/>
      </w:r>
    </w:p>
    <w:p w14:paraId="01F12B1C" w14:textId="7493D93C" w:rsidR="004020C5" w:rsidRPr="004020C5" w:rsidRDefault="004020C5" w:rsidP="004020C5">
      <w:pPr>
        <w:pStyle w:val="FigureTableHeading"/>
      </w:pPr>
      <w:r w:rsidRPr="00727E41">
        <w:rPr>
          <w:rStyle w:val="Strong"/>
        </w:rPr>
        <w:lastRenderedPageBreak/>
        <w:t>Table 4</w:t>
      </w:r>
      <w:r w:rsidRPr="004020C5">
        <w:t>: Mean number (</w:t>
      </w:r>
      <w:r w:rsidRPr="004020C5">
        <w:rPr>
          <w:i/>
          <w:iCs/>
        </w:rPr>
        <w:t>SD</w:t>
      </w:r>
      <w:r w:rsidRPr="004020C5">
        <w:t>) of engagements with Brighter Futures prior to the children’s first Helpline report based on the number of risk factors flagged in the child concern report</w:t>
      </w:r>
    </w:p>
    <w:tbl>
      <w:tblPr>
        <w:tblStyle w:val="ANROWSTable"/>
        <w:tblW w:w="10205" w:type="dxa"/>
        <w:tblLook w:val="04A0" w:firstRow="1" w:lastRow="0" w:firstColumn="1" w:lastColumn="0" w:noHBand="0" w:noVBand="1"/>
      </w:tblPr>
      <w:tblGrid>
        <w:gridCol w:w="3572"/>
        <w:gridCol w:w="2211"/>
        <w:gridCol w:w="2211"/>
        <w:gridCol w:w="2211"/>
      </w:tblGrid>
      <w:tr w:rsidR="004020C5" w:rsidRPr="004020C5" w14:paraId="12E19F74" w14:textId="77777777" w:rsidTr="00C35B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2" w:type="dxa"/>
            <w:hideMark/>
          </w:tcPr>
          <w:p w14:paraId="1C0F955C" w14:textId="77777777" w:rsidR="004020C5" w:rsidRPr="00C35BE6" w:rsidRDefault="004020C5" w:rsidP="00C35BE6">
            <w:pPr>
              <w:pStyle w:val="BodySans"/>
            </w:pPr>
          </w:p>
        </w:tc>
        <w:tc>
          <w:tcPr>
            <w:tcW w:w="2211" w:type="dxa"/>
            <w:hideMark/>
          </w:tcPr>
          <w:p w14:paraId="1CE1A924" w14:textId="008C87ED"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DFV-only</w:t>
            </w:r>
          </w:p>
          <w:p w14:paraId="182295D5" w14:textId="0C3922EA"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(1 risk factor)</w:t>
            </w:r>
          </w:p>
        </w:tc>
        <w:tc>
          <w:tcPr>
            <w:tcW w:w="2211" w:type="dxa"/>
            <w:hideMark/>
          </w:tcPr>
          <w:p w14:paraId="01DAD85C" w14:textId="06FD1921"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DFV-AOD/MH</w:t>
            </w:r>
          </w:p>
          <w:p w14:paraId="43AAFBF1" w14:textId="0FEC750E"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(2 risk factors)</w:t>
            </w:r>
          </w:p>
        </w:tc>
        <w:tc>
          <w:tcPr>
            <w:tcW w:w="2211" w:type="dxa"/>
            <w:hideMark/>
          </w:tcPr>
          <w:p w14:paraId="11902113" w14:textId="7D534D7C"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DFV-AOD-MH</w:t>
            </w:r>
          </w:p>
          <w:p w14:paraId="61519C2F" w14:textId="7CA9591E"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(3 risk factors)</w:t>
            </w:r>
          </w:p>
        </w:tc>
      </w:tr>
      <w:tr w:rsidR="004020C5" w:rsidRPr="004020C5" w14:paraId="336EF340" w14:textId="77777777" w:rsidTr="00D5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hideMark/>
          </w:tcPr>
          <w:p w14:paraId="74AED996" w14:textId="07CCCF29" w:rsidR="004020C5" w:rsidRPr="00C35BE6" w:rsidRDefault="004020C5" w:rsidP="00C35BE6">
            <w:pPr>
              <w:pStyle w:val="BodySans"/>
            </w:pPr>
            <w:r w:rsidRPr="00C35BE6">
              <w:t>Brighter Futures – mother</w:t>
            </w:r>
          </w:p>
        </w:tc>
        <w:tc>
          <w:tcPr>
            <w:tcW w:w="2211" w:type="dxa"/>
            <w:hideMark/>
          </w:tcPr>
          <w:p w14:paraId="72DE5563" w14:textId="573403BA"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1.21 (0.5)</w:t>
            </w:r>
          </w:p>
        </w:tc>
        <w:tc>
          <w:tcPr>
            <w:tcW w:w="2211" w:type="dxa"/>
            <w:hideMark/>
          </w:tcPr>
          <w:p w14:paraId="567EA795" w14:textId="017FDA61"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1.27 (0.6)</w:t>
            </w:r>
          </w:p>
        </w:tc>
        <w:tc>
          <w:tcPr>
            <w:tcW w:w="2211" w:type="dxa"/>
            <w:hideMark/>
          </w:tcPr>
          <w:p w14:paraId="53EFD944" w14:textId="20E96C9E" w:rsidR="004020C5" w:rsidRPr="00C35BE6" w:rsidRDefault="004020C5" w:rsidP="00C35BE6">
            <w:pPr>
              <w:pStyle w:val="BodySans"/>
              <w:cnfStyle w:val="000000100000" w:firstRow="0" w:lastRow="0" w:firstColumn="0" w:lastColumn="0" w:oddVBand="0" w:evenVBand="0" w:oddHBand="1" w:evenHBand="0" w:firstRowFirstColumn="0" w:firstRowLastColumn="0" w:lastRowFirstColumn="0" w:lastRowLastColumn="0"/>
            </w:pPr>
            <w:r w:rsidRPr="00C35BE6">
              <w:t>1.35 (0.7)</w:t>
            </w:r>
          </w:p>
        </w:tc>
      </w:tr>
      <w:tr w:rsidR="004020C5" w:rsidRPr="004020C5" w14:paraId="03B3B916" w14:textId="77777777" w:rsidTr="00D509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hideMark/>
          </w:tcPr>
          <w:p w14:paraId="4276A728" w14:textId="35F8B7C7" w:rsidR="004020C5" w:rsidRPr="00C35BE6" w:rsidRDefault="004020C5" w:rsidP="00C35BE6">
            <w:pPr>
              <w:pStyle w:val="BodySans"/>
            </w:pPr>
            <w:r w:rsidRPr="00C35BE6">
              <w:t>Brighter Futures – “other” parent</w:t>
            </w:r>
          </w:p>
        </w:tc>
        <w:tc>
          <w:tcPr>
            <w:tcW w:w="2211" w:type="dxa"/>
            <w:hideMark/>
          </w:tcPr>
          <w:p w14:paraId="5CF77941" w14:textId="21AF0C1F"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1.12 (0.4)</w:t>
            </w:r>
          </w:p>
        </w:tc>
        <w:tc>
          <w:tcPr>
            <w:tcW w:w="2211" w:type="dxa"/>
            <w:hideMark/>
          </w:tcPr>
          <w:p w14:paraId="1CF396A5" w14:textId="5370D3AF"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1.15 (0.5)</w:t>
            </w:r>
          </w:p>
        </w:tc>
        <w:tc>
          <w:tcPr>
            <w:tcW w:w="2211" w:type="dxa"/>
            <w:hideMark/>
          </w:tcPr>
          <w:p w14:paraId="47E6FE39" w14:textId="2A75B2EC" w:rsidR="004020C5" w:rsidRPr="00C35BE6" w:rsidRDefault="004020C5" w:rsidP="00C35BE6">
            <w:pPr>
              <w:pStyle w:val="BodySans"/>
              <w:cnfStyle w:val="000000010000" w:firstRow="0" w:lastRow="0" w:firstColumn="0" w:lastColumn="0" w:oddVBand="0" w:evenVBand="0" w:oddHBand="0" w:evenHBand="1" w:firstRowFirstColumn="0" w:firstRowLastColumn="0" w:lastRowFirstColumn="0" w:lastRowLastColumn="0"/>
            </w:pPr>
            <w:r w:rsidRPr="00C35BE6">
              <w:t>1.27 (0.7)</w:t>
            </w:r>
          </w:p>
        </w:tc>
      </w:tr>
    </w:tbl>
    <w:p w14:paraId="6725B7AB" w14:textId="53CCC3EE" w:rsidR="004020C5" w:rsidRPr="004020C5" w:rsidRDefault="004020C5" w:rsidP="00D157E6">
      <w:pPr>
        <w:pStyle w:val="BodySerif"/>
        <w:spacing w:before="480" w:after="0" w:afterAutospacing="0"/>
      </w:pPr>
      <w:r w:rsidRPr="004020C5">
        <w:t>Using SA2 geographic locations where available, it was possible to calculate the total number of children in each area based on the number of co-occurring risk factors flagged in child concern reports within the 12 months after first child concern report and determine the top quartile of SA2s with the highest combined prevalence of these issues reported</w:t>
      </w:r>
      <w:r w:rsidR="009D38A2">
        <w:t xml:space="preserve"> </w:t>
      </w:r>
      <w:r w:rsidRPr="004020C5">
        <w:t>from 2004 to 2018. These are shown in Table 5, in which a </w:t>
      </w:r>
      <w:r w:rsidR="00AA5CC0" w:rsidRPr="00F73BE9">
        <w:rPr>
          <w:rFonts w:ascii="Arial" w:hAnsi="Arial" w:cs="Arial"/>
          <w:sz w:val="23"/>
          <w:szCs w:val="23"/>
        </w:rPr>
        <w:t>●</w:t>
      </w:r>
      <w:r w:rsidRPr="004020C5">
        <w:t> indicates that the SA2 was listed in the top quartile based on the number of co-occurring issues. For instance, the SA2 area of Liverpool was in the top quartile for DFV-only, DFV-AOD/MH, DFV-AOD-MH, and for overall reported issues, whereas the SA2 area of Kempsey was in the top quartile for DFV-AOD/MH only. For ease of identifying locations, the list is divided into metropolitan (Sydney), metropolitan (outside Sydney), and inner regional. Indicators of disadvantage based on the Index of Relative Socio</w:t>
      </w:r>
      <w:r w:rsidR="00D157E6">
        <w:noBreakHyphen/>
      </w:r>
      <w:r w:rsidRPr="004020C5">
        <w:t>economic Disadvantage (IRSD) in the Socio-Economic Indexes for Areas (SEIFA) 2016 are also provided with</w:t>
      </w:r>
      <w:r w:rsidR="00D157E6">
        <w:t> </w:t>
      </w:r>
      <w:r w:rsidRPr="004020C5">
        <w:t>each SA2 area listed (ABS, 2018).</w:t>
      </w:r>
    </w:p>
    <w:p w14:paraId="2D0414BB" w14:textId="5609196E" w:rsidR="004020C5" w:rsidRPr="004020C5" w:rsidRDefault="004020C5" w:rsidP="004020C5">
      <w:pPr>
        <w:pStyle w:val="BodySerif"/>
      </w:pPr>
      <w:r w:rsidRPr="004020C5">
        <w:t xml:space="preserve">Certain SA2s appeared in the top quartile for all categories of DFV-only, DFV-AOD/MH, DFV-AOD-MH, and all combinations. These are: Sydney metropolitan SA2 areas of Blacktown (East) – Kings Park, Jamisontown – South Penrith, Kingswood – Werrington, Liverpool, Mount Druitt – Whalan, Rosemeadow – Glen Alpine and St Marys </w:t>
      </w:r>
      <w:r w:rsidR="00F41E6C">
        <w:t>–</w:t>
      </w:r>
      <w:r w:rsidRPr="004020C5">
        <w:t xml:space="preserve"> North</w:t>
      </w:r>
      <w:r w:rsidR="00F41E6C">
        <w:t> </w:t>
      </w:r>
      <w:r w:rsidRPr="004020C5">
        <w:t>St Marys; metropolitan SA2 areas outside Sydney of Bateau Bay – Killarney Vale, Gosford – Springfield, Warnervale – Wadalba; and inner regional SA2 areas of Dubbo – South, Orange – North, Tamworth – East, and</w:t>
      </w:r>
      <w:r w:rsidR="00F41E6C">
        <w:t> </w:t>
      </w:r>
      <w:r w:rsidRPr="004020C5">
        <w:t>Wagga</w:t>
      </w:r>
      <w:r w:rsidR="00F41E6C">
        <w:t> </w:t>
      </w:r>
      <w:r w:rsidRPr="004020C5">
        <w:t>Wagga – South. Other SA2 areas appear in the top quartile for only one category of co-occurring risk factors: Kempsey and</w:t>
      </w:r>
      <w:r w:rsidR="00F41E6C">
        <w:t xml:space="preserve"> </w:t>
      </w:r>
      <w:r w:rsidR="00F41E6C" w:rsidRPr="004020C5">
        <w:t>Taree (DFV-AOD/MH); Gorokan – Kanwal – Charmhaven, Kurri Kurri – Abermain, Maitland – East, and</w:t>
      </w:r>
      <w:r w:rsidR="00D157E6">
        <w:t> </w:t>
      </w:r>
      <w:r w:rsidR="00F41E6C" w:rsidRPr="004020C5">
        <w:t>Grafton (DFV-AOD-MH). Across the top quartile of SA2 areas listed, about 42 per cent were in the first decile, which</w:t>
      </w:r>
      <w:r w:rsidR="00F41E6C">
        <w:t> </w:t>
      </w:r>
      <w:r w:rsidR="00F41E6C" w:rsidRPr="004020C5">
        <w:t>are considered the most disadvantaged areas in NSW. Overall, nearly 80 per cent of the SA2 areas in this top quartile have a SEIFA decile of 4 or lower.</w:t>
      </w:r>
    </w:p>
    <w:p w14:paraId="109C1C35" w14:textId="6A919807" w:rsidR="004020C5" w:rsidRPr="004020C5" w:rsidRDefault="004020C5" w:rsidP="00F70D16">
      <w:pPr>
        <w:pStyle w:val="FigureTableHeading"/>
      </w:pPr>
      <w:r w:rsidRPr="00F41E6C">
        <w:rPr>
          <w:rStyle w:val="Strong"/>
        </w:rPr>
        <w:lastRenderedPageBreak/>
        <w:t>Figure 7:</w:t>
      </w:r>
      <w:r w:rsidRPr="004020C5">
        <w:t xml:space="preserve"> Percentage of mothers and “other” parents who have participated in the Brighter Futures program prior to the child’s first Helpline report, across different region types</w:t>
      </w:r>
    </w:p>
    <w:p w14:paraId="7528B4BD" w14:textId="0AB5D38F" w:rsidR="00F70D16" w:rsidRDefault="00785769" w:rsidP="004020C5">
      <w:r>
        <w:rPr>
          <w:noProof/>
        </w:rPr>
        <w:drawing>
          <wp:inline distT="0" distB="0" distL="0" distR="0" wp14:anchorId="7C81CD5E" wp14:editId="06C8BA87">
            <wp:extent cx="6479540" cy="3501425"/>
            <wp:effectExtent l="0" t="0" r="0" b="3810"/>
            <wp:docPr id="1980981276" name="Picture 2" descr="This is a bar graph that shows the percentage of parents who have participated in the Brighter Futures program.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81276" name="Picture 2" descr="This is a bar graph that shows the percentage of parents who have participated in the Brighter Futures program. The data in this graph is in the table belo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9540" cy="3501425"/>
                    </a:xfrm>
                    <a:prstGeom prst="rect">
                      <a:avLst/>
                    </a:prstGeom>
                    <a:noFill/>
                    <a:ln>
                      <a:noFill/>
                    </a:ln>
                  </pic:spPr>
                </pic:pic>
              </a:graphicData>
            </a:graphic>
          </wp:inline>
        </w:drawing>
      </w:r>
    </w:p>
    <w:p w14:paraId="6F0B4710" w14:textId="5AD83CB1" w:rsidR="00F70D16" w:rsidRPr="00D62E61" w:rsidRDefault="00CB2C35" w:rsidP="00D62E61">
      <w:pPr>
        <w:pStyle w:val="TableSubheading"/>
      </w:pPr>
      <w:r w:rsidRPr="00D62E61">
        <w:t>Data table for Figure 7:</w:t>
      </w:r>
    </w:p>
    <w:tbl>
      <w:tblPr>
        <w:tblStyle w:val="ANROWSTable"/>
        <w:tblW w:w="10317" w:type="dxa"/>
        <w:tblLook w:val="04A0" w:firstRow="1" w:lastRow="0" w:firstColumn="1" w:lastColumn="0" w:noHBand="0" w:noVBand="1"/>
      </w:tblPr>
      <w:tblGrid>
        <w:gridCol w:w="3061"/>
        <w:gridCol w:w="3628"/>
        <w:gridCol w:w="3628"/>
      </w:tblGrid>
      <w:tr w:rsidR="00CB2C35" w14:paraId="32521323" w14:textId="77777777" w:rsidTr="00D62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1" w:type="dxa"/>
          </w:tcPr>
          <w:p w14:paraId="586A0CB2" w14:textId="272E1408" w:rsidR="00CB2C35" w:rsidRPr="00D62E61" w:rsidRDefault="00EA1140" w:rsidP="00D62E61">
            <w:pPr>
              <w:pStyle w:val="BodySans"/>
            </w:pPr>
            <w:r w:rsidRPr="00D62E61">
              <w:t>Region type</w:t>
            </w:r>
          </w:p>
        </w:tc>
        <w:tc>
          <w:tcPr>
            <w:tcW w:w="3628" w:type="dxa"/>
          </w:tcPr>
          <w:p w14:paraId="7775F455" w14:textId="52B83C44" w:rsidR="00CB2C35" w:rsidRPr="00D62E61" w:rsidRDefault="00CB2C35" w:rsidP="00D62E61">
            <w:pPr>
              <w:pStyle w:val="BodySans"/>
              <w:cnfStyle w:val="100000000000" w:firstRow="1" w:lastRow="0" w:firstColumn="0" w:lastColumn="0" w:oddVBand="0" w:evenVBand="0" w:oddHBand="0" w:evenHBand="0" w:firstRowFirstColumn="0" w:firstRowLastColumn="0" w:lastRowFirstColumn="0" w:lastRowLastColumn="0"/>
            </w:pPr>
            <w:r w:rsidRPr="00D62E61">
              <w:t>Mothers who have participated</w:t>
            </w:r>
            <w:r w:rsidR="006C6705" w:rsidRPr="00D62E61">
              <w:t> </w:t>
            </w:r>
            <w:r w:rsidR="00EA1140" w:rsidRPr="00D62E61">
              <w:t>(%)</w:t>
            </w:r>
          </w:p>
        </w:tc>
        <w:tc>
          <w:tcPr>
            <w:tcW w:w="3628" w:type="dxa"/>
          </w:tcPr>
          <w:p w14:paraId="032B61C2" w14:textId="4EED483C" w:rsidR="00CB2C35" w:rsidRPr="00D62E61" w:rsidRDefault="00CB2C35" w:rsidP="00D62E61">
            <w:pPr>
              <w:pStyle w:val="BodySans"/>
              <w:cnfStyle w:val="100000000000" w:firstRow="1" w:lastRow="0" w:firstColumn="0" w:lastColumn="0" w:oddVBand="0" w:evenVBand="0" w:oddHBand="0" w:evenHBand="0" w:firstRowFirstColumn="0" w:firstRowLastColumn="0" w:lastRowFirstColumn="0" w:lastRowLastColumn="0"/>
            </w:pPr>
            <w:r w:rsidRPr="00D62E61">
              <w:t>Other parents who have participated</w:t>
            </w:r>
            <w:r w:rsidR="00EA1140" w:rsidRPr="00D62E61">
              <w:t xml:space="preserve"> (%)</w:t>
            </w:r>
          </w:p>
        </w:tc>
      </w:tr>
      <w:tr w:rsidR="00CB2C35" w14:paraId="431F980A" w14:textId="77777777" w:rsidTr="006C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14:paraId="11B50062" w14:textId="6EFF13D3" w:rsidR="00CB2C35" w:rsidRPr="00D62E61" w:rsidRDefault="00CB2C35" w:rsidP="00D62E61">
            <w:pPr>
              <w:pStyle w:val="BodySans"/>
            </w:pPr>
            <w:r w:rsidRPr="00D62E61">
              <w:t>Metropolitan</w:t>
            </w:r>
          </w:p>
        </w:tc>
        <w:tc>
          <w:tcPr>
            <w:tcW w:w="3628" w:type="dxa"/>
          </w:tcPr>
          <w:p w14:paraId="67DC71D6" w14:textId="65DFF6BA" w:rsidR="00CB2C35" w:rsidRPr="00D62E61" w:rsidRDefault="009A18E3" w:rsidP="00D62E61">
            <w:pPr>
              <w:pStyle w:val="BodySans"/>
              <w:cnfStyle w:val="000000100000" w:firstRow="0" w:lastRow="0" w:firstColumn="0" w:lastColumn="0" w:oddVBand="0" w:evenVBand="0" w:oddHBand="1" w:evenHBand="0" w:firstRowFirstColumn="0" w:firstRowLastColumn="0" w:lastRowFirstColumn="0" w:lastRowLastColumn="0"/>
            </w:pPr>
            <w:r w:rsidRPr="00D62E61">
              <w:t>70</w:t>
            </w:r>
          </w:p>
        </w:tc>
        <w:tc>
          <w:tcPr>
            <w:tcW w:w="3628" w:type="dxa"/>
          </w:tcPr>
          <w:p w14:paraId="0F080E77" w14:textId="68C78FC8" w:rsidR="00CB2C35" w:rsidRPr="00D62E61" w:rsidRDefault="009A18E3" w:rsidP="00D62E61">
            <w:pPr>
              <w:pStyle w:val="BodySans"/>
              <w:cnfStyle w:val="000000100000" w:firstRow="0" w:lastRow="0" w:firstColumn="0" w:lastColumn="0" w:oddVBand="0" w:evenVBand="0" w:oddHBand="1" w:evenHBand="0" w:firstRowFirstColumn="0" w:firstRowLastColumn="0" w:lastRowFirstColumn="0" w:lastRowLastColumn="0"/>
            </w:pPr>
            <w:r w:rsidRPr="00D62E61">
              <w:t>30</w:t>
            </w:r>
          </w:p>
        </w:tc>
      </w:tr>
      <w:tr w:rsidR="00CB2C35" w14:paraId="0134D3B5" w14:textId="77777777" w:rsidTr="006C6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14:paraId="2E1882F0" w14:textId="1D1AB4FC" w:rsidR="00CB2C35" w:rsidRPr="00D62E61" w:rsidRDefault="00CB2C35" w:rsidP="00D62E61">
            <w:pPr>
              <w:pStyle w:val="BodySans"/>
            </w:pPr>
            <w:r w:rsidRPr="00D62E61">
              <w:t>Inner regional</w:t>
            </w:r>
          </w:p>
        </w:tc>
        <w:tc>
          <w:tcPr>
            <w:tcW w:w="3628" w:type="dxa"/>
          </w:tcPr>
          <w:p w14:paraId="7D63F9B7" w14:textId="22A5E213" w:rsidR="00CB2C35" w:rsidRPr="00D62E61" w:rsidRDefault="009A18E3" w:rsidP="00D62E61">
            <w:pPr>
              <w:pStyle w:val="BodySans"/>
              <w:cnfStyle w:val="000000010000" w:firstRow="0" w:lastRow="0" w:firstColumn="0" w:lastColumn="0" w:oddVBand="0" w:evenVBand="0" w:oddHBand="0" w:evenHBand="1" w:firstRowFirstColumn="0" w:firstRowLastColumn="0" w:lastRowFirstColumn="0" w:lastRowLastColumn="0"/>
            </w:pPr>
            <w:r w:rsidRPr="00D62E61">
              <w:t>69</w:t>
            </w:r>
          </w:p>
        </w:tc>
        <w:tc>
          <w:tcPr>
            <w:tcW w:w="3628" w:type="dxa"/>
          </w:tcPr>
          <w:p w14:paraId="7F6FDB16" w14:textId="097EFEF5" w:rsidR="00CB2C35" w:rsidRPr="00D62E61" w:rsidRDefault="009A18E3" w:rsidP="00D62E61">
            <w:pPr>
              <w:pStyle w:val="BodySans"/>
              <w:cnfStyle w:val="000000010000" w:firstRow="0" w:lastRow="0" w:firstColumn="0" w:lastColumn="0" w:oddVBand="0" w:evenVBand="0" w:oddHBand="0" w:evenHBand="1" w:firstRowFirstColumn="0" w:firstRowLastColumn="0" w:lastRowFirstColumn="0" w:lastRowLastColumn="0"/>
            </w:pPr>
            <w:r w:rsidRPr="00D62E61">
              <w:t>31</w:t>
            </w:r>
          </w:p>
        </w:tc>
      </w:tr>
      <w:tr w:rsidR="00CB2C35" w14:paraId="7E1C5C08" w14:textId="77777777" w:rsidTr="006C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14:paraId="62AA6BD7" w14:textId="6F8B0005" w:rsidR="00CB2C35" w:rsidRPr="00D62E61" w:rsidRDefault="00CB2C35" w:rsidP="00D62E61">
            <w:pPr>
              <w:pStyle w:val="BodySans"/>
            </w:pPr>
            <w:r w:rsidRPr="00D62E61">
              <w:t>Outer regional</w:t>
            </w:r>
          </w:p>
        </w:tc>
        <w:tc>
          <w:tcPr>
            <w:tcW w:w="3628" w:type="dxa"/>
          </w:tcPr>
          <w:p w14:paraId="3EF813F0" w14:textId="0869631D" w:rsidR="00CB2C35" w:rsidRPr="00D62E61" w:rsidRDefault="009A18E3" w:rsidP="00D62E61">
            <w:pPr>
              <w:pStyle w:val="BodySans"/>
              <w:cnfStyle w:val="000000100000" w:firstRow="0" w:lastRow="0" w:firstColumn="0" w:lastColumn="0" w:oddVBand="0" w:evenVBand="0" w:oddHBand="1" w:evenHBand="0" w:firstRowFirstColumn="0" w:firstRowLastColumn="0" w:lastRowFirstColumn="0" w:lastRowLastColumn="0"/>
            </w:pPr>
            <w:r w:rsidRPr="00D62E61">
              <w:t>70</w:t>
            </w:r>
          </w:p>
        </w:tc>
        <w:tc>
          <w:tcPr>
            <w:tcW w:w="3628" w:type="dxa"/>
          </w:tcPr>
          <w:p w14:paraId="4E21B4A7" w14:textId="3B5B589A" w:rsidR="00CB2C35" w:rsidRPr="00D62E61" w:rsidRDefault="009A18E3" w:rsidP="00D62E61">
            <w:pPr>
              <w:pStyle w:val="BodySans"/>
              <w:cnfStyle w:val="000000100000" w:firstRow="0" w:lastRow="0" w:firstColumn="0" w:lastColumn="0" w:oddVBand="0" w:evenVBand="0" w:oddHBand="1" w:evenHBand="0" w:firstRowFirstColumn="0" w:firstRowLastColumn="0" w:lastRowFirstColumn="0" w:lastRowLastColumn="0"/>
            </w:pPr>
            <w:r w:rsidRPr="00D62E61">
              <w:t>30</w:t>
            </w:r>
          </w:p>
        </w:tc>
      </w:tr>
      <w:tr w:rsidR="00CB2C35" w14:paraId="1780B4B3" w14:textId="77777777" w:rsidTr="006C6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14:paraId="2103984B" w14:textId="7F9DF6AD" w:rsidR="00CB2C35" w:rsidRPr="00D62E61" w:rsidRDefault="00CB2C35" w:rsidP="00D62E61">
            <w:pPr>
              <w:pStyle w:val="BodySans"/>
            </w:pPr>
            <w:r w:rsidRPr="00D62E61">
              <w:t>Remote/very remote</w:t>
            </w:r>
          </w:p>
        </w:tc>
        <w:tc>
          <w:tcPr>
            <w:tcW w:w="3628" w:type="dxa"/>
          </w:tcPr>
          <w:p w14:paraId="21F6329D" w14:textId="7EC2C570" w:rsidR="00CB2C35" w:rsidRPr="00D62E61" w:rsidRDefault="009A18E3" w:rsidP="00D62E61">
            <w:pPr>
              <w:pStyle w:val="BodySans"/>
              <w:cnfStyle w:val="000000010000" w:firstRow="0" w:lastRow="0" w:firstColumn="0" w:lastColumn="0" w:oddVBand="0" w:evenVBand="0" w:oddHBand="0" w:evenHBand="1" w:firstRowFirstColumn="0" w:firstRowLastColumn="0" w:lastRowFirstColumn="0" w:lastRowLastColumn="0"/>
            </w:pPr>
            <w:r w:rsidRPr="00D62E61">
              <w:t>77</w:t>
            </w:r>
          </w:p>
        </w:tc>
        <w:tc>
          <w:tcPr>
            <w:tcW w:w="3628" w:type="dxa"/>
          </w:tcPr>
          <w:p w14:paraId="7D0081CE" w14:textId="2EA6AAA6" w:rsidR="00CB2C35" w:rsidRPr="00D62E61" w:rsidRDefault="009A18E3" w:rsidP="00D62E61">
            <w:pPr>
              <w:pStyle w:val="BodySans"/>
              <w:cnfStyle w:val="000000010000" w:firstRow="0" w:lastRow="0" w:firstColumn="0" w:lastColumn="0" w:oddVBand="0" w:evenVBand="0" w:oddHBand="0" w:evenHBand="1" w:firstRowFirstColumn="0" w:firstRowLastColumn="0" w:lastRowFirstColumn="0" w:lastRowLastColumn="0"/>
            </w:pPr>
            <w:r w:rsidRPr="00D62E61">
              <w:t>23</w:t>
            </w:r>
          </w:p>
        </w:tc>
      </w:tr>
    </w:tbl>
    <w:p w14:paraId="33C80A61" w14:textId="6E8232C3" w:rsidR="004020C5" w:rsidRPr="004020C5" w:rsidRDefault="004020C5" w:rsidP="00F70D16">
      <w:pPr>
        <w:pStyle w:val="FigureTableHeading"/>
      </w:pPr>
      <w:r w:rsidRPr="00F41E6C">
        <w:rPr>
          <w:rStyle w:val="Strong"/>
        </w:rPr>
        <w:lastRenderedPageBreak/>
        <w:t>Figure 8:</w:t>
      </w:r>
      <w:r w:rsidRPr="004020C5">
        <w:t xml:space="preserve"> Percentage of children with flags for co-occurring risk factors within different region types (</w:t>
      </w:r>
      <w:r w:rsidRPr="004020C5">
        <w:rPr>
          <w:i/>
          <w:iCs/>
        </w:rPr>
        <w:t>n</w:t>
      </w:r>
      <w:r w:rsidRPr="004020C5">
        <w:t> = 103,532)</w:t>
      </w:r>
    </w:p>
    <w:p w14:paraId="1C42F9FE" w14:textId="2E10B45A" w:rsidR="004020C5" w:rsidRDefault="009A18E3" w:rsidP="004020C5">
      <w:r>
        <w:rPr>
          <w:noProof/>
        </w:rPr>
        <w:drawing>
          <wp:inline distT="0" distB="0" distL="0" distR="0" wp14:anchorId="183CC085" wp14:editId="5549AEEE">
            <wp:extent cx="6477000" cy="4086225"/>
            <wp:effectExtent l="0" t="0" r="0" b="9525"/>
            <wp:docPr id="1230160204" name="Picture 3" descr="This is a bar graph that shows the risk factors for children in different region type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60204" name="Picture 3" descr="This is a bar graph that shows the risk factors for children in different region types. The data in this graph is in the table bel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0" cy="4086225"/>
                    </a:xfrm>
                    <a:prstGeom prst="rect">
                      <a:avLst/>
                    </a:prstGeom>
                    <a:noFill/>
                    <a:ln>
                      <a:noFill/>
                    </a:ln>
                  </pic:spPr>
                </pic:pic>
              </a:graphicData>
            </a:graphic>
          </wp:inline>
        </w:drawing>
      </w:r>
    </w:p>
    <w:p w14:paraId="7C3E7F11" w14:textId="78D3A97D" w:rsidR="006C6705" w:rsidRPr="00D62E61" w:rsidRDefault="00AD78E0" w:rsidP="00D62E61">
      <w:pPr>
        <w:pStyle w:val="TableSubheading"/>
      </w:pPr>
      <w:r w:rsidRPr="00D62E61">
        <w:t>Data table for Figure 8:</w:t>
      </w:r>
    </w:p>
    <w:tbl>
      <w:tblPr>
        <w:tblStyle w:val="ANROWSTable"/>
        <w:tblW w:w="0" w:type="auto"/>
        <w:tblLook w:val="04A0" w:firstRow="1" w:lastRow="0" w:firstColumn="1" w:lastColumn="0" w:noHBand="0" w:noVBand="1"/>
      </w:tblPr>
      <w:tblGrid>
        <w:gridCol w:w="2548"/>
        <w:gridCol w:w="2548"/>
        <w:gridCol w:w="2549"/>
        <w:gridCol w:w="2549"/>
      </w:tblGrid>
      <w:tr w:rsidR="006C6705" w14:paraId="0663FA17" w14:textId="77777777" w:rsidTr="00D62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03983B9C" w14:textId="77777777" w:rsidR="006C6705" w:rsidRPr="00D62E61" w:rsidRDefault="006C6705" w:rsidP="00D62E61">
            <w:pPr>
              <w:pStyle w:val="BodySans"/>
            </w:pPr>
          </w:p>
        </w:tc>
        <w:tc>
          <w:tcPr>
            <w:tcW w:w="2548" w:type="dxa"/>
          </w:tcPr>
          <w:p w14:paraId="023391D6" w14:textId="725BE13B" w:rsidR="006C6705" w:rsidRPr="00D62E61" w:rsidRDefault="007F127F" w:rsidP="00D62E61">
            <w:pPr>
              <w:pStyle w:val="BodySans"/>
              <w:cnfStyle w:val="100000000000" w:firstRow="1" w:lastRow="0" w:firstColumn="0" w:lastColumn="0" w:oddVBand="0" w:evenVBand="0" w:oddHBand="0" w:evenHBand="0" w:firstRowFirstColumn="0" w:firstRowLastColumn="0" w:lastRowFirstColumn="0" w:lastRowLastColumn="0"/>
            </w:pPr>
            <w:r>
              <w:t xml:space="preserve">% </w:t>
            </w:r>
            <w:r w:rsidR="00031A86" w:rsidRPr="00D62E61">
              <w:t>DFV-only (1</w:t>
            </w:r>
            <w:r w:rsidR="00AD78E0" w:rsidRPr="00D62E61">
              <w:t> </w:t>
            </w:r>
            <w:r w:rsidR="00031A86" w:rsidRPr="00D62E61">
              <w:t>risk</w:t>
            </w:r>
            <w:r w:rsidR="00AD78E0" w:rsidRPr="00D62E61">
              <w:t> </w:t>
            </w:r>
            <w:r w:rsidR="00031A86" w:rsidRPr="00D62E61">
              <w:t>factor)</w:t>
            </w:r>
          </w:p>
        </w:tc>
        <w:tc>
          <w:tcPr>
            <w:tcW w:w="2549" w:type="dxa"/>
          </w:tcPr>
          <w:p w14:paraId="0F6E8122" w14:textId="192433A4" w:rsidR="006C6705" w:rsidRPr="00D62E61" w:rsidRDefault="007F127F" w:rsidP="00D62E61">
            <w:pPr>
              <w:pStyle w:val="BodySans"/>
              <w:cnfStyle w:val="100000000000" w:firstRow="1" w:lastRow="0" w:firstColumn="0" w:lastColumn="0" w:oddVBand="0" w:evenVBand="0" w:oddHBand="0" w:evenHBand="0" w:firstRowFirstColumn="0" w:firstRowLastColumn="0" w:lastRowFirstColumn="0" w:lastRowLastColumn="0"/>
            </w:pPr>
            <w:r>
              <w:t xml:space="preserve">% </w:t>
            </w:r>
            <w:r w:rsidR="00031A86" w:rsidRPr="00D62E61">
              <w:t>DFV-AOD/MH (2</w:t>
            </w:r>
            <w:r w:rsidR="00AD78E0" w:rsidRPr="00D62E61">
              <w:t> </w:t>
            </w:r>
            <w:r w:rsidR="00031A86" w:rsidRPr="00D62E61">
              <w:t>risk</w:t>
            </w:r>
            <w:r w:rsidR="00AD78E0" w:rsidRPr="00D62E61">
              <w:t> </w:t>
            </w:r>
            <w:r w:rsidR="00031A86" w:rsidRPr="00D62E61">
              <w:t>factors)</w:t>
            </w:r>
          </w:p>
        </w:tc>
        <w:tc>
          <w:tcPr>
            <w:tcW w:w="2549" w:type="dxa"/>
          </w:tcPr>
          <w:p w14:paraId="1D5CA649" w14:textId="2212CBEC" w:rsidR="006C6705" w:rsidRPr="00D62E61" w:rsidRDefault="007F127F" w:rsidP="00D62E61">
            <w:pPr>
              <w:pStyle w:val="BodySans"/>
              <w:cnfStyle w:val="100000000000" w:firstRow="1" w:lastRow="0" w:firstColumn="0" w:lastColumn="0" w:oddVBand="0" w:evenVBand="0" w:oddHBand="0" w:evenHBand="0" w:firstRowFirstColumn="0" w:firstRowLastColumn="0" w:lastRowFirstColumn="0" w:lastRowLastColumn="0"/>
            </w:pPr>
            <w:r>
              <w:t xml:space="preserve">% </w:t>
            </w:r>
            <w:r w:rsidR="00031A86" w:rsidRPr="00D62E61">
              <w:t>DFV-AOC/MH (3</w:t>
            </w:r>
            <w:r w:rsidR="00AD78E0" w:rsidRPr="00D62E61">
              <w:t> </w:t>
            </w:r>
            <w:r w:rsidR="00031A86" w:rsidRPr="00D62E61">
              <w:t>risk</w:t>
            </w:r>
            <w:r w:rsidR="00AD78E0" w:rsidRPr="00D62E61">
              <w:t> </w:t>
            </w:r>
            <w:r w:rsidR="00031A86" w:rsidRPr="00D62E61">
              <w:t>factors)</w:t>
            </w:r>
          </w:p>
        </w:tc>
      </w:tr>
      <w:tr w:rsidR="006C6705" w14:paraId="73107BF9" w14:textId="77777777" w:rsidTr="00AD7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447E0757" w14:textId="0BC98378" w:rsidR="006C6705" w:rsidRPr="00D62E61" w:rsidRDefault="00031A86" w:rsidP="00D62E61">
            <w:pPr>
              <w:pStyle w:val="BodySans"/>
            </w:pPr>
            <w:r w:rsidRPr="00D62E61">
              <w:t>Metropolitan</w:t>
            </w:r>
          </w:p>
        </w:tc>
        <w:tc>
          <w:tcPr>
            <w:tcW w:w="2548" w:type="dxa"/>
          </w:tcPr>
          <w:p w14:paraId="31EC7D48" w14:textId="61547A41" w:rsidR="006C6705" w:rsidRPr="00D62E61" w:rsidRDefault="00031A86" w:rsidP="00D62E61">
            <w:pPr>
              <w:pStyle w:val="BodySans"/>
              <w:cnfStyle w:val="000000100000" w:firstRow="0" w:lastRow="0" w:firstColumn="0" w:lastColumn="0" w:oddVBand="0" w:evenVBand="0" w:oddHBand="1" w:evenHBand="0" w:firstRowFirstColumn="0" w:firstRowLastColumn="0" w:lastRowFirstColumn="0" w:lastRowLastColumn="0"/>
            </w:pPr>
            <w:r w:rsidRPr="00D62E61">
              <w:t>81</w:t>
            </w:r>
          </w:p>
        </w:tc>
        <w:tc>
          <w:tcPr>
            <w:tcW w:w="2549" w:type="dxa"/>
          </w:tcPr>
          <w:p w14:paraId="588F037A" w14:textId="7B68E395" w:rsidR="006C6705" w:rsidRPr="00D62E61" w:rsidRDefault="00031A86" w:rsidP="00D62E61">
            <w:pPr>
              <w:pStyle w:val="BodySans"/>
              <w:cnfStyle w:val="000000100000" w:firstRow="0" w:lastRow="0" w:firstColumn="0" w:lastColumn="0" w:oddVBand="0" w:evenVBand="0" w:oddHBand="1" w:evenHBand="0" w:firstRowFirstColumn="0" w:firstRowLastColumn="0" w:lastRowFirstColumn="0" w:lastRowLastColumn="0"/>
            </w:pPr>
            <w:r w:rsidRPr="00D62E61">
              <w:t>16</w:t>
            </w:r>
          </w:p>
        </w:tc>
        <w:tc>
          <w:tcPr>
            <w:tcW w:w="2549" w:type="dxa"/>
          </w:tcPr>
          <w:p w14:paraId="018554BD" w14:textId="5790B2FE" w:rsidR="006C6705" w:rsidRPr="00D62E61" w:rsidRDefault="00031A86" w:rsidP="00D62E61">
            <w:pPr>
              <w:pStyle w:val="BodySans"/>
              <w:cnfStyle w:val="000000100000" w:firstRow="0" w:lastRow="0" w:firstColumn="0" w:lastColumn="0" w:oddVBand="0" w:evenVBand="0" w:oddHBand="1" w:evenHBand="0" w:firstRowFirstColumn="0" w:firstRowLastColumn="0" w:lastRowFirstColumn="0" w:lastRowLastColumn="0"/>
            </w:pPr>
            <w:r w:rsidRPr="00D62E61">
              <w:t>2</w:t>
            </w:r>
          </w:p>
        </w:tc>
      </w:tr>
      <w:tr w:rsidR="006C6705" w14:paraId="5B9CB584" w14:textId="77777777" w:rsidTr="00AD78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5A70EAD4" w14:textId="7E8185B7" w:rsidR="006C6705" w:rsidRPr="00D62E61" w:rsidRDefault="00031A86" w:rsidP="00D62E61">
            <w:pPr>
              <w:pStyle w:val="BodySans"/>
            </w:pPr>
            <w:r w:rsidRPr="00D62E61">
              <w:t>Inner regional</w:t>
            </w:r>
          </w:p>
        </w:tc>
        <w:tc>
          <w:tcPr>
            <w:tcW w:w="2548" w:type="dxa"/>
          </w:tcPr>
          <w:p w14:paraId="38EDB7A2" w14:textId="1F41F4DD" w:rsidR="006C6705" w:rsidRPr="00D62E61" w:rsidRDefault="00031A86" w:rsidP="00D62E61">
            <w:pPr>
              <w:pStyle w:val="BodySans"/>
              <w:cnfStyle w:val="000000010000" w:firstRow="0" w:lastRow="0" w:firstColumn="0" w:lastColumn="0" w:oddVBand="0" w:evenVBand="0" w:oddHBand="0" w:evenHBand="1" w:firstRowFirstColumn="0" w:firstRowLastColumn="0" w:lastRowFirstColumn="0" w:lastRowLastColumn="0"/>
            </w:pPr>
            <w:r w:rsidRPr="00D62E61">
              <w:t>74</w:t>
            </w:r>
          </w:p>
        </w:tc>
        <w:tc>
          <w:tcPr>
            <w:tcW w:w="2549" w:type="dxa"/>
          </w:tcPr>
          <w:p w14:paraId="12AA9BEB" w14:textId="63F154BC" w:rsidR="006C6705" w:rsidRPr="00D62E61" w:rsidRDefault="00031A86" w:rsidP="00D62E61">
            <w:pPr>
              <w:pStyle w:val="BodySans"/>
              <w:cnfStyle w:val="000000010000" w:firstRow="0" w:lastRow="0" w:firstColumn="0" w:lastColumn="0" w:oddVBand="0" w:evenVBand="0" w:oddHBand="0" w:evenHBand="1" w:firstRowFirstColumn="0" w:firstRowLastColumn="0" w:lastRowFirstColumn="0" w:lastRowLastColumn="0"/>
            </w:pPr>
            <w:r w:rsidRPr="00D62E61">
              <w:t>22</w:t>
            </w:r>
          </w:p>
        </w:tc>
        <w:tc>
          <w:tcPr>
            <w:tcW w:w="2549" w:type="dxa"/>
          </w:tcPr>
          <w:p w14:paraId="362C4696" w14:textId="652FB0F5" w:rsidR="006C6705" w:rsidRPr="00D62E61" w:rsidRDefault="00031A86" w:rsidP="00D62E61">
            <w:pPr>
              <w:pStyle w:val="BodySans"/>
              <w:cnfStyle w:val="000000010000" w:firstRow="0" w:lastRow="0" w:firstColumn="0" w:lastColumn="0" w:oddVBand="0" w:evenVBand="0" w:oddHBand="0" w:evenHBand="1" w:firstRowFirstColumn="0" w:firstRowLastColumn="0" w:lastRowFirstColumn="0" w:lastRowLastColumn="0"/>
            </w:pPr>
            <w:r w:rsidRPr="00D62E61">
              <w:t>4</w:t>
            </w:r>
          </w:p>
        </w:tc>
      </w:tr>
      <w:tr w:rsidR="006C6705" w14:paraId="1AAC7891" w14:textId="77777777" w:rsidTr="00AD7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25EC7EAB" w14:textId="7DAF2573" w:rsidR="006C6705" w:rsidRPr="00D62E61" w:rsidRDefault="00031A86" w:rsidP="00D62E61">
            <w:pPr>
              <w:pStyle w:val="BodySans"/>
            </w:pPr>
            <w:r w:rsidRPr="00D62E61">
              <w:t>Outer regional</w:t>
            </w:r>
          </w:p>
        </w:tc>
        <w:tc>
          <w:tcPr>
            <w:tcW w:w="2548" w:type="dxa"/>
          </w:tcPr>
          <w:p w14:paraId="7CC4274E" w14:textId="10798EBD" w:rsidR="006C6705" w:rsidRPr="00D62E61" w:rsidRDefault="00031A86" w:rsidP="00D62E61">
            <w:pPr>
              <w:pStyle w:val="BodySans"/>
              <w:cnfStyle w:val="000000100000" w:firstRow="0" w:lastRow="0" w:firstColumn="0" w:lastColumn="0" w:oddVBand="0" w:evenVBand="0" w:oddHBand="1" w:evenHBand="0" w:firstRowFirstColumn="0" w:firstRowLastColumn="0" w:lastRowFirstColumn="0" w:lastRowLastColumn="0"/>
            </w:pPr>
            <w:r w:rsidRPr="00D62E61">
              <w:t>75</w:t>
            </w:r>
          </w:p>
        </w:tc>
        <w:tc>
          <w:tcPr>
            <w:tcW w:w="2549" w:type="dxa"/>
          </w:tcPr>
          <w:p w14:paraId="0C24DC97" w14:textId="6272C5D3" w:rsidR="006C6705" w:rsidRPr="00D62E61" w:rsidRDefault="00031A86" w:rsidP="00D62E61">
            <w:pPr>
              <w:pStyle w:val="BodySans"/>
              <w:cnfStyle w:val="000000100000" w:firstRow="0" w:lastRow="0" w:firstColumn="0" w:lastColumn="0" w:oddVBand="0" w:evenVBand="0" w:oddHBand="1" w:evenHBand="0" w:firstRowFirstColumn="0" w:firstRowLastColumn="0" w:lastRowFirstColumn="0" w:lastRowLastColumn="0"/>
            </w:pPr>
            <w:r w:rsidRPr="00D62E61">
              <w:t>21</w:t>
            </w:r>
          </w:p>
        </w:tc>
        <w:tc>
          <w:tcPr>
            <w:tcW w:w="2549" w:type="dxa"/>
          </w:tcPr>
          <w:p w14:paraId="7D2F4D11" w14:textId="71A49C6A" w:rsidR="006C6705" w:rsidRPr="00D62E61" w:rsidRDefault="00031A86" w:rsidP="00D62E61">
            <w:pPr>
              <w:pStyle w:val="BodySans"/>
              <w:cnfStyle w:val="000000100000" w:firstRow="0" w:lastRow="0" w:firstColumn="0" w:lastColumn="0" w:oddVBand="0" w:evenVBand="0" w:oddHBand="1" w:evenHBand="0" w:firstRowFirstColumn="0" w:firstRowLastColumn="0" w:lastRowFirstColumn="0" w:lastRowLastColumn="0"/>
            </w:pPr>
            <w:r w:rsidRPr="00D62E61">
              <w:t>3</w:t>
            </w:r>
          </w:p>
        </w:tc>
      </w:tr>
      <w:tr w:rsidR="006C6705" w14:paraId="2DA5FACE" w14:textId="77777777" w:rsidTr="00AD78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659A2206" w14:textId="6BCDC89D" w:rsidR="006C6705" w:rsidRPr="00D62E61" w:rsidRDefault="00031A86" w:rsidP="00D62E61">
            <w:pPr>
              <w:pStyle w:val="BodySans"/>
            </w:pPr>
            <w:r w:rsidRPr="00D62E61">
              <w:t>Remote/very remote</w:t>
            </w:r>
          </w:p>
        </w:tc>
        <w:tc>
          <w:tcPr>
            <w:tcW w:w="2548" w:type="dxa"/>
          </w:tcPr>
          <w:p w14:paraId="651827BB" w14:textId="31FAFBAB" w:rsidR="006C6705" w:rsidRPr="00D62E61" w:rsidRDefault="00031A86" w:rsidP="00D62E61">
            <w:pPr>
              <w:pStyle w:val="BodySans"/>
              <w:cnfStyle w:val="000000010000" w:firstRow="0" w:lastRow="0" w:firstColumn="0" w:lastColumn="0" w:oddVBand="0" w:evenVBand="0" w:oddHBand="0" w:evenHBand="1" w:firstRowFirstColumn="0" w:firstRowLastColumn="0" w:lastRowFirstColumn="0" w:lastRowLastColumn="0"/>
            </w:pPr>
            <w:r w:rsidRPr="00D62E61">
              <w:t>74</w:t>
            </w:r>
          </w:p>
        </w:tc>
        <w:tc>
          <w:tcPr>
            <w:tcW w:w="2549" w:type="dxa"/>
          </w:tcPr>
          <w:p w14:paraId="6AB90BD2" w14:textId="17DB6A7B" w:rsidR="006C6705" w:rsidRPr="00D62E61" w:rsidRDefault="00031A86" w:rsidP="00D62E61">
            <w:pPr>
              <w:pStyle w:val="BodySans"/>
              <w:cnfStyle w:val="000000010000" w:firstRow="0" w:lastRow="0" w:firstColumn="0" w:lastColumn="0" w:oddVBand="0" w:evenVBand="0" w:oddHBand="0" w:evenHBand="1" w:firstRowFirstColumn="0" w:firstRowLastColumn="0" w:lastRowFirstColumn="0" w:lastRowLastColumn="0"/>
            </w:pPr>
            <w:r w:rsidRPr="00D62E61">
              <w:t>23</w:t>
            </w:r>
          </w:p>
        </w:tc>
        <w:tc>
          <w:tcPr>
            <w:tcW w:w="2549" w:type="dxa"/>
          </w:tcPr>
          <w:p w14:paraId="58075DCA" w14:textId="5311808C" w:rsidR="006C6705" w:rsidRPr="00D62E61" w:rsidRDefault="00031A86" w:rsidP="00D62E61">
            <w:pPr>
              <w:pStyle w:val="BodySans"/>
              <w:cnfStyle w:val="000000010000" w:firstRow="0" w:lastRow="0" w:firstColumn="0" w:lastColumn="0" w:oddVBand="0" w:evenVBand="0" w:oddHBand="0" w:evenHBand="1" w:firstRowFirstColumn="0" w:firstRowLastColumn="0" w:lastRowFirstColumn="0" w:lastRowLastColumn="0"/>
            </w:pPr>
            <w:r w:rsidRPr="00D62E61">
              <w:t>3</w:t>
            </w:r>
          </w:p>
        </w:tc>
      </w:tr>
    </w:tbl>
    <w:p w14:paraId="3118C581" w14:textId="77A760BA" w:rsidR="006C6705" w:rsidRDefault="00750FDF" w:rsidP="00750FDF">
      <w:pPr>
        <w:pStyle w:val="FigureTableNote"/>
      </w:pPr>
      <w:r>
        <w:t>Due to rounding, percentages within each rounding type may appear not to sum to 100%</w:t>
      </w:r>
    </w:p>
    <w:p w14:paraId="6E6A15C2" w14:textId="44B6912F" w:rsidR="004020C5" w:rsidRPr="004020C5" w:rsidRDefault="004020C5" w:rsidP="004020C5">
      <w:pPr>
        <w:pStyle w:val="H3"/>
      </w:pPr>
      <w:bookmarkStart w:id="30" w:name="_Toc191286656"/>
      <w:r w:rsidRPr="004020C5">
        <w:t>Number of children who entered OOHC for the first time in the 12 months after the first child concern report and associations with co-occurring risk</w:t>
      </w:r>
      <w:r w:rsidR="00F41E6C">
        <w:t> </w:t>
      </w:r>
      <w:r w:rsidRPr="004020C5">
        <w:t>factors</w:t>
      </w:r>
      <w:bookmarkEnd w:id="30"/>
    </w:p>
    <w:p w14:paraId="76D196FA" w14:textId="4A555A68" w:rsidR="004020C5" w:rsidRPr="004020C5" w:rsidRDefault="004020C5" w:rsidP="004020C5">
      <w:pPr>
        <w:pStyle w:val="BodySerif"/>
      </w:pPr>
      <w:r w:rsidRPr="004020C5">
        <w:t>Of the 584,365 children who received their first child concern report between 2004 and 2018, 4.8 per cent (</w:t>
      </w:r>
      <w:r w:rsidRPr="004020C5">
        <w:rPr>
          <w:i/>
          <w:iCs/>
        </w:rPr>
        <w:t>n</w:t>
      </w:r>
      <w:r w:rsidRPr="004020C5">
        <w:t> = 28,235) had a recorded entry into OOHC, and 2 per cent (</w:t>
      </w:r>
      <w:r w:rsidRPr="004020C5">
        <w:rPr>
          <w:i/>
          <w:iCs/>
        </w:rPr>
        <w:t>n</w:t>
      </w:r>
      <w:r w:rsidRPr="004020C5">
        <w:t> = 11,746) entered OOHC for the first time in the 12 months after their first child concern report. Of the 11,476 children who entered care in the 12 months after their first child concern report, most were initially placed in foster care (65%) or kinship care (33%), with the remaining children in residential care (2%). The average number of placements was 2.82 (</w:t>
      </w:r>
      <w:r w:rsidRPr="004020C5">
        <w:rPr>
          <w:i/>
          <w:iCs/>
        </w:rPr>
        <w:t>SD</w:t>
      </w:r>
      <w:r w:rsidRPr="004020C5">
        <w:t> = 2.7), and average age at first placement was 51.0 months (</w:t>
      </w:r>
      <w:r w:rsidRPr="004020C5">
        <w:rPr>
          <w:i/>
          <w:iCs/>
        </w:rPr>
        <w:t>SD</w:t>
      </w:r>
      <w:r w:rsidRPr="004020C5">
        <w:t> = 50.9) or 4.3 years, ranging from birth to 215 months (or 17.9 years).</w:t>
      </w:r>
    </w:p>
    <w:p w14:paraId="6199FD6A" w14:textId="0EE88AAB" w:rsidR="004020C5" w:rsidRPr="004020C5" w:rsidRDefault="004020C5" w:rsidP="004020C5">
      <w:pPr>
        <w:pStyle w:val="BodySerif"/>
      </w:pPr>
      <w:r w:rsidRPr="004020C5">
        <w:lastRenderedPageBreak/>
        <w:t>Compared to the 572,619 children who did not enter care in the 12 months after their first child concern report, the</w:t>
      </w:r>
      <w:r w:rsidR="00D157E6">
        <w:t> </w:t>
      </w:r>
      <w:r w:rsidRPr="004020C5">
        <w:t>11,746 children who did enter care in the 12 months were younger at first child concern report, had more child concern reports overall and total reports considered RoSH (Table 6). In addition, the average number of co-occurring risk factors related to parental DFV, AOD use and MH issues was higher for children who had entered care in the 12</w:t>
      </w:r>
      <w:r w:rsidR="00D157E6">
        <w:t> </w:t>
      </w:r>
      <w:r w:rsidRPr="004020C5">
        <w:t>months after their first child concern report than those who did not.</w:t>
      </w:r>
    </w:p>
    <w:p w14:paraId="4DE69036" w14:textId="71F083B2" w:rsidR="004020C5" w:rsidRPr="004020C5" w:rsidRDefault="004020C5" w:rsidP="004020C5">
      <w:pPr>
        <w:pStyle w:val="BodySerif"/>
      </w:pPr>
      <w:r w:rsidRPr="004020C5">
        <w:t>Figure 9 presents the percentage of children with flags in their child concern reports for parental DFV, AOD use and/or</w:t>
      </w:r>
      <w:r w:rsidR="00062FDD">
        <w:t> </w:t>
      </w:r>
      <w:r w:rsidRPr="004020C5">
        <w:t>MH issues prior to entering OOHC for the first time between 2004 and 2019. For comparison, the left-hand side of the figure includes percentages of children who entered care where flags in their child concern reports were not related to</w:t>
      </w:r>
      <w:r w:rsidR="00F41E6C">
        <w:t> </w:t>
      </w:r>
      <w:r w:rsidRPr="004020C5">
        <w:t>DFV. It is not suggested that other types of maltreatment (including neglect) are not relevant to a child’s entry into OOHC; however, the focus of this study is on DFV alongside parental AOD use and/or MH issues, and the findings of</w:t>
      </w:r>
      <w:r w:rsidR="00D157E6">
        <w:t> </w:t>
      </w:r>
      <w:r w:rsidRPr="004020C5">
        <w:t>this study suggest that having a history of these risk factors is</w:t>
      </w:r>
      <w:r w:rsidR="00F41E6C">
        <w:t> </w:t>
      </w:r>
      <w:r w:rsidRPr="004020C5">
        <w:t>strongly associated with a child’s entry into OOHC. As</w:t>
      </w:r>
      <w:r w:rsidR="00D157E6">
        <w:t> </w:t>
      </w:r>
      <w:r w:rsidRPr="004020C5">
        <w:t>shown in Figure 9, percentages of children with a flag for DFV-only were comparable to children with flags for issues unrelated to DFV in terms of entry into OOHC. However, where there was increasing co-occurrence between parental DFV with AOD use and/or MH issues, the percentages of</w:t>
      </w:r>
      <w:r w:rsidR="00062FDD">
        <w:t> </w:t>
      </w:r>
      <w:r w:rsidRPr="004020C5">
        <w:t>children entering OOHC for the first time also</w:t>
      </w:r>
      <w:r w:rsidR="00D157E6">
        <w:t> </w:t>
      </w:r>
      <w:r w:rsidRPr="004020C5">
        <w:t>increased.</w:t>
      </w:r>
    </w:p>
    <w:p w14:paraId="21373578" w14:textId="472A50E5" w:rsidR="004020C5" w:rsidRPr="004020C5" w:rsidRDefault="004020C5" w:rsidP="004020C5">
      <w:pPr>
        <w:pStyle w:val="BodySerif"/>
      </w:pPr>
      <w:r w:rsidRPr="004020C5">
        <w:t>In focusing on the children who have a flag for DFV with co-occurring parental AOD use and/or MH issues, Figure 10 shows the number of children entering OOHC for the first time between 2004 and 2018 with flags in child protection reports for parental DFV, AOD use and/or MH issues in the 12 months following the children’s first Helpline report. The</w:t>
      </w:r>
      <w:r w:rsidR="00F41E6C">
        <w:t> </w:t>
      </w:r>
      <w:r w:rsidRPr="004020C5">
        <w:t>years 2004 to 2018 are shown since these are complete calendar years in which data were available. In general, the</w:t>
      </w:r>
      <w:r w:rsidR="00F41E6C">
        <w:t> </w:t>
      </w:r>
      <w:r w:rsidRPr="004020C5">
        <w:t>highest number of first entries into OOHC within the 12 months following the first child concern report were seen for children who had flags for parental DFV alongside either parental AOD use or MH issues, followed by children who had flags for only DFV and children who had flags for all three risk factors (DFV-AOD-MH). Interestingly, peaks and dips were observed in the periods between 2009 and 2011, as well as from 2014 onwards. These changes could, in part, reflect the Keep Them Safe (KTS) and Safe Home for Life (SHFL) reforms that came into effect in January 2010 and October 2014 respectively (DCJ, 2020). These periods of reforms will be factored into the regression modelling in the next section when determining the odds of children’s first entry into OOHC associated with the co-occurrence of</w:t>
      </w:r>
      <w:r w:rsidR="00F41E6C">
        <w:t> </w:t>
      </w:r>
      <w:r w:rsidRPr="004020C5">
        <w:t>parental DFV, AOD use and MH issues.</w:t>
      </w:r>
    </w:p>
    <w:p w14:paraId="2E777966" w14:textId="77777777" w:rsidR="003C6F5B" w:rsidRDefault="003C6F5B">
      <w:pPr>
        <w:rPr>
          <w:rStyle w:val="Strong"/>
          <w:rFonts w:ascii="Arial" w:eastAsia="Times New Roman" w:hAnsi="Arial" w:cs="Arial"/>
          <w:color w:val="505554"/>
          <w:sz w:val="18"/>
          <w:szCs w:val="18"/>
          <w:lang w:val="en-US" w:eastAsia="en-AU"/>
        </w:rPr>
      </w:pPr>
      <w:r>
        <w:rPr>
          <w:rStyle w:val="Strong"/>
        </w:rPr>
        <w:br w:type="page"/>
      </w:r>
    </w:p>
    <w:p w14:paraId="0721CA72" w14:textId="5DD0CDE4" w:rsidR="004020C5" w:rsidRDefault="004020C5" w:rsidP="004020C5">
      <w:pPr>
        <w:pStyle w:val="FigureTableHeading"/>
      </w:pPr>
      <w:r w:rsidRPr="00F41E6C">
        <w:rPr>
          <w:rStyle w:val="Strong"/>
        </w:rPr>
        <w:lastRenderedPageBreak/>
        <w:t>Table 5</w:t>
      </w:r>
      <w:r w:rsidR="00D157E6">
        <w:rPr>
          <w:rStyle w:val="Strong"/>
        </w:rPr>
        <w:t xml:space="preserve"> (A-C)</w:t>
      </w:r>
      <w:r w:rsidRPr="00F41E6C">
        <w:rPr>
          <w:rStyle w:val="Strong"/>
        </w:rPr>
        <w:t>:</w:t>
      </w:r>
      <w:r w:rsidRPr="004020C5">
        <w:t xml:space="preserve"> Top quartile of SA2 regions (in alphabetical order) based on total number of children with co-occurring factors and SEIFA decile indicating socio-economic disadvantage in the state</w:t>
      </w:r>
    </w:p>
    <w:p w14:paraId="00D82670" w14:textId="380848B2" w:rsidR="004F5950" w:rsidRPr="004F5950" w:rsidRDefault="004F5950" w:rsidP="004F5950">
      <w:pPr>
        <w:pStyle w:val="FigureTableNote"/>
      </w:pPr>
      <w:r w:rsidRPr="004F5950">
        <w:t>● Black circle indicates that the SA2 location is represented in the top quartile based on the number and combination of co-occurring risk factors.</w:t>
      </w:r>
    </w:p>
    <w:p w14:paraId="3259C133" w14:textId="39C83B78" w:rsidR="00062FDD" w:rsidRPr="00062FDD" w:rsidRDefault="00D157E6" w:rsidP="00062FDD">
      <w:pPr>
        <w:pStyle w:val="TableSubheading"/>
      </w:pPr>
      <w:r>
        <w:t xml:space="preserve">A) </w:t>
      </w:r>
      <w:r w:rsidR="00062FDD" w:rsidRPr="00062FDD">
        <w:t>Metropolitan (Sydney)</w:t>
      </w:r>
    </w:p>
    <w:tbl>
      <w:tblPr>
        <w:tblStyle w:val="ANROWSTable"/>
        <w:tblW w:w="10202" w:type="dxa"/>
        <w:tblLook w:val="04A0" w:firstRow="1" w:lastRow="0" w:firstColumn="1" w:lastColumn="0" w:noHBand="0" w:noVBand="1"/>
      </w:tblPr>
      <w:tblGrid>
        <w:gridCol w:w="2268"/>
        <w:gridCol w:w="1542"/>
        <w:gridCol w:w="1558"/>
        <w:gridCol w:w="1552"/>
        <w:gridCol w:w="1743"/>
        <w:gridCol w:w="1539"/>
      </w:tblGrid>
      <w:tr w:rsidR="005F4F5D" w:rsidRPr="004020C5" w14:paraId="0310535D" w14:textId="77777777" w:rsidTr="00C35B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hideMark/>
          </w:tcPr>
          <w:p w14:paraId="3660372E" w14:textId="42F866CB" w:rsidR="004020C5" w:rsidRPr="00C35BE6" w:rsidRDefault="004020C5" w:rsidP="00C35BE6">
            <w:pPr>
              <w:pStyle w:val="BodySans"/>
            </w:pPr>
            <w:r w:rsidRPr="00C35BE6">
              <w:t>SA2 name</w:t>
            </w:r>
          </w:p>
        </w:tc>
        <w:tc>
          <w:tcPr>
            <w:tcW w:w="1542" w:type="dxa"/>
            <w:hideMark/>
          </w:tcPr>
          <w:p w14:paraId="2431A94B" w14:textId="4E8C468C"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DV-only</w:t>
            </w:r>
          </w:p>
          <w:p w14:paraId="203863F6" w14:textId="72C5F2AB"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(1 risk factor)</w:t>
            </w:r>
          </w:p>
        </w:tc>
        <w:tc>
          <w:tcPr>
            <w:tcW w:w="1558" w:type="dxa"/>
            <w:hideMark/>
          </w:tcPr>
          <w:p w14:paraId="2E5F934F" w14:textId="2EFB8A53"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DV-AOD/MH</w:t>
            </w:r>
          </w:p>
          <w:p w14:paraId="23A3075B" w14:textId="41634EEA"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(2 risk factors)</w:t>
            </w:r>
          </w:p>
        </w:tc>
        <w:tc>
          <w:tcPr>
            <w:tcW w:w="1552" w:type="dxa"/>
            <w:hideMark/>
          </w:tcPr>
          <w:p w14:paraId="405DF6BD" w14:textId="19D7311E"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DV-AOD-MH</w:t>
            </w:r>
          </w:p>
          <w:p w14:paraId="6FCF91D7" w14:textId="374D4783"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(3 risk factors)</w:t>
            </w:r>
          </w:p>
        </w:tc>
        <w:tc>
          <w:tcPr>
            <w:tcW w:w="1743" w:type="dxa"/>
            <w:hideMark/>
          </w:tcPr>
          <w:p w14:paraId="091AD580" w14:textId="6FEE362B"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All combinations of</w:t>
            </w:r>
            <w:r w:rsidR="005F4F5D" w:rsidRPr="00C35BE6">
              <w:t> </w:t>
            </w:r>
            <w:r w:rsidRPr="00C35BE6">
              <w:t>risk factors</w:t>
            </w:r>
          </w:p>
        </w:tc>
        <w:tc>
          <w:tcPr>
            <w:tcW w:w="1539" w:type="dxa"/>
            <w:hideMark/>
          </w:tcPr>
          <w:p w14:paraId="657D54A8" w14:textId="3860D15C"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SEIFA 2016</w:t>
            </w:r>
          </w:p>
          <w:p w14:paraId="1425A3F9" w14:textId="1A61B56B" w:rsidR="004020C5" w:rsidRPr="00C35BE6" w:rsidRDefault="004020C5" w:rsidP="00C35BE6">
            <w:pPr>
              <w:pStyle w:val="BodySans"/>
              <w:cnfStyle w:val="100000000000" w:firstRow="1" w:lastRow="0" w:firstColumn="0" w:lastColumn="0" w:oddVBand="0" w:evenVBand="0" w:oddHBand="0" w:evenHBand="0" w:firstRowFirstColumn="0" w:firstRowLastColumn="0" w:lastRowFirstColumn="0" w:lastRowLastColumn="0"/>
            </w:pPr>
            <w:r w:rsidRPr="00C35BE6">
              <w:t>decile</w:t>
            </w:r>
            <w:r w:rsidR="00070EFF" w:rsidRPr="00C35BE6">
              <w:t xml:space="preserve"> </w:t>
            </w:r>
            <w:r w:rsidRPr="004F5950">
              <w:rPr>
                <w:vertAlign w:val="superscript"/>
              </w:rPr>
              <w:t>a</w:t>
            </w:r>
          </w:p>
        </w:tc>
      </w:tr>
      <w:tr w:rsidR="004F5950" w:rsidRPr="004020C5" w14:paraId="0659B5A7" w14:textId="77777777" w:rsidTr="00691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0DB45360" w14:textId="1354741C" w:rsidR="004F5950" w:rsidRPr="00C35BE6" w:rsidRDefault="004F5950" w:rsidP="004F5950">
            <w:pPr>
              <w:pStyle w:val="BodySans"/>
            </w:pPr>
            <w:r w:rsidRPr="00C35BE6">
              <w:t>Ashcroft – Busby – Miller</w:t>
            </w:r>
          </w:p>
        </w:tc>
        <w:tc>
          <w:tcPr>
            <w:tcW w:w="1542" w:type="dxa"/>
            <w:vAlign w:val="top"/>
            <w:hideMark/>
          </w:tcPr>
          <w:p w14:paraId="59EF4F68" w14:textId="487B1812"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58" w:type="dxa"/>
            <w:vAlign w:val="top"/>
            <w:hideMark/>
          </w:tcPr>
          <w:p w14:paraId="4CC63833" w14:textId="7AD4F7CD"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4F5950">
              <w:rPr>
                <w:sz w:val="16"/>
                <w:szCs w:val="16"/>
              </w:rPr>
              <w:t>● Black circle</w:t>
            </w:r>
          </w:p>
        </w:tc>
        <w:tc>
          <w:tcPr>
            <w:tcW w:w="1552" w:type="dxa"/>
            <w:hideMark/>
          </w:tcPr>
          <w:p w14:paraId="6B66DA2F" w14:textId="77777777"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p>
        </w:tc>
        <w:tc>
          <w:tcPr>
            <w:tcW w:w="1743" w:type="dxa"/>
            <w:vAlign w:val="top"/>
            <w:hideMark/>
          </w:tcPr>
          <w:p w14:paraId="63CD3F39" w14:textId="7C8A7E40"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20B25">
              <w:rPr>
                <w:sz w:val="16"/>
                <w:szCs w:val="16"/>
              </w:rPr>
              <w:t>● Black circle</w:t>
            </w:r>
          </w:p>
        </w:tc>
        <w:tc>
          <w:tcPr>
            <w:tcW w:w="1539" w:type="dxa"/>
            <w:hideMark/>
          </w:tcPr>
          <w:p w14:paraId="53FF5B2D" w14:textId="53C81191"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1</w:t>
            </w:r>
          </w:p>
        </w:tc>
      </w:tr>
      <w:tr w:rsidR="004F5950" w:rsidRPr="004020C5" w14:paraId="68B412A6" w14:textId="77777777" w:rsidTr="00715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3A9A7526" w14:textId="3D56D885" w:rsidR="004F5950" w:rsidRPr="00C35BE6" w:rsidRDefault="004F5950" w:rsidP="004F5950">
            <w:pPr>
              <w:pStyle w:val="BodySans"/>
            </w:pPr>
            <w:r w:rsidRPr="00C35BE6">
              <w:t>Auburn – Central</w:t>
            </w:r>
          </w:p>
        </w:tc>
        <w:tc>
          <w:tcPr>
            <w:tcW w:w="1542" w:type="dxa"/>
            <w:vAlign w:val="top"/>
            <w:hideMark/>
          </w:tcPr>
          <w:p w14:paraId="528D1675" w14:textId="3998FED6"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558" w:type="dxa"/>
            <w:hideMark/>
          </w:tcPr>
          <w:p w14:paraId="09A376AD" w14:textId="77777777"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552" w:type="dxa"/>
            <w:hideMark/>
          </w:tcPr>
          <w:p w14:paraId="5F0C7B1A" w14:textId="77777777"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743" w:type="dxa"/>
            <w:vAlign w:val="top"/>
            <w:hideMark/>
          </w:tcPr>
          <w:p w14:paraId="7CDB6D62" w14:textId="587FA5DE"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620B25">
              <w:rPr>
                <w:sz w:val="16"/>
                <w:szCs w:val="16"/>
              </w:rPr>
              <w:t>● Black circle</w:t>
            </w:r>
          </w:p>
        </w:tc>
        <w:tc>
          <w:tcPr>
            <w:tcW w:w="1539" w:type="dxa"/>
            <w:hideMark/>
          </w:tcPr>
          <w:p w14:paraId="090039BF" w14:textId="745E516D"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1</w:t>
            </w:r>
          </w:p>
        </w:tc>
      </w:tr>
      <w:tr w:rsidR="004F5950" w:rsidRPr="004020C5" w14:paraId="0B734A77" w14:textId="77777777" w:rsidTr="0071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5F3C6855" w14:textId="6166ADBE" w:rsidR="004F5950" w:rsidRPr="00C35BE6" w:rsidRDefault="004F5950" w:rsidP="004F5950">
            <w:pPr>
              <w:pStyle w:val="BodySans"/>
            </w:pPr>
            <w:r w:rsidRPr="00C35BE6">
              <w:t>Bankstown – North</w:t>
            </w:r>
          </w:p>
        </w:tc>
        <w:tc>
          <w:tcPr>
            <w:tcW w:w="1542" w:type="dxa"/>
            <w:vAlign w:val="top"/>
            <w:hideMark/>
          </w:tcPr>
          <w:p w14:paraId="2B7B72A7" w14:textId="50139FCE"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58" w:type="dxa"/>
            <w:hideMark/>
          </w:tcPr>
          <w:p w14:paraId="39EA281E" w14:textId="77777777"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p>
        </w:tc>
        <w:tc>
          <w:tcPr>
            <w:tcW w:w="1552" w:type="dxa"/>
            <w:hideMark/>
          </w:tcPr>
          <w:p w14:paraId="6711CA42" w14:textId="77777777"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p>
        </w:tc>
        <w:tc>
          <w:tcPr>
            <w:tcW w:w="1743" w:type="dxa"/>
            <w:vAlign w:val="top"/>
            <w:hideMark/>
          </w:tcPr>
          <w:p w14:paraId="30892B22" w14:textId="27A5DCDA"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20B25">
              <w:rPr>
                <w:sz w:val="16"/>
                <w:szCs w:val="16"/>
              </w:rPr>
              <w:t>● Black circle</w:t>
            </w:r>
          </w:p>
        </w:tc>
        <w:tc>
          <w:tcPr>
            <w:tcW w:w="1539" w:type="dxa"/>
            <w:hideMark/>
          </w:tcPr>
          <w:p w14:paraId="19487312" w14:textId="6E1EFC68"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1</w:t>
            </w:r>
          </w:p>
        </w:tc>
      </w:tr>
      <w:tr w:rsidR="004F5950" w:rsidRPr="004020C5" w14:paraId="365A7163" w14:textId="77777777" w:rsidTr="00496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60FC714C" w14:textId="35C60CDB" w:rsidR="004F5950" w:rsidRPr="00C35BE6" w:rsidRDefault="004F5950" w:rsidP="004F5950">
            <w:pPr>
              <w:pStyle w:val="BodySans"/>
            </w:pPr>
            <w:r w:rsidRPr="00C35BE6">
              <w:t>Blacktown (East) – Kings Park</w:t>
            </w:r>
          </w:p>
        </w:tc>
        <w:tc>
          <w:tcPr>
            <w:tcW w:w="1542" w:type="dxa"/>
            <w:vAlign w:val="top"/>
            <w:hideMark/>
          </w:tcPr>
          <w:p w14:paraId="4F93680B" w14:textId="79904C50"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558" w:type="dxa"/>
            <w:vAlign w:val="top"/>
            <w:hideMark/>
          </w:tcPr>
          <w:p w14:paraId="650B5C5D" w14:textId="0878D920"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1A0FBC">
              <w:rPr>
                <w:sz w:val="16"/>
                <w:szCs w:val="16"/>
              </w:rPr>
              <w:t>● Black circle</w:t>
            </w:r>
          </w:p>
        </w:tc>
        <w:tc>
          <w:tcPr>
            <w:tcW w:w="1552" w:type="dxa"/>
            <w:vAlign w:val="top"/>
            <w:hideMark/>
          </w:tcPr>
          <w:p w14:paraId="7FE34AFA" w14:textId="4D71B13B"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1A0FBC">
              <w:rPr>
                <w:sz w:val="16"/>
                <w:szCs w:val="16"/>
              </w:rPr>
              <w:t>● Black circle</w:t>
            </w:r>
          </w:p>
        </w:tc>
        <w:tc>
          <w:tcPr>
            <w:tcW w:w="1743" w:type="dxa"/>
            <w:vAlign w:val="top"/>
            <w:hideMark/>
          </w:tcPr>
          <w:p w14:paraId="4DC047F0" w14:textId="70F9061C"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620B25">
              <w:rPr>
                <w:sz w:val="16"/>
                <w:szCs w:val="16"/>
              </w:rPr>
              <w:t>● Black circle</w:t>
            </w:r>
          </w:p>
        </w:tc>
        <w:tc>
          <w:tcPr>
            <w:tcW w:w="1539" w:type="dxa"/>
            <w:hideMark/>
          </w:tcPr>
          <w:p w14:paraId="6494AA69" w14:textId="02019F0F"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4</w:t>
            </w:r>
          </w:p>
        </w:tc>
      </w:tr>
      <w:tr w:rsidR="004F5950" w:rsidRPr="004020C5" w14:paraId="70422602" w14:textId="77777777" w:rsidTr="007D6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46BCA461" w14:textId="133FB135" w:rsidR="004F5950" w:rsidRPr="00C35BE6" w:rsidRDefault="004F5950" w:rsidP="004F5950">
            <w:pPr>
              <w:pStyle w:val="BodySans"/>
            </w:pPr>
            <w:r w:rsidRPr="00C35BE6">
              <w:t>Cabramatta – Lansvale</w:t>
            </w:r>
          </w:p>
        </w:tc>
        <w:tc>
          <w:tcPr>
            <w:tcW w:w="1542" w:type="dxa"/>
            <w:vAlign w:val="top"/>
            <w:hideMark/>
          </w:tcPr>
          <w:p w14:paraId="4DFAE6AB" w14:textId="57B6C402"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58" w:type="dxa"/>
            <w:hideMark/>
          </w:tcPr>
          <w:p w14:paraId="2D700843" w14:textId="77777777"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p>
        </w:tc>
        <w:tc>
          <w:tcPr>
            <w:tcW w:w="1552" w:type="dxa"/>
            <w:hideMark/>
          </w:tcPr>
          <w:p w14:paraId="3DF9B986" w14:textId="77777777"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p>
        </w:tc>
        <w:tc>
          <w:tcPr>
            <w:tcW w:w="1743" w:type="dxa"/>
            <w:vAlign w:val="top"/>
            <w:hideMark/>
          </w:tcPr>
          <w:p w14:paraId="304F1296" w14:textId="00EBA064"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20B25">
              <w:rPr>
                <w:sz w:val="16"/>
                <w:szCs w:val="16"/>
              </w:rPr>
              <w:t>● Black circle</w:t>
            </w:r>
          </w:p>
        </w:tc>
        <w:tc>
          <w:tcPr>
            <w:tcW w:w="1539" w:type="dxa"/>
            <w:hideMark/>
          </w:tcPr>
          <w:p w14:paraId="6488D437" w14:textId="3E8EACC1"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1</w:t>
            </w:r>
          </w:p>
        </w:tc>
      </w:tr>
      <w:tr w:rsidR="004F5950" w:rsidRPr="004020C5" w14:paraId="7212A6FC" w14:textId="77777777" w:rsidTr="007D61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34B90760" w14:textId="02862C61" w:rsidR="004F5950" w:rsidRPr="00C35BE6" w:rsidRDefault="004F5950" w:rsidP="004F5950">
            <w:pPr>
              <w:pStyle w:val="BodySans"/>
            </w:pPr>
            <w:r w:rsidRPr="00C35BE6">
              <w:t>Fairfield – West</w:t>
            </w:r>
          </w:p>
        </w:tc>
        <w:tc>
          <w:tcPr>
            <w:tcW w:w="1542" w:type="dxa"/>
            <w:vAlign w:val="top"/>
            <w:hideMark/>
          </w:tcPr>
          <w:p w14:paraId="395CB00A" w14:textId="6F369683"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558" w:type="dxa"/>
            <w:hideMark/>
          </w:tcPr>
          <w:p w14:paraId="33DA3205" w14:textId="77777777"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552" w:type="dxa"/>
            <w:hideMark/>
          </w:tcPr>
          <w:p w14:paraId="54BDC11B" w14:textId="77777777"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743" w:type="dxa"/>
            <w:vAlign w:val="top"/>
            <w:hideMark/>
          </w:tcPr>
          <w:p w14:paraId="0EA61A1A" w14:textId="20A7E8BE"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620B25">
              <w:rPr>
                <w:sz w:val="16"/>
                <w:szCs w:val="16"/>
              </w:rPr>
              <w:t>● Black circle</w:t>
            </w:r>
          </w:p>
        </w:tc>
        <w:tc>
          <w:tcPr>
            <w:tcW w:w="1539" w:type="dxa"/>
            <w:hideMark/>
          </w:tcPr>
          <w:p w14:paraId="15442380" w14:textId="5C9501F8"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1</w:t>
            </w:r>
          </w:p>
        </w:tc>
      </w:tr>
      <w:tr w:rsidR="004F5950" w:rsidRPr="004020C5" w14:paraId="16857385" w14:textId="77777777" w:rsidTr="00E65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509D084F" w14:textId="5B7980ED" w:rsidR="004F5950" w:rsidRPr="00C35BE6" w:rsidRDefault="004F5950" w:rsidP="004F5950">
            <w:pPr>
              <w:pStyle w:val="BodySans"/>
            </w:pPr>
            <w:r w:rsidRPr="00C35BE6">
              <w:t>Greystanes – Pemulwuy</w:t>
            </w:r>
          </w:p>
        </w:tc>
        <w:tc>
          <w:tcPr>
            <w:tcW w:w="1542" w:type="dxa"/>
            <w:vAlign w:val="top"/>
            <w:hideMark/>
          </w:tcPr>
          <w:p w14:paraId="335494CB" w14:textId="55F5C6F5"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58" w:type="dxa"/>
            <w:vAlign w:val="top"/>
            <w:hideMark/>
          </w:tcPr>
          <w:p w14:paraId="4EDCFE45" w14:textId="5D9F5D01"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4304A">
              <w:rPr>
                <w:sz w:val="16"/>
                <w:szCs w:val="16"/>
              </w:rPr>
              <w:t>● Black circle</w:t>
            </w:r>
          </w:p>
        </w:tc>
        <w:tc>
          <w:tcPr>
            <w:tcW w:w="1552" w:type="dxa"/>
            <w:hideMark/>
          </w:tcPr>
          <w:p w14:paraId="0F1384B2" w14:textId="77777777"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p>
        </w:tc>
        <w:tc>
          <w:tcPr>
            <w:tcW w:w="1743" w:type="dxa"/>
            <w:vAlign w:val="top"/>
            <w:hideMark/>
          </w:tcPr>
          <w:p w14:paraId="7AD65C27" w14:textId="4804E0CF"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20B25">
              <w:rPr>
                <w:sz w:val="16"/>
                <w:szCs w:val="16"/>
              </w:rPr>
              <w:t>● Black circle</w:t>
            </w:r>
          </w:p>
        </w:tc>
        <w:tc>
          <w:tcPr>
            <w:tcW w:w="1539" w:type="dxa"/>
            <w:hideMark/>
          </w:tcPr>
          <w:p w14:paraId="0C9A4CEA" w14:textId="3013D562"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7</w:t>
            </w:r>
          </w:p>
        </w:tc>
      </w:tr>
      <w:tr w:rsidR="004F5950" w:rsidRPr="004020C5" w14:paraId="6F34EE0B" w14:textId="77777777" w:rsidTr="00E653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18AD65DF" w14:textId="03EDCF52" w:rsidR="004F5950" w:rsidRPr="00C35BE6" w:rsidRDefault="004F5950" w:rsidP="004F5950">
            <w:pPr>
              <w:pStyle w:val="BodySans"/>
            </w:pPr>
            <w:r w:rsidRPr="00C35BE6">
              <w:t>Jamisontown – South Penrith</w:t>
            </w:r>
          </w:p>
        </w:tc>
        <w:tc>
          <w:tcPr>
            <w:tcW w:w="1542" w:type="dxa"/>
            <w:vAlign w:val="top"/>
            <w:hideMark/>
          </w:tcPr>
          <w:p w14:paraId="4F29EA76" w14:textId="05D13252"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558" w:type="dxa"/>
            <w:vAlign w:val="top"/>
            <w:hideMark/>
          </w:tcPr>
          <w:p w14:paraId="16149187" w14:textId="6D59963C"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64304A">
              <w:rPr>
                <w:sz w:val="16"/>
                <w:szCs w:val="16"/>
              </w:rPr>
              <w:t>● Black circle</w:t>
            </w:r>
          </w:p>
        </w:tc>
        <w:tc>
          <w:tcPr>
            <w:tcW w:w="1552" w:type="dxa"/>
            <w:vAlign w:val="top"/>
            <w:hideMark/>
          </w:tcPr>
          <w:p w14:paraId="2E1FA7A9" w14:textId="6C20B6AF"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E42388">
              <w:rPr>
                <w:sz w:val="16"/>
                <w:szCs w:val="16"/>
              </w:rPr>
              <w:t>● Black circle</w:t>
            </w:r>
          </w:p>
        </w:tc>
        <w:tc>
          <w:tcPr>
            <w:tcW w:w="1743" w:type="dxa"/>
            <w:vAlign w:val="top"/>
            <w:hideMark/>
          </w:tcPr>
          <w:p w14:paraId="0F6FBA0A" w14:textId="436BA75F"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620B25">
              <w:rPr>
                <w:sz w:val="16"/>
                <w:szCs w:val="16"/>
              </w:rPr>
              <w:t>● Black circle</w:t>
            </w:r>
          </w:p>
        </w:tc>
        <w:tc>
          <w:tcPr>
            <w:tcW w:w="1539" w:type="dxa"/>
            <w:hideMark/>
          </w:tcPr>
          <w:p w14:paraId="4C40DB96" w14:textId="61FC5F7C"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6</w:t>
            </w:r>
          </w:p>
        </w:tc>
      </w:tr>
      <w:tr w:rsidR="004F5950" w:rsidRPr="004020C5" w14:paraId="4915E94A" w14:textId="77777777" w:rsidTr="00E65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5C9D130E" w14:textId="29E8055E" w:rsidR="004F5950" w:rsidRPr="00C35BE6" w:rsidRDefault="004F5950" w:rsidP="004F5950">
            <w:pPr>
              <w:pStyle w:val="BodySans"/>
            </w:pPr>
            <w:r w:rsidRPr="00C35BE6">
              <w:t>Kingswood – Werrington</w:t>
            </w:r>
          </w:p>
        </w:tc>
        <w:tc>
          <w:tcPr>
            <w:tcW w:w="1542" w:type="dxa"/>
            <w:vAlign w:val="top"/>
            <w:hideMark/>
          </w:tcPr>
          <w:p w14:paraId="10F0F20E" w14:textId="7B393DFB"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58" w:type="dxa"/>
            <w:vAlign w:val="top"/>
            <w:hideMark/>
          </w:tcPr>
          <w:p w14:paraId="0682C121" w14:textId="1ED5BD8B"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4304A">
              <w:rPr>
                <w:sz w:val="16"/>
                <w:szCs w:val="16"/>
              </w:rPr>
              <w:t>● Black circle</w:t>
            </w:r>
          </w:p>
        </w:tc>
        <w:tc>
          <w:tcPr>
            <w:tcW w:w="1552" w:type="dxa"/>
            <w:vAlign w:val="top"/>
            <w:hideMark/>
          </w:tcPr>
          <w:p w14:paraId="6137D1BF" w14:textId="201E485A"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E42388">
              <w:rPr>
                <w:sz w:val="16"/>
                <w:szCs w:val="16"/>
              </w:rPr>
              <w:t>● Black circle</w:t>
            </w:r>
          </w:p>
        </w:tc>
        <w:tc>
          <w:tcPr>
            <w:tcW w:w="1743" w:type="dxa"/>
            <w:vAlign w:val="top"/>
            <w:hideMark/>
          </w:tcPr>
          <w:p w14:paraId="35768685" w14:textId="7D765ACF"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20B25">
              <w:rPr>
                <w:sz w:val="16"/>
                <w:szCs w:val="16"/>
              </w:rPr>
              <w:t>● Black circle</w:t>
            </w:r>
          </w:p>
        </w:tc>
        <w:tc>
          <w:tcPr>
            <w:tcW w:w="1539" w:type="dxa"/>
            <w:hideMark/>
          </w:tcPr>
          <w:p w14:paraId="1F137901" w14:textId="11DF8BD6"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4</w:t>
            </w:r>
          </w:p>
        </w:tc>
      </w:tr>
      <w:tr w:rsidR="004F5950" w:rsidRPr="004020C5" w14:paraId="6EABEFE5" w14:textId="77777777" w:rsidTr="007D61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68A39220" w14:textId="48043F92" w:rsidR="004F5950" w:rsidRPr="00C35BE6" w:rsidRDefault="004F5950" w:rsidP="004F5950">
            <w:pPr>
              <w:pStyle w:val="BodySans"/>
            </w:pPr>
            <w:r w:rsidRPr="00C35BE6">
              <w:t>Lakemba</w:t>
            </w:r>
          </w:p>
        </w:tc>
        <w:tc>
          <w:tcPr>
            <w:tcW w:w="1542" w:type="dxa"/>
            <w:vAlign w:val="top"/>
            <w:hideMark/>
          </w:tcPr>
          <w:p w14:paraId="6629B216" w14:textId="05F46810"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558" w:type="dxa"/>
            <w:hideMark/>
          </w:tcPr>
          <w:p w14:paraId="68A1D560" w14:textId="54DB579B"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552" w:type="dxa"/>
            <w:hideMark/>
          </w:tcPr>
          <w:p w14:paraId="2383A67C" w14:textId="7DBCA5DA"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743" w:type="dxa"/>
            <w:vAlign w:val="top"/>
            <w:hideMark/>
          </w:tcPr>
          <w:p w14:paraId="0C969806" w14:textId="0C956C64"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620B25">
              <w:rPr>
                <w:sz w:val="16"/>
                <w:szCs w:val="16"/>
              </w:rPr>
              <w:t>● Black circle</w:t>
            </w:r>
          </w:p>
        </w:tc>
        <w:tc>
          <w:tcPr>
            <w:tcW w:w="1539" w:type="dxa"/>
            <w:hideMark/>
          </w:tcPr>
          <w:p w14:paraId="0852E1C5" w14:textId="213AE420"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1</w:t>
            </w:r>
          </w:p>
        </w:tc>
      </w:tr>
      <w:tr w:rsidR="004F5950" w:rsidRPr="004020C5" w14:paraId="3C735DB0" w14:textId="77777777" w:rsidTr="007D6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551F2046" w14:textId="6B4E5F89" w:rsidR="004F5950" w:rsidRPr="00C35BE6" w:rsidRDefault="004F5950" w:rsidP="004F5950">
            <w:pPr>
              <w:pStyle w:val="BodySans"/>
            </w:pPr>
            <w:r w:rsidRPr="00C35BE6">
              <w:t>Liverpool</w:t>
            </w:r>
          </w:p>
        </w:tc>
        <w:tc>
          <w:tcPr>
            <w:tcW w:w="1542" w:type="dxa"/>
            <w:vAlign w:val="top"/>
          </w:tcPr>
          <w:p w14:paraId="2625EF7A" w14:textId="614B58D3"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58" w:type="dxa"/>
            <w:vAlign w:val="top"/>
          </w:tcPr>
          <w:p w14:paraId="1860F131" w14:textId="3EBA42D8"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950625">
              <w:rPr>
                <w:sz w:val="16"/>
                <w:szCs w:val="16"/>
              </w:rPr>
              <w:t>● Black circle</w:t>
            </w:r>
          </w:p>
        </w:tc>
        <w:tc>
          <w:tcPr>
            <w:tcW w:w="1552" w:type="dxa"/>
            <w:vAlign w:val="top"/>
          </w:tcPr>
          <w:p w14:paraId="5A119E6B" w14:textId="32634BA6"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950625">
              <w:rPr>
                <w:sz w:val="16"/>
                <w:szCs w:val="16"/>
              </w:rPr>
              <w:t>● Black circle</w:t>
            </w:r>
          </w:p>
        </w:tc>
        <w:tc>
          <w:tcPr>
            <w:tcW w:w="1743" w:type="dxa"/>
            <w:vAlign w:val="top"/>
          </w:tcPr>
          <w:p w14:paraId="70F762DC" w14:textId="56A0EB3D"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20B25">
              <w:rPr>
                <w:sz w:val="16"/>
                <w:szCs w:val="16"/>
              </w:rPr>
              <w:t>● Black circle</w:t>
            </w:r>
          </w:p>
        </w:tc>
        <w:tc>
          <w:tcPr>
            <w:tcW w:w="1539" w:type="dxa"/>
            <w:hideMark/>
          </w:tcPr>
          <w:p w14:paraId="5D9872A7" w14:textId="41E71E5C"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1</w:t>
            </w:r>
          </w:p>
        </w:tc>
      </w:tr>
      <w:tr w:rsidR="004F5950" w:rsidRPr="004020C5" w14:paraId="06105463" w14:textId="77777777" w:rsidTr="007D61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30DE0DCB" w14:textId="5A849326" w:rsidR="004F5950" w:rsidRPr="00C35BE6" w:rsidRDefault="004F5950" w:rsidP="004F5950">
            <w:pPr>
              <w:pStyle w:val="BodySans"/>
            </w:pPr>
            <w:r w:rsidRPr="00C35BE6">
              <w:t>Merrylands – Holroyd</w:t>
            </w:r>
          </w:p>
        </w:tc>
        <w:tc>
          <w:tcPr>
            <w:tcW w:w="1542" w:type="dxa"/>
            <w:vAlign w:val="top"/>
          </w:tcPr>
          <w:p w14:paraId="51C3EAF4" w14:textId="402EC3D5"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558" w:type="dxa"/>
          </w:tcPr>
          <w:p w14:paraId="6419740C" w14:textId="283F7ADD"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552" w:type="dxa"/>
          </w:tcPr>
          <w:p w14:paraId="3F85CF4B" w14:textId="0B7BD24D"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743" w:type="dxa"/>
            <w:vAlign w:val="top"/>
          </w:tcPr>
          <w:p w14:paraId="0B6E4F69" w14:textId="5F221D50"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620B25">
              <w:rPr>
                <w:sz w:val="16"/>
                <w:szCs w:val="16"/>
              </w:rPr>
              <w:t>● Black circle</w:t>
            </w:r>
          </w:p>
        </w:tc>
        <w:tc>
          <w:tcPr>
            <w:tcW w:w="1539" w:type="dxa"/>
            <w:hideMark/>
          </w:tcPr>
          <w:p w14:paraId="21E9167C" w14:textId="1F929CAD"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2</w:t>
            </w:r>
          </w:p>
        </w:tc>
      </w:tr>
      <w:tr w:rsidR="004F5950" w:rsidRPr="004020C5" w14:paraId="565D472C" w14:textId="77777777" w:rsidTr="007D6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3B821C6D" w14:textId="5691601A" w:rsidR="004F5950" w:rsidRPr="00C35BE6" w:rsidRDefault="004F5950" w:rsidP="004F5950">
            <w:pPr>
              <w:pStyle w:val="BodySans"/>
            </w:pPr>
            <w:r w:rsidRPr="00C35BE6">
              <w:t>Mount Druitt – Whalan</w:t>
            </w:r>
          </w:p>
        </w:tc>
        <w:tc>
          <w:tcPr>
            <w:tcW w:w="1542" w:type="dxa"/>
            <w:vAlign w:val="top"/>
          </w:tcPr>
          <w:p w14:paraId="09895FDC" w14:textId="090DED75"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58" w:type="dxa"/>
            <w:vAlign w:val="top"/>
          </w:tcPr>
          <w:p w14:paraId="762F41BA" w14:textId="431CEBAD"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F0272A">
              <w:rPr>
                <w:sz w:val="16"/>
                <w:szCs w:val="16"/>
              </w:rPr>
              <w:t>● Black circle</w:t>
            </w:r>
          </w:p>
        </w:tc>
        <w:tc>
          <w:tcPr>
            <w:tcW w:w="1552" w:type="dxa"/>
            <w:vAlign w:val="top"/>
          </w:tcPr>
          <w:p w14:paraId="0DF96F5D" w14:textId="1C1388BF"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F0272A">
              <w:rPr>
                <w:sz w:val="16"/>
                <w:szCs w:val="16"/>
              </w:rPr>
              <w:t>● Black circle</w:t>
            </w:r>
          </w:p>
        </w:tc>
        <w:tc>
          <w:tcPr>
            <w:tcW w:w="1743" w:type="dxa"/>
            <w:vAlign w:val="top"/>
          </w:tcPr>
          <w:p w14:paraId="353200C0" w14:textId="2AA60A80"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20B25">
              <w:rPr>
                <w:sz w:val="16"/>
                <w:szCs w:val="16"/>
              </w:rPr>
              <w:t>● Black circle</w:t>
            </w:r>
          </w:p>
        </w:tc>
        <w:tc>
          <w:tcPr>
            <w:tcW w:w="1539" w:type="dxa"/>
            <w:hideMark/>
          </w:tcPr>
          <w:p w14:paraId="5A53A7E8" w14:textId="52CB9125"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1</w:t>
            </w:r>
          </w:p>
        </w:tc>
      </w:tr>
      <w:tr w:rsidR="004F5950" w:rsidRPr="004020C5" w14:paraId="26A8CE5B" w14:textId="77777777" w:rsidTr="008C22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53803F4C" w14:textId="668C1520" w:rsidR="004F5950" w:rsidRPr="00C35BE6" w:rsidRDefault="004F5950" w:rsidP="004F5950">
            <w:pPr>
              <w:pStyle w:val="BodySans"/>
            </w:pPr>
            <w:r w:rsidRPr="00C35BE6">
              <w:t>Punchbowl</w:t>
            </w:r>
          </w:p>
        </w:tc>
        <w:tc>
          <w:tcPr>
            <w:tcW w:w="1542" w:type="dxa"/>
          </w:tcPr>
          <w:p w14:paraId="7A09180E" w14:textId="12541EE7"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558" w:type="dxa"/>
          </w:tcPr>
          <w:p w14:paraId="49ECBBEF" w14:textId="030FDB13"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552" w:type="dxa"/>
          </w:tcPr>
          <w:p w14:paraId="19F29A91" w14:textId="4659EE18"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743" w:type="dxa"/>
            <w:vAlign w:val="top"/>
            <w:hideMark/>
          </w:tcPr>
          <w:p w14:paraId="0B205EE2" w14:textId="3CE0B1F8"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620B25">
              <w:rPr>
                <w:sz w:val="16"/>
                <w:szCs w:val="16"/>
              </w:rPr>
              <w:t>● Black circle</w:t>
            </w:r>
          </w:p>
        </w:tc>
        <w:tc>
          <w:tcPr>
            <w:tcW w:w="1539" w:type="dxa"/>
            <w:hideMark/>
          </w:tcPr>
          <w:p w14:paraId="73E4AC09" w14:textId="2D79C740"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1</w:t>
            </w:r>
          </w:p>
        </w:tc>
      </w:tr>
      <w:tr w:rsidR="004F5950" w:rsidRPr="004020C5" w14:paraId="625BBB81" w14:textId="77777777" w:rsidTr="008C2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350140EA" w14:textId="33DDBEB6" w:rsidR="004F5950" w:rsidRPr="00C35BE6" w:rsidRDefault="004F5950" w:rsidP="004F5950">
            <w:pPr>
              <w:pStyle w:val="BodySans"/>
            </w:pPr>
            <w:r w:rsidRPr="00C35BE6">
              <w:t>Rosemeadow – Glen Alpine</w:t>
            </w:r>
          </w:p>
        </w:tc>
        <w:tc>
          <w:tcPr>
            <w:tcW w:w="1542" w:type="dxa"/>
            <w:vAlign w:val="top"/>
          </w:tcPr>
          <w:p w14:paraId="0C243245" w14:textId="11197437"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B0DEB">
              <w:rPr>
                <w:sz w:val="16"/>
                <w:szCs w:val="16"/>
              </w:rPr>
              <w:t>● Black circle</w:t>
            </w:r>
          </w:p>
        </w:tc>
        <w:tc>
          <w:tcPr>
            <w:tcW w:w="1558" w:type="dxa"/>
            <w:vAlign w:val="top"/>
          </w:tcPr>
          <w:p w14:paraId="63A92BB3" w14:textId="52258F68"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B0DEB">
              <w:rPr>
                <w:sz w:val="16"/>
                <w:szCs w:val="16"/>
              </w:rPr>
              <w:t>● Black circle</w:t>
            </w:r>
          </w:p>
        </w:tc>
        <w:tc>
          <w:tcPr>
            <w:tcW w:w="1552" w:type="dxa"/>
            <w:vAlign w:val="top"/>
          </w:tcPr>
          <w:p w14:paraId="6BFE596D" w14:textId="193C9157"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B0DEB">
              <w:rPr>
                <w:sz w:val="16"/>
                <w:szCs w:val="16"/>
              </w:rPr>
              <w:t>● Black circle</w:t>
            </w:r>
          </w:p>
        </w:tc>
        <w:tc>
          <w:tcPr>
            <w:tcW w:w="1743" w:type="dxa"/>
            <w:vAlign w:val="top"/>
          </w:tcPr>
          <w:p w14:paraId="17B99DEA" w14:textId="27E866DC"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620B25">
              <w:rPr>
                <w:sz w:val="16"/>
                <w:szCs w:val="16"/>
              </w:rPr>
              <w:t>● Black circle</w:t>
            </w:r>
          </w:p>
        </w:tc>
        <w:tc>
          <w:tcPr>
            <w:tcW w:w="1539" w:type="dxa"/>
            <w:hideMark/>
          </w:tcPr>
          <w:p w14:paraId="46EBE277" w14:textId="4C612006"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3</w:t>
            </w:r>
          </w:p>
        </w:tc>
      </w:tr>
      <w:tr w:rsidR="004F5950" w:rsidRPr="004020C5" w14:paraId="176EF6CE" w14:textId="77777777" w:rsidTr="000D7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7435409E" w14:textId="45165BE6" w:rsidR="004F5950" w:rsidRPr="00C35BE6" w:rsidRDefault="004F5950" w:rsidP="004F5950">
            <w:pPr>
              <w:pStyle w:val="BodySans"/>
            </w:pPr>
            <w:r w:rsidRPr="00C35BE6">
              <w:t>St Marys – North St Marys</w:t>
            </w:r>
          </w:p>
        </w:tc>
        <w:tc>
          <w:tcPr>
            <w:tcW w:w="1542" w:type="dxa"/>
            <w:vAlign w:val="top"/>
          </w:tcPr>
          <w:p w14:paraId="39FCD7CC" w14:textId="2A978B5E"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534838">
              <w:rPr>
                <w:sz w:val="16"/>
                <w:szCs w:val="16"/>
              </w:rPr>
              <w:t>● Black circle</w:t>
            </w:r>
          </w:p>
        </w:tc>
        <w:tc>
          <w:tcPr>
            <w:tcW w:w="1558" w:type="dxa"/>
            <w:vAlign w:val="top"/>
          </w:tcPr>
          <w:p w14:paraId="33EF8441" w14:textId="76C982DA"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534838">
              <w:rPr>
                <w:sz w:val="16"/>
                <w:szCs w:val="16"/>
              </w:rPr>
              <w:t>● Black circle</w:t>
            </w:r>
          </w:p>
        </w:tc>
        <w:tc>
          <w:tcPr>
            <w:tcW w:w="1552" w:type="dxa"/>
            <w:vAlign w:val="top"/>
          </w:tcPr>
          <w:p w14:paraId="06B16E9C" w14:textId="48CAB14A"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534838">
              <w:rPr>
                <w:sz w:val="16"/>
                <w:szCs w:val="16"/>
              </w:rPr>
              <w:t>● Black circle</w:t>
            </w:r>
          </w:p>
        </w:tc>
        <w:tc>
          <w:tcPr>
            <w:tcW w:w="1743" w:type="dxa"/>
            <w:vAlign w:val="top"/>
          </w:tcPr>
          <w:p w14:paraId="5FED049A" w14:textId="590AEDDF"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534838">
              <w:rPr>
                <w:sz w:val="16"/>
                <w:szCs w:val="16"/>
              </w:rPr>
              <w:t>● Black circle</w:t>
            </w:r>
          </w:p>
        </w:tc>
        <w:tc>
          <w:tcPr>
            <w:tcW w:w="1539" w:type="dxa"/>
            <w:hideMark/>
          </w:tcPr>
          <w:p w14:paraId="22D66F0C" w14:textId="3C0425C8"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1</w:t>
            </w:r>
          </w:p>
        </w:tc>
      </w:tr>
    </w:tbl>
    <w:p w14:paraId="5DC94930" w14:textId="74A36C61" w:rsidR="00062FDD" w:rsidRDefault="00D157E6" w:rsidP="00062FDD">
      <w:pPr>
        <w:pStyle w:val="TableSubheading"/>
      </w:pPr>
      <w:r>
        <w:lastRenderedPageBreak/>
        <w:t xml:space="preserve">B) </w:t>
      </w:r>
      <w:r w:rsidR="00062FDD" w:rsidRPr="004020C5">
        <w:t>Metropolitan (outside Sydney)</w:t>
      </w:r>
    </w:p>
    <w:tbl>
      <w:tblPr>
        <w:tblStyle w:val="ANROWSTable"/>
        <w:tblW w:w="10207" w:type="dxa"/>
        <w:tblLook w:val="04A0" w:firstRow="1" w:lastRow="0" w:firstColumn="1" w:lastColumn="0" w:noHBand="0" w:noVBand="1"/>
      </w:tblPr>
      <w:tblGrid>
        <w:gridCol w:w="2268"/>
        <w:gridCol w:w="1543"/>
        <w:gridCol w:w="1559"/>
        <w:gridCol w:w="1553"/>
        <w:gridCol w:w="1743"/>
        <w:gridCol w:w="1541"/>
      </w:tblGrid>
      <w:tr w:rsidR="00062FDD" w:rsidRPr="004020C5" w14:paraId="7E3BBB5D" w14:textId="77777777" w:rsidTr="00C35B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5D86EB1B" w14:textId="41D71B49" w:rsidR="00062FDD" w:rsidRPr="00C35BE6" w:rsidRDefault="00062FDD" w:rsidP="00C35BE6">
            <w:pPr>
              <w:pStyle w:val="BodySans"/>
            </w:pPr>
            <w:r w:rsidRPr="00C35BE6">
              <w:t>SA2 name</w:t>
            </w:r>
          </w:p>
        </w:tc>
        <w:tc>
          <w:tcPr>
            <w:tcW w:w="1543" w:type="dxa"/>
          </w:tcPr>
          <w:p w14:paraId="743E9562" w14:textId="77777777"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DV-only</w:t>
            </w:r>
          </w:p>
          <w:p w14:paraId="1BF65A87" w14:textId="1FF5D6F3"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(1 risk factor)</w:t>
            </w:r>
          </w:p>
        </w:tc>
        <w:tc>
          <w:tcPr>
            <w:tcW w:w="1559" w:type="dxa"/>
          </w:tcPr>
          <w:p w14:paraId="3543F5FB" w14:textId="77777777"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DV-AOD/MH</w:t>
            </w:r>
          </w:p>
          <w:p w14:paraId="54FBC036" w14:textId="0B405F86"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(2 risk factors)</w:t>
            </w:r>
          </w:p>
        </w:tc>
        <w:tc>
          <w:tcPr>
            <w:tcW w:w="1553" w:type="dxa"/>
          </w:tcPr>
          <w:p w14:paraId="3F9D5A24" w14:textId="77777777"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DV-AOD-MH</w:t>
            </w:r>
          </w:p>
          <w:p w14:paraId="5909C948" w14:textId="1297F557"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(3 risk factors)</w:t>
            </w:r>
          </w:p>
        </w:tc>
        <w:tc>
          <w:tcPr>
            <w:tcW w:w="1743" w:type="dxa"/>
          </w:tcPr>
          <w:p w14:paraId="677BBE0C" w14:textId="3FB17DEC"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All combinations of</w:t>
            </w:r>
            <w:r w:rsidR="005F4F5D" w:rsidRPr="00C35BE6">
              <w:t> </w:t>
            </w:r>
            <w:r w:rsidRPr="00C35BE6">
              <w:t>risk factors</w:t>
            </w:r>
          </w:p>
        </w:tc>
        <w:tc>
          <w:tcPr>
            <w:tcW w:w="1541" w:type="dxa"/>
          </w:tcPr>
          <w:p w14:paraId="5C8D9BEF" w14:textId="77777777"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SEIFA 2016</w:t>
            </w:r>
          </w:p>
          <w:p w14:paraId="1136CBF9" w14:textId="3FA40427"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decile </w:t>
            </w:r>
            <w:r w:rsidRPr="0072389D">
              <w:rPr>
                <w:vertAlign w:val="superscript"/>
              </w:rPr>
              <w:t>a</w:t>
            </w:r>
          </w:p>
        </w:tc>
      </w:tr>
      <w:tr w:rsidR="004F5950" w:rsidRPr="004020C5" w14:paraId="3E731CCF" w14:textId="77777777" w:rsidTr="004F5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FDF9E1" w14:textId="11F34D07" w:rsidR="004F5950" w:rsidRPr="00C35BE6" w:rsidRDefault="004F5950" w:rsidP="004F5950">
            <w:pPr>
              <w:pStyle w:val="BodySans"/>
            </w:pPr>
            <w:r w:rsidRPr="00C35BE6">
              <w:t>Bateau Bay – Killarney Vale</w:t>
            </w:r>
          </w:p>
        </w:tc>
        <w:tc>
          <w:tcPr>
            <w:tcW w:w="1543" w:type="dxa"/>
            <w:vAlign w:val="top"/>
          </w:tcPr>
          <w:p w14:paraId="0667F054" w14:textId="5702EAA9"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59" w:type="dxa"/>
            <w:vAlign w:val="top"/>
          </w:tcPr>
          <w:p w14:paraId="5C7B73D9" w14:textId="30B961F4"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53" w:type="dxa"/>
            <w:vAlign w:val="top"/>
          </w:tcPr>
          <w:p w14:paraId="0718218E" w14:textId="4C6F4895"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743" w:type="dxa"/>
            <w:vAlign w:val="top"/>
          </w:tcPr>
          <w:p w14:paraId="43CBF045" w14:textId="14B5CB2E"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41" w:type="dxa"/>
          </w:tcPr>
          <w:p w14:paraId="01CD5CF0" w14:textId="3F4B4A4F"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5</w:t>
            </w:r>
          </w:p>
        </w:tc>
      </w:tr>
      <w:tr w:rsidR="008C06FA" w:rsidRPr="004020C5" w14:paraId="0FB5F5B0" w14:textId="77777777" w:rsidTr="004F5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548FC98F" w14:textId="60704B05" w:rsidR="008C06FA" w:rsidRPr="00C35BE6" w:rsidRDefault="008C06FA" w:rsidP="004F5950">
            <w:pPr>
              <w:pStyle w:val="BodySans"/>
            </w:pPr>
            <w:r w:rsidRPr="00C35BE6">
              <w:t>Cessnock</w:t>
            </w:r>
          </w:p>
        </w:tc>
        <w:tc>
          <w:tcPr>
            <w:tcW w:w="1543" w:type="dxa"/>
            <w:vAlign w:val="top"/>
            <w:hideMark/>
          </w:tcPr>
          <w:p w14:paraId="2B3446A5" w14:textId="5E213FA2" w:rsidR="008C06FA"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559" w:type="dxa"/>
            <w:vAlign w:val="top"/>
          </w:tcPr>
          <w:p w14:paraId="0F86FDAA" w14:textId="1E62EDE2" w:rsidR="008C06FA" w:rsidRPr="004F5950" w:rsidRDefault="008C06FA"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p>
        </w:tc>
        <w:tc>
          <w:tcPr>
            <w:tcW w:w="1553" w:type="dxa"/>
            <w:vAlign w:val="top"/>
          </w:tcPr>
          <w:p w14:paraId="48BE0E71" w14:textId="4EA155BC" w:rsidR="008C06FA" w:rsidRPr="004F5950" w:rsidRDefault="008C06FA"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p>
        </w:tc>
        <w:tc>
          <w:tcPr>
            <w:tcW w:w="1743" w:type="dxa"/>
            <w:vAlign w:val="top"/>
            <w:hideMark/>
          </w:tcPr>
          <w:p w14:paraId="3E3CDAEB" w14:textId="0BC550A3" w:rsidR="008C06FA"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541" w:type="dxa"/>
            <w:hideMark/>
          </w:tcPr>
          <w:p w14:paraId="3FA7495B" w14:textId="568868A0" w:rsidR="008C06FA" w:rsidRPr="00C35BE6" w:rsidRDefault="008C06FA" w:rsidP="004F5950">
            <w:pPr>
              <w:pStyle w:val="BodySans"/>
              <w:cnfStyle w:val="000000010000" w:firstRow="0" w:lastRow="0" w:firstColumn="0" w:lastColumn="0" w:oddVBand="0" w:evenVBand="0" w:oddHBand="0" w:evenHBand="1" w:firstRowFirstColumn="0" w:firstRowLastColumn="0" w:lastRowFirstColumn="0" w:lastRowLastColumn="0"/>
            </w:pPr>
            <w:r w:rsidRPr="00C35BE6">
              <w:t>1</w:t>
            </w:r>
          </w:p>
        </w:tc>
      </w:tr>
      <w:tr w:rsidR="004F5950" w:rsidRPr="004020C5" w14:paraId="4C7934CF" w14:textId="77777777" w:rsidTr="004F5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529F1B4E" w14:textId="4A229E96" w:rsidR="004F5950" w:rsidRPr="00C35BE6" w:rsidRDefault="004F5950" w:rsidP="00C35BE6">
            <w:pPr>
              <w:pStyle w:val="BodySans"/>
            </w:pPr>
            <w:r w:rsidRPr="00C35BE6">
              <w:t>Gorokan – Kanwal – Charmhaven</w:t>
            </w:r>
          </w:p>
        </w:tc>
        <w:tc>
          <w:tcPr>
            <w:tcW w:w="1543" w:type="dxa"/>
            <w:vAlign w:val="top"/>
          </w:tcPr>
          <w:p w14:paraId="3CE76C48" w14:textId="452ED9AC"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vAlign w:val="top"/>
          </w:tcPr>
          <w:p w14:paraId="1531E40B" w14:textId="7C618B6D"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p>
        </w:tc>
        <w:tc>
          <w:tcPr>
            <w:tcW w:w="1553" w:type="dxa"/>
            <w:vAlign w:val="top"/>
          </w:tcPr>
          <w:p w14:paraId="36064453" w14:textId="0A641AA2"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743" w:type="dxa"/>
            <w:vAlign w:val="top"/>
          </w:tcPr>
          <w:p w14:paraId="29780530" w14:textId="316165BD"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p>
        </w:tc>
        <w:tc>
          <w:tcPr>
            <w:tcW w:w="1541" w:type="dxa"/>
            <w:hideMark/>
          </w:tcPr>
          <w:p w14:paraId="7C6BBE87" w14:textId="5C0FD6FB" w:rsidR="004F5950" w:rsidRPr="00C35BE6" w:rsidRDefault="004F5950" w:rsidP="00C35BE6">
            <w:pPr>
              <w:pStyle w:val="BodySans"/>
              <w:cnfStyle w:val="000000100000" w:firstRow="0" w:lastRow="0" w:firstColumn="0" w:lastColumn="0" w:oddVBand="0" w:evenVBand="0" w:oddHBand="1" w:evenHBand="0" w:firstRowFirstColumn="0" w:firstRowLastColumn="0" w:lastRowFirstColumn="0" w:lastRowLastColumn="0"/>
            </w:pPr>
            <w:r w:rsidRPr="00C35BE6">
              <w:t>2</w:t>
            </w:r>
          </w:p>
        </w:tc>
      </w:tr>
      <w:tr w:rsidR="004F5950" w:rsidRPr="004020C5" w14:paraId="106F977F" w14:textId="77777777" w:rsidTr="004F5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60EBB51A" w14:textId="66B73685" w:rsidR="004F5950" w:rsidRPr="00C35BE6" w:rsidRDefault="004F5950" w:rsidP="004F5950">
            <w:pPr>
              <w:pStyle w:val="BodySans"/>
            </w:pPr>
            <w:r w:rsidRPr="00C35BE6">
              <w:t>Gosford – Springfield</w:t>
            </w:r>
          </w:p>
        </w:tc>
        <w:tc>
          <w:tcPr>
            <w:tcW w:w="1543" w:type="dxa"/>
            <w:vAlign w:val="top"/>
          </w:tcPr>
          <w:p w14:paraId="4D8F805C" w14:textId="182B7F25"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559" w:type="dxa"/>
            <w:vAlign w:val="top"/>
          </w:tcPr>
          <w:p w14:paraId="153C2211" w14:textId="7D0E1020"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553" w:type="dxa"/>
            <w:vAlign w:val="top"/>
          </w:tcPr>
          <w:p w14:paraId="3EF39515" w14:textId="6C4BCEB8"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743" w:type="dxa"/>
            <w:vAlign w:val="top"/>
          </w:tcPr>
          <w:p w14:paraId="21AB153B" w14:textId="7669DA43"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541" w:type="dxa"/>
            <w:hideMark/>
          </w:tcPr>
          <w:p w14:paraId="3B5A40AA" w14:textId="37F9ADB0"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4</w:t>
            </w:r>
          </w:p>
        </w:tc>
      </w:tr>
      <w:tr w:rsidR="004F5950" w:rsidRPr="004020C5" w14:paraId="2E529FF6" w14:textId="77777777" w:rsidTr="004F5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24139F88" w14:textId="008918ED" w:rsidR="004F5950" w:rsidRPr="00C35BE6" w:rsidRDefault="004F5950" w:rsidP="00C35BE6">
            <w:pPr>
              <w:pStyle w:val="BodySans"/>
            </w:pPr>
            <w:r w:rsidRPr="00C35BE6">
              <w:t>Kurri Kurri – Abermain</w:t>
            </w:r>
          </w:p>
        </w:tc>
        <w:tc>
          <w:tcPr>
            <w:tcW w:w="1543" w:type="dxa"/>
            <w:vAlign w:val="top"/>
          </w:tcPr>
          <w:p w14:paraId="1FDBE752" w14:textId="4985EF0B"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vAlign w:val="top"/>
          </w:tcPr>
          <w:p w14:paraId="5245F022" w14:textId="1932B63D"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p>
        </w:tc>
        <w:tc>
          <w:tcPr>
            <w:tcW w:w="1553" w:type="dxa"/>
            <w:vAlign w:val="top"/>
            <w:hideMark/>
          </w:tcPr>
          <w:p w14:paraId="601A1CCB" w14:textId="2A5EFAFA"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743" w:type="dxa"/>
            <w:vAlign w:val="top"/>
          </w:tcPr>
          <w:p w14:paraId="64CF8CC8" w14:textId="64CFCDF0"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p>
        </w:tc>
        <w:tc>
          <w:tcPr>
            <w:tcW w:w="1541" w:type="dxa"/>
            <w:hideMark/>
          </w:tcPr>
          <w:p w14:paraId="0958CA39" w14:textId="2C582128" w:rsidR="004F5950" w:rsidRPr="00C35BE6" w:rsidRDefault="004F5950" w:rsidP="00C35BE6">
            <w:pPr>
              <w:pStyle w:val="BodySans"/>
              <w:cnfStyle w:val="000000100000" w:firstRow="0" w:lastRow="0" w:firstColumn="0" w:lastColumn="0" w:oddVBand="0" w:evenVBand="0" w:oddHBand="1" w:evenHBand="0" w:firstRowFirstColumn="0" w:firstRowLastColumn="0" w:lastRowFirstColumn="0" w:lastRowLastColumn="0"/>
            </w:pPr>
            <w:r w:rsidRPr="00C35BE6">
              <w:t>2</w:t>
            </w:r>
          </w:p>
        </w:tc>
      </w:tr>
      <w:tr w:rsidR="004F5950" w:rsidRPr="004020C5" w14:paraId="6376CB7D" w14:textId="77777777" w:rsidTr="004F5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32CF5D23" w14:textId="4BFCCD9D" w:rsidR="004F5950" w:rsidRPr="00C35BE6" w:rsidRDefault="004F5950" w:rsidP="00C35BE6">
            <w:pPr>
              <w:pStyle w:val="BodySans"/>
            </w:pPr>
            <w:r w:rsidRPr="00C35BE6">
              <w:t>Maitland – East</w:t>
            </w:r>
          </w:p>
        </w:tc>
        <w:tc>
          <w:tcPr>
            <w:tcW w:w="1543" w:type="dxa"/>
            <w:vAlign w:val="top"/>
          </w:tcPr>
          <w:p w14:paraId="5834C71A" w14:textId="01C45A7B"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p>
        </w:tc>
        <w:tc>
          <w:tcPr>
            <w:tcW w:w="1559" w:type="dxa"/>
            <w:vAlign w:val="top"/>
          </w:tcPr>
          <w:p w14:paraId="7BC723E8" w14:textId="32304B45"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p>
        </w:tc>
        <w:tc>
          <w:tcPr>
            <w:tcW w:w="1553" w:type="dxa"/>
            <w:vAlign w:val="top"/>
            <w:hideMark/>
          </w:tcPr>
          <w:p w14:paraId="21B977F7" w14:textId="5B01BB21"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r w:rsidRPr="004F5950">
              <w:rPr>
                <w:sz w:val="16"/>
                <w:szCs w:val="16"/>
              </w:rPr>
              <w:t>● Black circle</w:t>
            </w:r>
          </w:p>
        </w:tc>
        <w:tc>
          <w:tcPr>
            <w:tcW w:w="1743" w:type="dxa"/>
            <w:vAlign w:val="top"/>
          </w:tcPr>
          <w:p w14:paraId="633BFBCC" w14:textId="131C654E" w:rsidR="004F5950" w:rsidRPr="004F5950" w:rsidRDefault="004F5950" w:rsidP="004F5950">
            <w:pPr>
              <w:pStyle w:val="BodySans"/>
              <w:cnfStyle w:val="000000010000" w:firstRow="0" w:lastRow="0" w:firstColumn="0" w:lastColumn="0" w:oddVBand="0" w:evenVBand="0" w:oddHBand="0" w:evenHBand="1" w:firstRowFirstColumn="0" w:firstRowLastColumn="0" w:lastRowFirstColumn="0" w:lastRowLastColumn="0"/>
              <w:rPr>
                <w:sz w:val="16"/>
                <w:szCs w:val="16"/>
              </w:rPr>
            </w:pPr>
          </w:p>
        </w:tc>
        <w:tc>
          <w:tcPr>
            <w:tcW w:w="1541" w:type="dxa"/>
            <w:hideMark/>
          </w:tcPr>
          <w:p w14:paraId="0F379C60" w14:textId="204867D2" w:rsidR="004F5950" w:rsidRPr="00C35BE6" w:rsidRDefault="004F5950" w:rsidP="00C35BE6">
            <w:pPr>
              <w:pStyle w:val="BodySans"/>
              <w:cnfStyle w:val="000000010000" w:firstRow="0" w:lastRow="0" w:firstColumn="0" w:lastColumn="0" w:oddVBand="0" w:evenVBand="0" w:oddHBand="0" w:evenHBand="1" w:firstRowFirstColumn="0" w:firstRowLastColumn="0" w:lastRowFirstColumn="0" w:lastRowLastColumn="0"/>
            </w:pPr>
            <w:r w:rsidRPr="00C35BE6">
              <w:t>4</w:t>
            </w:r>
          </w:p>
        </w:tc>
      </w:tr>
      <w:tr w:rsidR="004F5950" w:rsidRPr="004020C5" w14:paraId="0BB8EDD1" w14:textId="77777777" w:rsidTr="004F5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5F697896" w14:textId="14C3A168" w:rsidR="004F5950" w:rsidRPr="00C35BE6" w:rsidRDefault="004F5950" w:rsidP="00C35BE6">
            <w:pPr>
              <w:pStyle w:val="BodySans"/>
            </w:pPr>
            <w:r w:rsidRPr="00C35BE6">
              <w:t>Warnervale – Wadalba</w:t>
            </w:r>
          </w:p>
        </w:tc>
        <w:tc>
          <w:tcPr>
            <w:tcW w:w="1543" w:type="dxa"/>
            <w:vAlign w:val="top"/>
          </w:tcPr>
          <w:p w14:paraId="6C440E32" w14:textId="7C481A98"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59" w:type="dxa"/>
            <w:vAlign w:val="top"/>
          </w:tcPr>
          <w:p w14:paraId="09E19019" w14:textId="7BD97CF6"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53" w:type="dxa"/>
            <w:vAlign w:val="top"/>
          </w:tcPr>
          <w:p w14:paraId="2D61D358" w14:textId="56E7F4E6"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743" w:type="dxa"/>
            <w:vAlign w:val="top"/>
          </w:tcPr>
          <w:p w14:paraId="1CF59CA8" w14:textId="35341999" w:rsidR="004F5950" w:rsidRPr="004F5950" w:rsidRDefault="004F5950" w:rsidP="004F5950">
            <w:pPr>
              <w:pStyle w:val="BodySans"/>
              <w:cnfStyle w:val="000000100000" w:firstRow="0" w:lastRow="0" w:firstColumn="0" w:lastColumn="0" w:oddVBand="0" w:evenVBand="0" w:oddHBand="1" w:evenHBand="0" w:firstRowFirstColumn="0" w:firstRowLastColumn="0" w:lastRowFirstColumn="0" w:lastRowLastColumn="0"/>
              <w:rPr>
                <w:sz w:val="16"/>
                <w:szCs w:val="16"/>
              </w:rPr>
            </w:pPr>
            <w:r w:rsidRPr="004F5950">
              <w:rPr>
                <w:sz w:val="16"/>
                <w:szCs w:val="16"/>
              </w:rPr>
              <w:t>● Black circle</w:t>
            </w:r>
          </w:p>
        </w:tc>
        <w:tc>
          <w:tcPr>
            <w:tcW w:w="1541" w:type="dxa"/>
            <w:hideMark/>
          </w:tcPr>
          <w:p w14:paraId="158789AA" w14:textId="1F17952D" w:rsidR="004F5950" w:rsidRPr="00C35BE6" w:rsidRDefault="004F5950" w:rsidP="00C35BE6">
            <w:pPr>
              <w:pStyle w:val="BodySans"/>
              <w:cnfStyle w:val="000000100000" w:firstRow="0" w:lastRow="0" w:firstColumn="0" w:lastColumn="0" w:oddVBand="0" w:evenVBand="0" w:oddHBand="1" w:evenHBand="0" w:firstRowFirstColumn="0" w:firstRowLastColumn="0" w:lastRowFirstColumn="0" w:lastRowLastColumn="0"/>
            </w:pPr>
            <w:r w:rsidRPr="00C35BE6">
              <w:t>6</w:t>
            </w:r>
          </w:p>
        </w:tc>
      </w:tr>
    </w:tbl>
    <w:p w14:paraId="56AEF604" w14:textId="35783CF7" w:rsidR="00062FDD" w:rsidRDefault="00D157E6" w:rsidP="00062FDD">
      <w:pPr>
        <w:pStyle w:val="TableSubheading"/>
      </w:pPr>
      <w:r>
        <w:t xml:space="preserve">C) </w:t>
      </w:r>
      <w:r w:rsidR="00062FDD" w:rsidRPr="004020C5">
        <w:t>Inner Regional</w:t>
      </w:r>
    </w:p>
    <w:tbl>
      <w:tblPr>
        <w:tblStyle w:val="ANROWSTable"/>
        <w:tblW w:w="10204" w:type="dxa"/>
        <w:tblLook w:val="04A0" w:firstRow="1" w:lastRow="0" w:firstColumn="1" w:lastColumn="0" w:noHBand="0" w:noVBand="1"/>
      </w:tblPr>
      <w:tblGrid>
        <w:gridCol w:w="2267"/>
        <w:gridCol w:w="1541"/>
        <w:gridCol w:w="1559"/>
        <w:gridCol w:w="1553"/>
        <w:gridCol w:w="1743"/>
        <w:gridCol w:w="1541"/>
      </w:tblGrid>
      <w:tr w:rsidR="00062FDD" w:rsidRPr="004020C5" w14:paraId="652C1BEC" w14:textId="77777777" w:rsidTr="004F59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7" w:type="dxa"/>
          </w:tcPr>
          <w:p w14:paraId="42E65ACF" w14:textId="41A1D63D" w:rsidR="00062FDD" w:rsidRPr="00C35BE6" w:rsidRDefault="00062FDD" w:rsidP="00C35BE6">
            <w:pPr>
              <w:pStyle w:val="BodySans"/>
            </w:pPr>
            <w:r w:rsidRPr="00C35BE6">
              <w:t>SA2 name</w:t>
            </w:r>
          </w:p>
        </w:tc>
        <w:tc>
          <w:tcPr>
            <w:tcW w:w="1541" w:type="dxa"/>
          </w:tcPr>
          <w:p w14:paraId="78A4C044" w14:textId="77777777"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DV-only</w:t>
            </w:r>
          </w:p>
          <w:p w14:paraId="1A3692EA" w14:textId="6370F64C"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(1 risk factor)</w:t>
            </w:r>
          </w:p>
        </w:tc>
        <w:tc>
          <w:tcPr>
            <w:tcW w:w="1559" w:type="dxa"/>
          </w:tcPr>
          <w:p w14:paraId="7FA5BCB7" w14:textId="77777777"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DV-AOD/MH</w:t>
            </w:r>
          </w:p>
          <w:p w14:paraId="3AAEDB12" w14:textId="1445A308"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(2 risk factors)</w:t>
            </w:r>
          </w:p>
        </w:tc>
        <w:tc>
          <w:tcPr>
            <w:tcW w:w="1553" w:type="dxa"/>
          </w:tcPr>
          <w:p w14:paraId="4E8C28C5" w14:textId="77777777"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DV-AOD-MH</w:t>
            </w:r>
          </w:p>
          <w:p w14:paraId="611726FE" w14:textId="7204F69D"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 xml:space="preserve"> (3 risk factors)</w:t>
            </w:r>
          </w:p>
        </w:tc>
        <w:tc>
          <w:tcPr>
            <w:tcW w:w="1743" w:type="dxa"/>
          </w:tcPr>
          <w:p w14:paraId="503FB5DD" w14:textId="5BA45057"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All combinations of</w:t>
            </w:r>
            <w:r w:rsidR="005F4F5D" w:rsidRPr="00C35BE6">
              <w:t> </w:t>
            </w:r>
            <w:r w:rsidRPr="00C35BE6">
              <w:t>risk factors</w:t>
            </w:r>
          </w:p>
        </w:tc>
        <w:tc>
          <w:tcPr>
            <w:tcW w:w="1541" w:type="dxa"/>
          </w:tcPr>
          <w:p w14:paraId="1AF3FD6A" w14:textId="77777777" w:rsidR="00062FDD" w:rsidRPr="00C35BE6" w:rsidRDefault="00062FDD" w:rsidP="00C35BE6">
            <w:pPr>
              <w:pStyle w:val="BodySans"/>
              <w:cnfStyle w:val="100000000000" w:firstRow="1" w:lastRow="0" w:firstColumn="0" w:lastColumn="0" w:oddVBand="0" w:evenVBand="0" w:oddHBand="0" w:evenHBand="0" w:firstRowFirstColumn="0" w:firstRowLastColumn="0" w:lastRowFirstColumn="0" w:lastRowLastColumn="0"/>
            </w:pPr>
            <w:r w:rsidRPr="00C35BE6">
              <w:t>SEIFA 2016</w:t>
            </w:r>
          </w:p>
          <w:p w14:paraId="3730C616" w14:textId="1D4D79AB" w:rsidR="00062FDD" w:rsidRPr="0072389D" w:rsidRDefault="00062FDD" w:rsidP="00C35BE6">
            <w:pPr>
              <w:pStyle w:val="BodySans"/>
              <w:cnfStyle w:val="100000000000" w:firstRow="1" w:lastRow="0" w:firstColumn="0" w:lastColumn="0" w:oddVBand="0" w:evenVBand="0" w:oddHBand="0" w:evenHBand="0" w:firstRowFirstColumn="0" w:firstRowLastColumn="0" w:lastRowFirstColumn="0" w:lastRowLastColumn="0"/>
              <w:rPr>
                <w:vertAlign w:val="superscript"/>
              </w:rPr>
            </w:pPr>
            <w:r w:rsidRPr="00C35BE6">
              <w:t xml:space="preserve">decile </w:t>
            </w:r>
            <w:r w:rsidRPr="0072389D">
              <w:rPr>
                <w:vertAlign w:val="superscript"/>
              </w:rPr>
              <w:t>a</w:t>
            </w:r>
          </w:p>
        </w:tc>
      </w:tr>
      <w:tr w:rsidR="004F5950" w:rsidRPr="004020C5" w14:paraId="5026F78E" w14:textId="77777777" w:rsidTr="00834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47A9C397" w14:textId="7D34A27B" w:rsidR="004F5950" w:rsidRPr="00C35BE6" w:rsidRDefault="004F5950" w:rsidP="004F5950">
            <w:pPr>
              <w:pStyle w:val="BodySans"/>
            </w:pPr>
            <w:r w:rsidRPr="00C35BE6">
              <w:t>Coffs Harbour – North</w:t>
            </w:r>
          </w:p>
        </w:tc>
        <w:tc>
          <w:tcPr>
            <w:tcW w:w="1541" w:type="dxa"/>
          </w:tcPr>
          <w:p w14:paraId="56C14BD9" w14:textId="2BC8AAF0"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p>
        </w:tc>
        <w:tc>
          <w:tcPr>
            <w:tcW w:w="1559" w:type="dxa"/>
            <w:vAlign w:val="top"/>
          </w:tcPr>
          <w:p w14:paraId="5087B56C" w14:textId="118BB5E5"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DF2EAB">
              <w:rPr>
                <w:sz w:val="16"/>
                <w:szCs w:val="16"/>
              </w:rPr>
              <w:t>● Black circle</w:t>
            </w:r>
          </w:p>
        </w:tc>
        <w:tc>
          <w:tcPr>
            <w:tcW w:w="1553" w:type="dxa"/>
            <w:vAlign w:val="top"/>
          </w:tcPr>
          <w:p w14:paraId="0147D82A" w14:textId="6F1BE0A6"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DF2EAB">
              <w:rPr>
                <w:sz w:val="16"/>
                <w:szCs w:val="16"/>
              </w:rPr>
              <w:t>● Black circle</w:t>
            </w:r>
          </w:p>
        </w:tc>
        <w:tc>
          <w:tcPr>
            <w:tcW w:w="1743" w:type="dxa"/>
          </w:tcPr>
          <w:p w14:paraId="3C3C7443" w14:textId="4C527F8B"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p>
        </w:tc>
        <w:tc>
          <w:tcPr>
            <w:tcW w:w="1541" w:type="dxa"/>
          </w:tcPr>
          <w:p w14:paraId="7645003C" w14:textId="59139A18"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3</w:t>
            </w:r>
          </w:p>
        </w:tc>
      </w:tr>
      <w:tr w:rsidR="004F5950" w:rsidRPr="004020C5" w14:paraId="610FE677" w14:textId="77777777" w:rsidTr="004057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hideMark/>
          </w:tcPr>
          <w:p w14:paraId="68381615" w14:textId="39B284BB" w:rsidR="004F5950" w:rsidRPr="00C35BE6" w:rsidRDefault="004F5950" w:rsidP="004F5950">
            <w:pPr>
              <w:pStyle w:val="BodySans"/>
            </w:pPr>
            <w:r w:rsidRPr="00C35BE6">
              <w:t>Dubbo – South</w:t>
            </w:r>
          </w:p>
        </w:tc>
        <w:tc>
          <w:tcPr>
            <w:tcW w:w="1541" w:type="dxa"/>
            <w:vAlign w:val="top"/>
          </w:tcPr>
          <w:p w14:paraId="4AB40C4E" w14:textId="2095222D"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0F151C">
              <w:rPr>
                <w:sz w:val="16"/>
                <w:szCs w:val="16"/>
              </w:rPr>
              <w:t>● Black circle</w:t>
            </w:r>
          </w:p>
        </w:tc>
        <w:tc>
          <w:tcPr>
            <w:tcW w:w="1559" w:type="dxa"/>
            <w:vAlign w:val="top"/>
          </w:tcPr>
          <w:p w14:paraId="7848DCA8" w14:textId="65DFF986"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0F151C">
              <w:rPr>
                <w:sz w:val="16"/>
                <w:szCs w:val="16"/>
              </w:rPr>
              <w:t>● Black circle</w:t>
            </w:r>
          </w:p>
        </w:tc>
        <w:tc>
          <w:tcPr>
            <w:tcW w:w="1553" w:type="dxa"/>
            <w:vAlign w:val="top"/>
          </w:tcPr>
          <w:p w14:paraId="1E460E72" w14:textId="79D56312"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0F151C">
              <w:rPr>
                <w:sz w:val="16"/>
                <w:szCs w:val="16"/>
              </w:rPr>
              <w:t>● Black circle</w:t>
            </w:r>
          </w:p>
        </w:tc>
        <w:tc>
          <w:tcPr>
            <w:tcW w:w="1743" w:type="dxa"/>
            <w:vAlign w:val="top"/>
          </w:tcPr>
          <w:p w14:paraId="00A4F72C" w14:textId="50BA5480"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0F151C">
              <w:rPr>
                <w:sz w:val="16"/>
                <w:szCs w:val="16"/>
              </w:rPr>
              <w:t>● Black circle</w:t>
            </w:r>
          </w:p>
        </w:tc>
        <w:tc>
          <w:tcPr>
            <w:tcW w:w="1541" w:type="dxa"/>
            <w:hideMark/>
          </w:tcPr>
          <w:p w14:paraId="53AAF899" w14:textId="6620A8BF"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5</w:t>
            </w:r>
          </w:p>
        </w:tc>
      </w:tr>
      <w:tr w:rsidR="008C06FA" w:rsidRPr="004020C5" w14:paraId="33E7DF52" w14:textId="77777777" w:rsidTr="004F5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hideMark/>
          </w:tcPr>
          <w:p w14:paraId="3A094337" w14:textId="0DF693E3" w:rsidR="008C06FA" w:rsidRPr="00C35BE6" w:rsidRDefault="008C06FA" w:rsidP="004F5950">
            <w:pPr>
              <w:pStyle w:val="BodySans"/>
            </w:pPr>
            <w:r w:rsidRPr="00C35BE6">
              <w:t>Grafton</w:t>
            </w:r>
          </w:p>
        </w:tc>
        <w:tc>
          <w:tcPr>
            <w:tcW w:w="1541" w:type="dxa"/>
          </w:tcPr>
          <w:p w14:paraId="1064629C" w14:textId="2957E461" w:rsidR="008C06FA" w:rsidRPr="00C35BE6" w:rsidRDefault="008C06FA" w:rsidP="004F5950">
            <w:pPr>
              <w:pStyle w:val="BodySans"/>
              <w:cnfStyle w:val="000000100000" w:firstRow="0" w:lastRow="0" w:firstColumn="0" w:lastColumn="0" w:oddVBand="0" w:evenVBand="0" w:oddHBand="1" w:evenHBand="0" w:firstRowFirstColumn="0" w:firstRowLastColumn="0" w:lastRowFirstColumn="0" w:lastRowLastColumn="0"/>
            </w:pPr>
          </w:p>
        </w:tc>
        <w:tc>
          <w:tcPr>
            <w:tcW w:w="1559" w:type="dxa"/>
          </w:tcPr>
          <w:p w14:paraId="7627B50A" w14:textId="5CA10C0B" w:rsidR="008C06FA" w:rsidRPr="00C35BE6" w:rsidRDefault="008C06FA" w:rsidP="004F5950">
            <w:pPr>
              <w:pStyle w:val="BodySans"/>
              <w:cnfStyle w:val="000000100000" w:firstRow="0" w:lastRow="0" w:firstColumn="0" w:lastColumn="0" w:oddVBand="0" w:evenVBand="0" w:oddHBand="1" w:evenHBand="0" w:firstRowFirstColumn="0" w:firstRowLastColumn="0" w:lastRowFirstColumn="0" w:lastRowLastColumn="0"/>
            </w:pPr>
          </w:p>
        </w:tc>
        <w:tc>
          <w:tcPr>
            <w:tcW w:w="1553" w:type="dxa"/>
            <w:hideMark/>
          </w:tcPr>
          <w:p w14:paraId="6C592D94" w14:textId="50489E70" w:rsidR="008C06FA"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4F5950">
              <w:rPr>
                <w:sz w:val="16"/>
                <w:szCs w:val="16"/>
              </w:rPr>
              <w:t>● Black circle</w:t>
            </w:r>
          </w:p>
        </w:tc>
        <w:tc>
          <w:tcPr>
            <w:tcW w:w="1743" w:type="dxa"/>
            <w:hideMark/>
          </w:tcPr>
          <w:p w14:paraId="343664CD" w14:textId="2BE123AC" w:rsidR="008C06FA" w:rsidRPr="00C35BE6" w:rsidRDefault="008C06FA" w:rsidP="004F5950">
            <w:pPr>
              <w:pStyle w:val="BodySans"/>
              <w:cnfStyle w:val="000000100000" w:firstRow="0" w:lastRow="0" w:firstColumn="0" w:lastColumn="0" w:oddVBand="0" w:evenVBand="0" w:oddHBand="1" w:evenHBand="0" w:firstRowFirstColumn="0" w:firstRowLastColumn="0" w:lastRowFirstColumn="0" w:lastRowLastColumn="0"/>
            </w:pPr>
          </w:p>
        </w:tc>
        <w:tc>
          <w:tcPr>
            <w:tcW w:w="1541" w:type="dxa"/>
            <w:hideMark/>
          </w:tcPr>
          <w:p w14:paraId="25C5E4D1" w14:textId="188AD431" w:rsidR="008C06FA" w:rsidRPr="00C35BE6" w:rsidRDefault="008C06FA" w:rsidP="004F5950">
            <w:pPr>
              <w:pStyle w:val="BodySans"/>
              <w:cnfStyle w:val="000000100000" w:firstRow="0" w:lastRow="0" w:firstColumn="0" w:lastColumn="0" w:oddVBand="0" w:evenVBand="0" w:oddHBand="1" w:evenHBand="0" w:firstRowFirstColumn="0" w:firstRowLastColumn="0" w:lastRowFirstColumn="0" w:lastRowLastColumn="0"/>
            </w:pPr>
            <w:r w:rsidRPr="00C35BE6">
              <w:t>1</w:t>
            </w:r>
          </w:p>
        </w:tc>
      </w:tr>
      <w:tr w:rsidR="008C06FA" w:rsidRPr="004020C5" w14:paraId="1CB7267E" w14:textId="77777777" w:rsidTr="004F5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hideMark/>
          </w:tcPr>
          <w:p w14:paraId="616F2BDF" w14:textId="20FB1439" w:rsidR="008C06FA" w:rsidRPr="00C35BE6" w:rsidRDefault="008C06FA" w:rsidP="004F5950">
            <w:pPr>
              <w:pStyle w:val="BodySans"/>
            </w:pPr>
            <w:r w:rsidRPr="00C35BE6">
              <w:t>Kempsey</w:t>
            </w:r>
          </w:p>
        </w:tc>
        <w:tc>
          <w:tcPr>
            <w:tcW w:w="1541" w:type="dxa"/>
          </w:tcPr>
          <w:p w14:paraId="00F2F71D" w14:textId="02657A6D" w:rsidR="008C06FA" w:rsidRPr="00C35BE6" w:rsidRDefault="008C06FA" w:rsidP="004F5950">
            <w:pPr>
              <w:pStyle w:val="BodySans"/>
              <w:cnfStyle w:val="000000010000" w:firstRow="0" w:lastRow="0" w:firstColumn="0" w:lastColumn="0" w:oddVBand="0" w:evenVBand="0" w:oddHBand="0" w:evenHBand="1" w:firstRowFirstColumn="0" w:firstRowLastColumn="0" w:lastRowFirstColumn="0" w:lastRowLastColumn="0"/>
            </w:pPr>
          </w:p>
        </w:tc>
        <w:tc>
          <w:tcPr>
            <w:tcW w:w="1559" w:type="dxa"/>
            <w:hideMark/>
          </w:tcPr>
          <w:p w14:paraId="03FEB2A2" w14:textId="290D2E35" w:rsidR="008C06FA"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4F5950">
              <w:rPr>
                <w:sz w:val="16"/>
                <w:szCs w:val="16"/>
              </w:rPr>
              <w:t>● Black circle</w:t>
            </w:r>
          </w:p>
        </w:tc>
        <w:tc>
          <w:tcPr>
            <w:tcW w:w="1553" w:type="dxa"/>
          </w:tcPr>
          <w:p w14:paraId="5D17B2F0" w14:textId="16C7B88B" w:rsidR="008C06FA" w:rsidRPr="00C35BE6" w:rsidRDefault="008C06FA" w:rsidP="004F5950">
            <w:pPr>
              <w:pStyle w:val="BodySans"/>
              <w:cnfStyle w:val="000000010000" w:firstRow="0" w:lastRow="0" w:firstColumn="0" w:lastColumn="0" w:oddVBand="0" w:evenVBand="0" w:oddHBand="0" w:evenHBand="1" w:firstRowFirstColumn="0" w:firstRowLastColumn="0" w:lastRowFirstColumn="0" w:lastRowLastColumn="0"/>
            </w:pPr>
          </w:p>
        </w:tc>
        <w:tc>
          <w:tcPr>
            <w:tcW w:w="1743" w:type="dxa"/>
          </w:tcPr>
          <w:p w14:paraId="71388E77" w14:textId="0A165BAD" w:rsidR="008C06FA" w:rsidRPr="00C35BE6" w:rsidRDefault="008C06FA" w:rsidP="004F5950">
            <w:pPr>
              <w:pStyle w:val="BodySans"/>
              <w:cnfStyle w:val="000000010000" w:firstRow="0" w:lastRow="0" w:firstColumn="0" w:lastColumn="0" w:oddVBand="0" w:evenVBand="0" w:oddHBand="0" w:evenHBand="1" w:firstRowFirstColumn="0" w:firstRowLastColumn="0" w:lastRowFirstColumn="0" w:lastRowLastColumn="0"/>
            </w:pPr>
          </w:p>
        </w:tc>
        <w:tc>
          <w:tcPr>
            <w:tcW w:w="1541" w:type="dxa"/>
            <w:hideMark/>
          </w:tcPr>
          <w:p w14:paraId="21BE4DB0" w14:textId="4C5B4367" w:rsidR="008C06FA" w:rsidRPr="00C35BE6" w:rsidRDefault="008C06FA" w:rsidP="004F5950">
            <w:pPr>
              <w:pStyle w:val="BodySans"/>
              <w:cnfStyle w:val="000000010000" w:firstRow="0" w:lastRow="0" w:firstColumn="0" w:lastColumn="0" w:oddVBand="0" w:evenVBand="0" w:oddHBand="0" w:evenHBand="1" w:firstRowFirstColumn="0" w:firstRowLastColumn="0" w:lastRowFirstColumn="0" w:lastRowLastColumn="0"/>
            </w:pPr>
            <w:r w:rsidRPr="00C35BE6">
              <w:t>1</w:t>
            </w:r>
          </w:p>
        </w:tc>
      </w:tr>
      <w:tr w:rsidR="004F5950" w:rsidRPr="004020C5" w14:paraId="6A1DB915" w14:textId="77777777" w:rsidTr="00EB2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hideMark/>
          </w:tcPr>
          <w:p w14:paraId="394C632D" w14:textId="6435AD5E" w:rsidR="004F5950" w:rsidRPr="00C35BE6" w:rsidRDefault="004F5950" w:rsidP="004F5950">
            <w:pPr>
              <w:pStyle w:val="BodySans"/>
            </w:pPr>
            <w:r w:rsidRPr="00C35BE6">
              <w:t>Lismore</w:t>
            </w:r>
          </w:p>
        </w:tc>
        <w:tc>
          <w:tcPr>
            <w:tcW w:w="1541" w:type="dxa"/>
          </w:tcPr>
          <w:p w14:paraId="4285800D" w14:textId="4F23E0B3"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p>
        </w:tc>
        <w:tc>
          <w:tcPr>
            <w:tcW w:w="1559" w:type="dxa"/>
            <w:vAlign w:val="top"/>
          </w:tcPr>
          <w:p w14:paraId="168E503C" w14:textId="4BBD2324"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2E5056">
              <w:rPr>
                <w:sz w:val="16"/>
                <w:szCs w:val="16"/>
              </w:rPr>
              <w:t>● Black circle</w:t>
            </w:r>
          </w:p>
        </w:tc>
        <w:tc>
          <w:tcPr>
            <w:tcW w:w="1553" w:type="dxa"/>
            <w:vAlign w:val="top"/>
          </w:tcPr>
          <w:p w14:paraId="6CA8DBA5" w14:textId="5FDA2D55"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2E5056">
              <w:rPr>
                <w:sz w:val="16"/>
                <w:szCs w:val="16"/>
              </w:rPr>
              <w:t>● Black circle</w:t>
            </w:r>
          </w:p>
        </w:tc>
        <w:tc>
          <w:tcPr>
            <w:tcW w:w="1743" w:type="dxa"/>
            <w:hideMark/>
          </w:tcPr>
          <w:p w14:paraId="24FF3E95" w14:textId="2E7010C4"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p>
        </w:tc>
        <w:tc>
          <w:tcPr>
            <w:tcW w:w="1541" w:type="dxa"/>
            <w:hideMark/>
          </w:tcPr>
          <w:p w14:paraId="6F10947F" w14:textId="1FFDC060"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2</w:t>
            </w:r>
          </w:p>
        </w:tc>
      </w:tr>
      <w:tr w:rsidR="004F5950" w:rsidRPr="004020C5" w14:paraId="7660907B" w14:textId="77777777" w:rsidTr="00A9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hideMark/>
          </w:tcPr>
          <w:p w14:paraId="115238AB" w14:textId="64C9EC27" w:rsidR="004F5950" w:rsidRPr="00C35BE6" w:rsidRDefault="004F5950" w:rsidP="004F5950">
            <w:pPr>
              <w:pStyle w:val="BodySans"/>
            </w:pPr>
            <w:r w:rsidRPr="00C35BE6">
              <w:t>North Nowra – Bomaderry</w:t>
            </w:r>
          </w:p>
        </w:tc>
        <w:tc>
          <w:tcPr>
            <w:tcW w:w="1541" w:type="dxa"/>
          </w:tcPr>
          <w:p w14:paraId="1A54AA07" w14:textId="3A7BC9E2"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559" w:type="dxa"/>
            <w:vAlign w:val="top"/>
          </w:tcPr>
          <w:p w14:paraId="3D0B80F8" w14:textId="33AEA333"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241021">
              <w:rPr>
                <w:sz w:val="16"/>
                <w:szCs w:val="16"/>
              </w:rPr>
              <w:t>● Black circle</w:t>
            </w:r>
          </w:p>
        </w:tc>
        <w:tc>
          <w:tcPr>
            <w:tcW w:w="1553" w:type="dxa"/>
            <w:vAlign w:val="top"/>
          </w:tcPr>
          <w:p w14:paraId="7D5F8D4C" w14:textId="1B037F3A"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241021">
              <w:rPr>
                <w:sz w:val="16"/>
                <w:szCs w:val="16"/>
              </w:rPr>
              <w:t>● Black circle</w:t>
            </w:r>
          </w:p>
        </w:tc>
        <w:tc>
          <w:tcPr>
            <w:tcW w:w="1743" w:type="dxa"/>
            <w:hideMark/>
          </w:tcPr>
          <w:p w14:paraId="55BC8954" w14:textId="39FCA830"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p>
        </w:tc>
        <w:tc>
          <w:tcPr>
            <w:tcW w:w="1541" w:type="dxa"/>
            <w:hideMark/>
          </w:tcPr>
          <w:p w14:paraId="3CED4AEF" w14:textId="2181E65D"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5</w:t>
            </w:r>
          </w:p>
        </w:tc>
      </w:tr>
      <w:tr w:rsidR="004F5950" w:rsidRPr="004020C5" w14:paraId="2D6ABADB" w14:textId="77777777" w:rsidTr="004F5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hideMark/>
          </w:tcPr>
          <w:p w14:paraId="7193C0D5" w14:textId="0F6F548E" w:rsidR="004F5950" w:rsidRPr="00C35BE6" w:rsidRDefault="004F5950" w:rsidP="004F5950">
            <w:pPr>
              <w:pStyle w:val="BodySans"/>
            </w:pPr>
            <w:r w:rsidRPr="00C35BE6">
              <w:t>Orange – North</w:t>
            </w:r>
          </w:p>
        </w:tc>
        <w:tc>
          <w:tcPr>
            <w:tcW w:w="1541" w:type="dxa"/>
            <w:vAlign w:val="top"/>
          </w:tcPr>
          <w:p w14:paraId="4C5998D9" w14:textId="48165684"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EA069A">
              <w:rPr>
                <w:sz w:val="16"/>
                <w:szCs w:val="16"/>
              </w:rPr>
              <w:t>● Black circle</w:t>
            </w:r>
          </w:p>
        </w:tc>
        <w:tc>
          <w:tcPr>
            <w:tcW w:w="1559" w:type="dxa"/>
            <w:vAlign w:val="top"/>
          </w:tcPr>
          <w:p w14:paraId="2449A536" w14:textId="099ABEAE"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EA069A">
              <w:rPr>
                <w:sz w:val="16"/>
                <w:szCs w:val="16"/>
              </w:rPr>
              <w:t>● Black circle</w:t>
            </w:r>
          </w:p>
        </w:tc>
        <w:tc>
          <w:tcPr>
            <w:tcW w:w="1553" w:type="dxa"/>
            <w:vAlign w:val="top"/>
          </w:tcPr>
          <w:p w14:paraId="3853BD11" w14:textId="3CD09EAB"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EA069A">
              <w:rPr>
                <w:sz w:val="16"/>
                <w:szCs w:val="16"/>
              </w:rPr>
              <w:t>● Black circle</w:t>
            </w:r>
          </w:p>
        </w:tc>
        <w:tc>
          <w:tcPr>
            <w:tcW w:w="1743" w:type="dxa"/>
            <w:vAlign w:val="top"/>
          </w:tcPr>
          <w:p w14:paraId="7F8914B5" w14:textId="59541388"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EA069A">
              <w:rPr>
                <w:sz w:val="16"/>
                <w:szCs w:val="16"/>
              </w:rPr>
              <w:t>● Black circle</w:t>
            </w:r>
          </w:p>
        </w:tc>
        <w:tc>
          <w:tcPr>
            <w:tcW w:w="1541" w:type="dxa"/>
            <w:hideMark/>
          </w:tcPr>
          <w:p w14:paraId="48EC544C" w14:textId="022BBCD7" w:rsidR="004F5950"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C35BE6">
              <w:t>6</w:t>
            </w:r>
          </w:p>
        </w:tc>
      </w:tr>
      <w:tr w:rsidR="004F5950" w:rsidRPr="004020C5" w14:paraId="666E3F2D" w14:textId="77777777" w:rsidTr="004F5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hideMark/>
          </w:tcPr>
          <w:p w14:paraId="728F35D4" w14:textId="62F83A6D" w:rsidR="004F5950" w:rsidRPr="00C35BE6" w:rsidRDefault="004F5950" w:rsidP="004F5950">
            <w:pPr>
              <w:pStyle w:val="BodySans"/>
            </w:pPr>
            <w:r w:rsidRPr="00C35BE6">
              <w:t>Tamworth – East</w:t>
            </w:r>
          </w:p>
        </w:tc>
        <w:tc>
          <w:tcPr>
            <w:tcW w:w="1541" w:type="dxa"/>
            <w:vAlign w:val="top"/>
          </w:tcPr>
          <w:p w14:paraId="7B10F0C9" w14:textId="0CF67750"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EA069A">
              <w:rPr>
                <w:sz w:val="16"/>
                <w:szCs w:val="16"/>
              </w:rPr>
              <w:t>● Black circle</w:t>
            </w:r>
          </w:p>
        </w:tc>
        <w:tc>
          <w:tcPr>
            <w:tcW w:w="1559" w:type="dxa"/>
            <w:vAlign w:val="top"/>
          </w:tcPr>
          <w:p w14:paraId="53F24914" w14:textId="43B6F580"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EA069A">
              <w:rPr>
                <w:sz w:val="16"/>
                <w:szCs w:val="16"/>
              </w:rPr>
              <w:t>● Black circle</w:t>
            </w:r>
          </w:p>
        </w:tc>
        <w:tc>
          <w:tcPr>
            <w:tcW w:w="1553" w:type="dxa"/>
            <w:vAlign w:val="top"/>
          </w:tcPr>
          <w:p w14:paraId="10EA5A10" w14:textId="55E9C2A6"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EA069A">
              <w:rPr>
                <w:sz w:val="16"/>
                <w:szCs w:val="16"/>
              </w:rPr>
              <w:t>● Black circle</w:t>
            </w:r>
          </w:p>
        </w:tc>
        <w:tc>
          <w:tcPr>
            <w:tcW w:w="1743" w:type="dxa"/>
            <w:vAlign w:val="top"/>
          </w:tcPr>
          <w:p w14:paraId="098DCA78" w14:textId="4B080D9D"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EA069A">
              <w:rPr>
                <w:sz w:val="16"/>
                <w:szCs w:val="16"/>
              </w:rPr>
              <w:t>● Black circle</w:t>
            </w:r>
          </w:p>
        </w:tc>
        <w:tc>
          <w:tcPr>
            <w:tcW w:w="1541" w:type="dxa"/>
            <w:hideMark/>
          </w:tcPr>
          <w:p w14:paraId="1F9D08FB" w14:textId="15F0F2A5"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4</w:t>
            </w:r>
          </w:p>
        </w:tc>
      </w:tr>
      <w:tr w:rsidR="008C06FA" w:rsidRPr="004020C5" w14:paraId="7221C80F" w14:textId="77777777" w:rsidTr="004F5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hideMark/>
          </w:tcPr>
          <w:p w14:paraId="7B619F1A" w14:textId="40EA88D2" w:rsidR="008C06FA" w:rsidRPr="00C35BE6" w:rsidRDefault="008C06FA" w:rsidP="004F5950">
            <w:pPr>
              <w:pStyle w:val="BodySans"/>
            </w:pPr>
            <w:r w:rsidRPr="00C35BE6">
              <w:t>Taree</w:t>
            </w:r>
          </w:p>
        </w:tc>
        <w:tc>
          <w:tcPr>
            <w:tcW w:w="1541" w:type="dxa"/>
          </w:tcPr>
          <w:p w14:paraId="6B21929E" w14:textId="1FB1C2EA" w:rsidR="008C06FA" w:rsidRPr="00C35BE6" w:rsidRDefault="008C06FA" w:rsidP="004F5950">
            <w:pPr>
              <w:pStyle w:val="BodySans"/>
              <w:cnfStyle w:val="000000100000" w:firstRow="0" w:lastRow="0" w:firstColumn="0" w:lastColumn="0" w:oddVBand="0" w:evenVBand="0" w:oddHBand="1" w:evenHBand="0" w:firstRowFirstColumn="0" w:firstRowLastColumn="0" w:lastRowFirstColumn="0" w:lastRowLastColumn="0"/>
            </w:pPr>
          </w:p>
        </w:tc>
        <w:tc>
          <w:tcPr>
            <w:tcW w:w="1559" w:type="dxa"/>
          </w:tcPr>
          <w:p w14:paraId="0202A014" w14:textId="7499FF8F" w:rsidR="008C06FA" w:rsidRPr="00C35BE6" w:rsidRDefault="004F5950" w:rsidP="004F5950">
            <w:pPr>
              <w:pStyle w:val="BodySans"/>
              <w:cnfStyle w:val="000000100000" w:firstRow="0" w:lastRow="0" w:firstColumn="0" w:lastColumn="0" w:oddVBand="0" w:evenVBand="0" w:oddHBand="1" w:evenHBand="0" w:firstRowFirstColumn="0" w:firstRowLastColumn="0" w:lastRowFirstColumn="0" w:lastRowLastColumn="0"/>
            </w:pPr>
            <w:r w:rsidRPr="004F5950">
              <w:rPr>
                <w:sz w:val="16"/>
                <w:szCs w:val="16"/>
              </w:rPr>
              <w:t>● Black circle</w:t>
            </w:r>
          </w:p>
        </w:tc>
        <w:tc>
          <w:tcPr>
            <w:tcW w:w="1553" w:type="dxa"/>
          </w:tcPr>
          <w:p w14:paraId="39C3C94D" w14:textId="73CC59A2" w:rsidR="008C06FA" w:rsidRPr="00C35BE6" w:rsidRDefault="008C06FA" w:rsidP="004F5950">
            <w:pPr>
              <w:pStyle w:val="BodySans"/>
              <w:cnfStyle w:val="000000100000" w:firstRow="0" w:lastRow="0" w:firstColumn="0" w:lastColumn="0" w:oddVBand="0" w:evenVBand="0" w:oddHBand="1" w:evenHBand="0" w:firstRowFirstColumn="0" w:firstRowLastColumn="0" w:lastRowFirstColumn="0" w:lastRowLastColumn="0"/>
            </w:pPr>
          </w:p>
        </w:tc>
        <w:tc>
          <w:tcPr>
            <w:tcW w:w="1743" w:type="dxa"/>
          </w:tcPr>
          <w:p w14:paraId="270E64FF" w14:textId="018F5C16" w:rsidR="008C06FA" w:rsidRPr="00C35BE6" w:rsidRDefault="008C06FA" w:rsidP="004F5950">
            <w:pPr>
              <w:pStyle w:val="BodySans"/>
              <w:cnfStyle w:val="000000100000" w:firstRow="0" w:lastRow="0" w:firstColumn="0" w:lastColumn="0" w:oddVBand="0" w:evenVBand="0" w:oddHBand="1" w:evenHBand="0" w:firstRowFirstColumn="0" w:firstRowLastColumn="0" w:lastRowFirstColumn="0" w:lastRowLastColumn="0"/>
            </w:pPr>
          </w:p>
        </w:tc>
        <w:tc>
          <w:tcPr>
            <w:tcW w:w="1541" w:type="dxa"/>
            <w:hideMark/>
          </w:tcPr>
          <w:p w14:paraId="6E4542D5" w14:textId="253D71A7" w:rsidR="008C06FA" w:rsidRPr="00C35BE6" w:rsidRDefault="008C06FA" w:rsidP="004F5950">
            <w:pPr>
              <w:pStyle w:val="BodySans"/>
              <w:cnfStyle w:val="000000100000" w:firstRow="0" w:lastRow="0" w:firstColumn="0" w:lastColumn="0" w:oddVBand="0" w:evenVBand="0" w:oddHBand="1" w:evenHBand="0" w:firstRowFirstColumn="0" w:firstRowLastColumn="0" w:lastRowFirstColumn="0" w:lastRowLastColumn="0"/>
            </w:pPr>
            <w:r w:rsidRPr="00C35BE6">
              <w:t>1</w:t>
            </w:r>
          </w:p>
        </w:tc>
      </w:tr>
      <w:tr w:rsidR="004F5950" w:rsidRPr="004020C5" w14:paraId="116BDCFD" w14:textId="77777777" w:rsidTr="00F71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hideMark/>
          </w:tcPr>
          <w:p w14:paraId="1504C9D5" w14:textId="413DE065" w:rsidR="004F5950" w:rsidRPr="00C35BE6" w:rsidRDefault="004F5950" w:rsidP="004F5950">
            <w:pPr>
              <w:pStyle w:val="BodySans"/>
            </w:pPr>
            <w:r w:rsidRPr="00C35BE6">
              <w:lastRenderedPageBreak/>
              <w:t>Wagga Wagga – South</w:t>
            </w:r>
          </w:p>
        </w:tc>
        <w:tc>
          <w:tcPr>
            <w:tcW w:w="1541" w:type="dxa"/>
            <w:vAlign w:val="top"/>
          </w:tcPr>
          <w:p w14:paraId="73BFB6E2" w14:textId="6668012B"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BA02CE">
              <w:rPr>
                <w:sz w:val="16"/>
                <w:szCs w:val="16"/>
              </w:rPr>
              <w:t>● Black circle</w:t>
            </w:r>
          </w:p>
        </w:tc>
        <w:tc>
          <w:tcPr>
            <w:tcW w:w="1559" w:type="dxa"/>
            <w:vAlign w:val="top"/>
          </w:tcPr>
          <w:p w14:paraId="1CD7F962" w14:textId="436E0611"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BA02CE">
              <w:rPr>
                <w:sz w:val="16"/>
                <w:szCs w:val="16"/>
              </w:rPr>
              <w:t>● Black circle</w:t>
            </w:r>
          </w:p>
        </w:tc>
        <w:tc>
          <w:tcPr>
            <w:tcW w:w="1553" w:type="dxa"/>
            <w:vAlign w:val="top"/>
          </w:tcPr>
          <w:p w14:paraId="2486F30E" w14:textId="5D4CBE20"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BA02CE">
              <w:rPr>
                <w:sz w:val="16"/>
                <w:szCs w:val="16"/>
              </w:rPr>
              <w:t>● Black circle</w:t>
            </w:r>
          </w:p>
        </w:tc>
        <w:tc>
          <w:tcPr>
            <w:tcW w:w="1743" w:type="dxa"/>
            <w:vAlign w:val="top"/>
          </w:tcPr>
          <w:p w14:paraId="68271A61" w14:textId="3D27A7E6"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BA02CE">
              <w:rPr>
                <w:sz w:val="16"/>
                <w:szCs w:val="16"/>
              </w:rPr>
              <w:t>● Black circle</w:t>
            </w:r>
          </w:p>
        </w:tc>
        <w:tc>
          <w:tcPr>
            <w:tcW w:w="1541" w:type="dxa"/>
            <w:hideMark/>
          </w:tcPr>
          <w:p w14:paraId="3F2BE137" w14:textId="4834B0C1" w:rsidR="004F5950" w:rsidRPr="00C35BE6" w:rsidRDefault="004F5950" w:rsidP="004F5950">
            <w:pPr>
              <w:pStyle w:val="BodySans"/>
              <w:cnfStyle w:val="000000010000" w:firstRow="0" w:lastRow="0" w:firstColumn="0" w:lastColumn="0" w:oddVBand="0" w:evenVBand="0" w:oddHBand="0" w:evenHBand="1" w:firstRowFirstColumn="0" w:firstRowLastColumn="0" w:lastRowFirstColumn="0" w:lastRowLastColumn="0"/>
            </w:pPr>
            <w:r w:rsidRPr="00C35BE6">
              <w:t>4</w:t>
            </w:r>
          </w:p>
        </w:tc>
      </w:tr>
    </w:tbl>
    <w:p w14:paraId="72099FDD" w14:textId="286DA924" w:rsidR="004020C5" w:rsidRPr="004020C5" w:rsidRDefault="004020C5" w:rsidP="00062FDD">
      <w:pPr>
        <w:pStyle w:val="FigureTableNote"/>
      </w:pPr>
      <w:r w:rsidRPr="004020C5">
        <w:t>Notes:</w:t>
      </w:r>
    </w:p>
    <w:p w14:paraId="7646C5D6" w14:textId="4593372B" w:rsidR="004020C5" w:rsidRPr="004020C5" w:rsidRDefault="00070EFF" w:rsidP="00062FDD">
      <w:pPr>
        <w:pStyle w:val="FigureTableNote"/>
      </w:pPr>
      <w:r w:rsidRPr="00070EFF">
        <w:rPr>
          <w:rStyle w:val="Superscript"/>
        </w:rPr>
        <w:t xml:space="preserve"> </w:t>
      </w:r>
      <w:r w:rsidR="004020C5" w:rsidRPr="00070EFF">
        <w:rPr>
          <w:rStyle w:val="Superscript"/>
        </w:rPr>
        <w:t>a</w:t>
      </w:r>
      <w:r w:rsidR="004020C5" w:rsidRPr="004020C5">
        <w:t> Based on the Index of Relative Socio-economic Disadvantage (IRSD) in the Socio-Economic Indexes for Areas (SEIFA) 2016 within NSW.</w:t>
      </w:r>
    </w:p>
    <w:p w14:paraId="41BEFF2E" w14:textId="5B679E6E" w:rsidR="004020C5" w:rsidRPr="004020C5" w:rsidRDefault="004020C5" w:rsidP="004020C5">
      <w:pPr>
        <w:pStyle w:val="FigureTableHeading"/>
      </w:pPr>
      <w:r w:rsidRPr="008F32AB">
        <w:rPr>
          <w:rStyle w:val="Strong"/>
        </w:rPr>
        <w:t>Table 6</w:t>
      </w:r>
      <w:r w:rsidRPr="004020C5">
        <w:t>: Mean (</w:t>
      </w:r>
      <w:r w:rsidRPr="004020C5">
        <w:rPr>
          <w:i/>
          <w:iCs/>
        </w:rPr>
        <w:t>SD</w:t>
      </w:r>
      <w:r w:rsidRPr="004020C5">
        <w:t>) age at first child concern report, total number of reports, total RoSH and non-RoSH reports, and number of</w:t>
      </w:r>
      <w:r w:rsidR="008F32AB">
        <w:t> </w:t>
      </w:r>
      <w:r w:rsidRPr="004020C5">
        <w:t>co-occurring risk factors based on entry into OOHC within 12 months after the first Helpline report, </w:t>
      </w:r>
      <w:r w:rsidRPr="004020C5">
        <w:rPr>
          <w:i/>
          <w:iCs/>
        </w:rPr>
        <w:t>n</w:t>
      </w:r>
      <w:r w:rsidRPr="004020C5">
        <w:t> = 584,365</w:t>
      </w:r>
    </w:p>
    <w:tbl>
      <w:tblPr>
        <w:tblStyle w:val="ANROWSTable"/>
        <w:tblW w:w="0" w:type="auto"/>
        <w:tblLook w:val="04A0" w:firstRow="1" w:lastRow="0" w:firstColumn="1" w:lastColumn="0" w:noHBand="0" w:noVBand="1"/>
      </w:tblPr>
      <w:tblGrid>
        <w:gridCol w:w="4722"/>
        <w:gridCol w:w="1532"/>
        <w:gridCol w:w="3950"/>
      </w:tblGrid>
      <w:tr w:rsidR="004020C5" w:rsidRPr="004020C5" w14:paraId="19A1EAA4" w14:textId="77777777" w:rsidTr="00C35B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75063DF" w14:textId="712B2AE0" w:rsidR="004020C5" w:rsidRPr="004020C5" w:rsidRDefault="004020C5" w:rsidP="00780F06">
            <w:pPr>
              <w:pStyle w:val="BodySans"/>
              <w:spacing w:before="120"/>
            </w:pPr>
            <w:r w:rsidRPr="004020C5">
              <w:t>Characteristics</w:t>
            </w:r>
          </w:p>
        </w:tc>
        <w:tc>
          <w:tcPr>
            <w:tcW w:w="0" w:type="auto"/>
            <w:hideMark/>
          </w:tcPr>
          <w:p w14:paraId="42144BE3" w14:textId="2018C6C4" w:rsidR="004020C5" w:rsidRPr="004020C5" w:rsidRDefault="004020C5" w:rsidP="00780F06">
            <w:pPr>
              <w:pStyle w:val="BodySans"/>
              <w:spacing w:before="120"/>
              <w:cnfStyle w:val="100000000000" w:firstRow="1" w:lastRow="0" w:firstColumn="0" w:lastColumn="0" w:oddVBand="0" w:evenVBand="0" w:oddHBand="0" w:evenHBand="0" w:firstRowFirstColumn="0" w:firstRowLastColumn="0" w:lastRowFirstColumn="0" w:lastRowLastColumn="0"/>
            </w:pPr>
            <w:r w:rsidRPr="004020C5">
              <w:t>Entered OOHC</w:t>
            </w:r>
          </w:p>
          <w:p w14:paraId="1FB01032" w14:textId="718E1C8D" w:rsidR="004020C5" w:rsidRPr="004020C5" w:rsidRDefault="004020C5" w:rsidP="00780F06">
            <w:pPr>
              <w:pStyle w:val="BodySans"/>
              <w:spacing w:before="120"/>
              <w:cnfStyle w:val="100000000000" w:firstRow="1" w:lastRow="0" w:firstColumn="0" w:lastColumn="0" w:oddVBand="0" w:evenVBand="0" w:oddHBand="0" w:evenHBand="0" w:firstRowFirstColumn="0" w:firstRowLastColumn="0" w:lastRowFirstColumn="0" w:lastRowLastColumn="0"/>
            </w:pPr>
            <w:r w:rsidRPr="004020C5">
              <w:t>n = 11,746</w:t>
            </w:r>
          </w:p>
        </w:tc>
        <w:tc>
          <w:tcPr>
            <w:tcW w:w="0" w:type="auto"/>
            <w:hideMark/>
          </w:tcPr>
          <w:p w14:paraId="406A01A4" w14:textId="73EA34C5" w:rsidR="004020C5" w:rsidRPr="004020C5" w:rsidRDefault="004020C5" w:rsidP="00780F06">
            <w:pPr>
              <w:pStyle w:val="BodySans"/>
              <w:spacing w:before="120"/>
              <w:cnfStyle w:val="100000000000" w:firstRow="1" w:lastRow="0" w:firstColumn="0" w:lastColumn="0" w:oddVBand="0" w:evenVBand="0" w:oddHBand="0" w:evenHBand="0" w:firstRowFirstColumn="0" w:firstRowLastColumn="0" w:lastRowFirstColumn="0" w:lastRowLastColumn="0"/>
            </w:pPr>
            <w:r w:rsidRPr="004020C5">
              <w:t>Did not enter OOHC within 12 months after first Helpline report</w:t>
            </w:r>
          </w:p>
          <w:p w14:paraId="3DCDC240" w14:textId="7AF76AF7" w:rsidR="004020C5" w:rsidRPr="004020C5" w:rsidRDefault="004020C5" w:rsidP="00780F06">
            <w:pPr>
              <w:pStyle w:val="BodySans"/>
              <w:spacing w:before="120"/>
              <w:cnfStyle w:val="100000000000" w:firstRow="1" w:lastRow="0" w:firstColumn="0" w:lastColumn="0" w:oddVBand="0" w:evenVBand="0" w:oddHBand="0" w:evenHBand="0" w:firstRowFirstColumn="0" w:firstRowLastColumn="0" w:lastRowFirstColumn="0" w:lastRowLastColumn="0"/>
            </w:pPr>
            <w:r w:rsidRPr="004020C5">
              <w:t>n = 572,619</w:t>
            </w:r>
          </w:p>
        </w:tc>
      </w:tr>
      <w:tr w:rsidR="004020C5" w:rsidRPr="004020C5" w14:paraId="21B95122" w14:textId="77777777" w:rsidTr="008F3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B363CD" w14:textId="00CF7A40" w:rsidR="004020C5" w:rsidRPr="004020C5" w:rsidRDefault="004020C5" w:rsidP="00780F06">
            <w:pPr>
              <w:pStyle w:val="BodySans"/>
              <w:spacing w:before="120"/>
            </w:pPr>
            <w:r w:rsidRPr="004020C5">
              <w:t>Age at first child concern report in months</w:t>
            </w:r>
          </w:p>
        </w:tc>
        <w:tc>
          <w:tcPr>
            <w:tcW w:w="0" w:type="auto"/>
            <w:hideMark/>
          </w:tcPr>
          <w:p w14:paraId="4408A197" w14:textId="329187BF" w:rsidR="004020C5" w:rsidRPr="004020C5" w:rsidRDefault="004020C5" w:rsidP="00780F06">
            <w:pPr>
              <w:pStyle w:val="BodySans"/>
              <w:spacing w:before="120"/>
              <w:cnfStyle w:val="000000100000" w:firstRow="0" w:lastRow="0" w:firstColumn="0" w:lastColumn="0" w:oddVBand="0" w:evenVBand="0" w:oddHBand="1" w:evenHBand="0" w:firstRowFirstColumn="0" w:firstRowLastColumn="0" w:lastRowFirstColumn="0" w:lastRowLastColumn="0"/>
            </w:pPr>
            <w:r w:rsidRPr="004020C5">
              <w:t>22.33 (44.8)</w:t>
            </w:r>
          </w:p>
        </w:tc>
        <w:tc>
          <w:tcPr>
            <w:tcW w:w="0" w:type="auto"/>
            <w:hideMark/>
          </w:tcPr>
          <w:p w14:paraId="1A2BE9E9" w14:textId="14118175" w:rsidR="004020C5" w:rsidRPr="004020C5" w:rsidRDefault="004020C5" w:rsidP="00780F06">
            <w:pPr>
              <w:pStyle w:val="BodySans"/>
              <w:spacing w:before="120"/>
              <w:cnfStyle w:val="000000100000" w:firstRow="0" w:lastRow="0" w:firstColumn="0" w:lastColumn="0" w:oddVBand="0" w:evenVBand="0" w:oddHBand="1" w:evenHBand="0" w:firstRowFirstColumn="0" w:firstRowLastColumn="0" w:lastRowFirstColumn="0" w:lastRowLastColumn="0"/>
            </w:pPr>
            <w:r w:rsidRPr="004020C5">
              <w:t>81.17 (63.8)</w:t>
            </w:r>
          </w:p>
        </w:tc>
      </w:tr>
      <w:tr w:rsidR="004020C5" w:rsidRPr="004020C5" w14:paraId="6572E602" w14:textId="77777777" w:rsidTr="008F32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6A55C0" w14:textId="7EA02706" w:rsidR="004020C5" w:rsidRPr="004020C5" w:rsidRDefault="004020C5" w:rsidP="00780F06">
            <w:pPr>
              <w:pStyle w:val="BodySans"/>
              <w:spacing w:before="120"/>
            </w:pPr>
            <w:r w:rsidRPr="004020C5">
              <w:t>Total number of child concern reports</w:t>
            </w:r>
          </w:p>
        </w:tc>
        <w:tc>
          <w:tcPr>
            <w:tcW w:w="0" w:type="auto"/>
            <w:hideMark/>
          </w:tcPr>
          <w:p w14:paraId="53687CC4" w14:textId="61061E9B" w:rsidR="004020C5" w:rsidRPr="004020C5" w:rsidRDefault="004020C5" w:rsidP="00780F06">
            <w:pPr>
              <w:pStyle w:val="BodySans"/>
              <w:spacing w:before="120"/>
              <w:cnfStyle w:val="000000010000" w:firstRow="0" w:lastRow="0" w:firstColumn="0" w:lastColumn="0" w:oddVBand="0" w:evenVBand="0" w:oddHBand="0" w:evenHBand="1" w:firstRowFirstColumn="0" w:firstRowLastColumn="0" w:lastRowFirstColumn="0" w:lastRowLastColumn="0"/>
            </w:pPr>
            <w:r w:rsidRPr="004020C5">
              <w:t>6.18 (5.0)</w:t>
            </w:r>
          </w:p>
        </w:tc>
        <w:tc>
          <w:tcPr>
            <w:tcW w:w="0" w:type="auto"/>
            <w:hideMark/>
          </w:tcPr>
          <w:p w14:paraId="6A87591F" w14:textId="42D1077C" w:rsidR="004020C5" w:rsidRPr="004020C5" w:rsidRDefault="004020C5" w:rsidP="00780F06">
            <w:pPr>
              <w:pStyle w:val="BodySans"/>
              <w:spacing w:before="120"/>
              <w:cnfStyle w:val="000000010000" w:firstRow="0" w:lastRow="0" w:firstColumn="0" w:lastColumn="0" w:oddVBand="0" w:evenVBand="0" w:oddHBand="0" w:evenHBand="1" w:firstRowFirstColumn="0" w:firstRowLastColumn="0" w:lastRowFirstColumn="0" w:lastRowLastColumn="0"/>
            </w:pPr>
            <w:r w:rsidRPr="004020C5">
              <w:t>1.98 (2.0)</w:t>
            </w:r>
          </w:p>
        </w:tc>
      </w:tr>
      <w:tr w:rsidR="004020C5" w:rsidRPr="004020C5" w14:paraId="56D2FF30" w14:textId="77777777" w:rsidTr="008F3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EEBC36" w14:textId="6818FE74" w:rsidR="004020C5" w:rsidRPr="004020C5" w:rsidRDefault="004020C5" w:rsidP="00780F06">
            <w:pPr>
              <w:pStyle w:val="BodySans"/>
              <w:spacing w:before="120"/>
            </w:pPr>
            <w:r w:rsidRPr="004020C5">
              <w:t>Total number of RoSH reports</w:t>
            </w:r>
          </w:p>
        </w:tc>
        <w:tc>
          <w:tcPr>
            <w:tcW w:w="0" w:type="auto"/>
            <w:hideMark/>
          </w:tcPr>
          <w:p w14:paraId="78B72327" w14:textId="21E6A340" w:rsidR="004020C5" w:rsidRPr="004020C5" w:rsidRDefault="004020C5" w:rsidP="00780F06">
            <w:pPr>
              <w:pStyle w:val="BodySans"/>
              <w:spacing w:before="120"/>
              <w:cnfStyle w:val="000000100000" w:firstRow="0" w:lastRow="0" w:firstColumn="0" w:lastColumn="0" w:oddVBand="0" w:evenVBand="0" w:oddHBand="1" w:evenHBand="0" w:firstRowFirstColumn="0" w:firstRowLastColumn="0" w:lastRowFirstColumn="0" w:lastRowLastColumn="0"/>
            </w:pPr>
            <w:r w:rsidRPr="004020C5">
              <w:t>3.81 (3.1)</w:t>
            </w:r>
          </w:p>
        </w:tc>
        <w:tc>
          <w:tcPr>
            <w:tcW w:w="0" w:type="auto"/>
            <w:hideMark/>
          </w:tcPr>
          <w:p w14:paraId="24CC9092" w14:textId="28119270" w:rsidR="004020C5" w:rsidRPr="004020C5" w:rsidRDefault="004020C5" w:rsidP="00780F06">
            <w:pPr>
              <w:pStyle w:val="BodySans"/>
              <w:spacing w:before="120"/>
              <w:cnfStyle w:val="000000100000" w:firstRow="0" w:lastRow="0" w:firstColumn="0" w:lastColumn="0" w:oddVBand="0" w:evenVBand="0" w:oddHBand="1" w:evenHBand="0" w:firstRowFirstColumn="0" w:firstRowLastColumn="0" w:lastRowFirstColumn="0" w:lastRowLastColumn="0"/>
            </w:pPr>
            <w:r w:rsidRPr="004020C5">
              <w:t>1.17 (1.4)</w:t>
            </w:r>
          </w:p>
        </w:tc>
      </w:tr>
      <w:tr w:rsidR="004020C5" w:rsidRPr="004020C5" w14:paraId="46A059B2" w14:textId="77777777" w:rsidTr="008F32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94BF95" w14:textId="452B9167" w:rsidR="004020C5" w:rsidRPr="004020C5" w:rsidRDefault="004020C5" w:rsidP="00780F06">
            <w:pPr>
              <w:pStyle w:val="BodySans"/>
              <w:spacing w:before="120"/>
            </w:pPr>
            <w:r w:rsidRPr="004020C5">
              <w:t>Total number of non-RoSH reports</w:t>
            </w:r>
          </w:p>
        </w:tc>
        <w:tc>
          <w:tcPr>
            <w:tcW w:w="0" w:type="auto"/>
            <w:hideMark/>
          </w:tcPr>
          <w:p w14:paraId="2086AD98" w14:textId="3375F788" w:rsidR="004020C5" w:rsidRPr="004020C5" w:rsidRDefault="004020C5" w:rsidP="00780F06">
            <w:pPr>
              <w:pStyle w:val="BodySans"/>
              <w:spacing w:before="120"/>
              <w:cnfStyle w:val="000000010000" w:firstRow="0" w:lastRow="0" w:firstColumn="0" w:lastColumn="0" w:oddVBand="0" w:evenVBand="0" w:oddHBand="0" w:evenHBand="1" w:firstRowFirstColumn="0" w:firstRowLastColumn="0" w:lastRowFirstColumn="0" w:lastRowLastColumn="0"/>
            </w:pPr>
            <w:r w:rsidRPr="004020C5">
              <w:t>2.37 (3.0)</w:t>
            </w:r>
          </w:p>
        </w:tc>
        <w:tc>
          <w:tcPr>
            <w:tcW w:w="0" w:type="auto"/>
            <w:hideMark/>
          </w:tcPr>
          <w:p w14:paraId="69BE5A70" w14:textId="4FA5F173" w:rsidR="004020C5" w:rsidRPr="004020C5" w:rsidRDefault="004020C5" w:rsidP="00780F06">
            <w:pPr>
              <w:pStyle w:val="BodySans"/>
              <w:spacing w:before="120"/>
              <w:cnfStyle w:val="000000010000" w:firstRow="0" w:lastRow="0" w:firstColumn="0" w:lastColumn="0" w:oddVBand="0" w:evenVBand="0" w:oddHBand="0" w:evenHBand="1" w:firstRowFirstColumn="0" w:firstRowLastColumn="0" w:lastRowFirstColumn="0" w:lastRowLastColumn="0"/>
            </w:pPr>
            <w:r w:rsidRPr="004020C5">
              <w:t>0.82 (1.2)</w:t>
            </w:r>
          </w:p>
        </w:tc>
      </w:tr>
      <w:tr w:rsidR="004020C5" w:rsidRPr="004020C5" w14:paraId="10F5AE60" w14:textId="77777777" w:rsidTr="008F3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9DE7CB" w14:textId="2C2CA8D6" w:rsidR="004020C5" w:rsidRPr="004020C5" w:rsidRDefault="004020C5" w:rsidP="00780F06">
            <w:pPr>
              <w:pStyle w:val="BodySans"/>
              <w:spacing w:before="120"/>
            </w:pPr>
            <w:r w:rsidRPr="004020C5">
              <w:t>Number of co-occurring risk factors related to DFV, AOD and MH issues</w:t>
            </w:r>
          </w:p>
        </w:tc>
        <w:tc>
          <w:tcPr>
            <w:tcW w:w="0" w:type="auto"/>
            <w:hideMark/>
          </w:tcPr>
          <w:p w14:paraId="14D22054" w14:textId="4855EE56" w:rsidR="004020C5" w:rsidRPr="004020C5" w:rsidRDefault="004020C5" w:rsidP="00780F06">
            <w:pPr>
              <w:pStyle w:val="BodySans"/>
              <w:spacing w:before="120"/>
              <w:cnfStyle w:val="000000100000" w:firstRow="0" w:lastRow="0" w:firstColumn="0" w:lastColumn="0" w:oddVBand="0" w:evenVBand="0" w:oddHBand="1" w:evenHBand="0" w:firstRowFirstColumn="0" w:firstRowLastColumn="0" w:lastRowFirstColumn="0" w:lastRowLastColumn="0"/>
            </w:pPr>
            <w:r w:rsidRPr="004020C5">
              <w:t>1.89 (0.7)</w:t>
            </w:r>
          </w:p>
        </w:tc>
        <w:tc>
          <w:tcPr>
            <w:tcW w:w="0" w:type="auto"/>
            <w:hideMark/>
          </w:tcPr>
          <w:p w14:paraId="5C2EF83A" w14:textId="23A535DB" w:rsidR="004020C5" w:rsidRPr="004020C5" w:rsidRDefault="004020C5" w:rsidP="00780F06">
            <w:pPr>
              <w:pStyle w:val="BodySans"/>
              <w:spacing w:before="120"/>
              <w:cnfStyle w:val="000000100000" w:firstRow="0" w:lastRow="0" w:firstColumn="0" w:lastColumn="0" w:oddVBand="0" w:evenVBand="0" w:oddHBand="1" w:evenHBand="0" w:firstRowFirstColumn="0" w:firstRowLastColumn="0" w:lastRowFirstColumn="0" w:lastRowLastColumn="0"/>
            </w:pPr>
            <w:r w:rsidRPr="004020C5">
              <w:t>0.53 (0.6)</w:t>
            </w:r>
          </w:p>
        </w:tc>
      </w:tr>
    </w:tbl>
    <w:p w14:paraId="6A1EC594" w14:textId="6DD41680" w:rsidR="00F41E6C" w:rsidRPr="004020C5" w:rsidRDefault="00F41E6C" w:rsidP="00F84111">
      <w:pPr>
        <w:pStyle w:val="H4"/>
      </w:pPr>
      <w:r w:rsidRPr="004020C5">
        <w:t>Odds of entering OOHC within a year of first child concern report based on the number of</w:t>
      </w:r>
      <w:r w:rsidR="008F32AB">
        <w:t> </w:t>
      </w:r>
      <w:r w:rsidRPr="004020C5">
        <w:t>co</w:t>
      </w:r>
      <w:r>
        <w:noBreakHyphen/>
      </w:r>
      <w:r w:rsidRPr="004020C5">
        <w:t>occurring risk factors</w:t>
      </w:r>
    </w:p>
    <w:p w14:paraId="3C2F6288" w14:textId="593E89CE" w:rsidR="004020C5" w:rsidRPr="004020C5" w:rsidRDefault="00F41E6C" w:rsidP="004020C5">
      <w:pPr>
        <w:pStyle w:val="BodySerif"/>
      </w:pPr>
      <w:r w:rsidRPr="004020C5">
        <w:t>Two binomial logistic regressions were conducted to determine odds ratios (ORs) and 95% confidence intervals for entry into care within a year of the first child concern report based on the number of co-occurring risk factors (i.e. non-DFV issues, DFV-only, DFV-AOD/MH, and DFV-AOD-MH). The first</w:t>
      </w:r>
      <w:r>
        <w:t xml:space="preserve"> </w:t>
      </w:r>
      <w:r w:rsidR="004020C5" w:rsidRPr="004020C5">
        <w:t>model looked at the individual associations between entry into OOHC within a year of the first child concern report with the number of co-occurring risk factors: child’s sex; age at first child protection Helpline report; total RoSH and non-RoSH reports before entry into OOHC; regionality (i.e.</w:t>
      </w:r>
      <w:r w:rsidR="003C6F5B">
        <w:t> </w:t>
      </w:r>
      <w:r w:rsidR="004020C5" w:rsidRPr="004020C5">
        <w:t>metropolitan, inner regional, outer regional/remote/very remote); policy reform period; and order and number of</w:t>
      </w:r>
      <w:r w:rsidR="003C6F5B">
        <w:t> </w:t>
      </w:r>
      <w:r w:rsidR="004020C5" w:rsidRPr="004020C5">
        <w:t>siblings. The second adjusted model explored the association between co-occurring risk factors and entry into OOHC within a</w:t>
      </w:r>
      <w:r w:rsidR="00F64884">
        <w:t> </w:t>
      </w:r>
      <w:r w:rsidR="004020C5" w:rsidRPr="004020C5">
        <w:t>year of the first child concern report while controlling for the other aforementioned variables given their relationship to</w:t>
      </w:r>
      <w:r w:rsidR="00F64884">
        <w:t> </w:t>
      </w:r>
      <w:r w:rsidR="004020C5" w:rsidRPr="004020C5">
        <w:t>entry into OOHC. Robust standard errors were estimated to account for clustering due to the sibling group (i.e.</w:t>
      </w:r>
      <w:r w:rsidR="00F64884">
        <w:t> </w:t>
      </w:r>
      <w:r w:rsidR="004020C5" w:rsidRPr="004020C5">
        <w:t>having</w:t>
      </w:r>
      <w:r w:rsidR="00F64884">
        <w:t> </w:t>
      </w:r>
      <w:r w:rsidR="004020C5" w:rsidRPr="004020C5">
        <w:t>the same mother). Descriptive statistics are provided in Table 7, and estimates from the regression are outlined in</w:t>
      </w:r>
      <w:r w:rsidR="00F64884">
        <w:t> </w:t>
      </w:r>
      <w:r w:rsidR="004020C5" w:rsidRPr="004020C5">
        <w:t>Table</w:t>
      </w:r>
      <w:r w:rsidR="00F64884">
        <w:t> </w:t>
      </w:r>
      <w:r w:rsidR="004020C5" w:rsidRPr="004020C5">
        <w:t>8.</w:t>
      </w:r>
    </w:p>
    <w:p w14:paraId="3CE6612D" w14:textId="78958AF8" w:rsidR="004020C5" w:rsidRPr="004020C5" w:rsidRDefault="004020C5" w:rsidP="003C6F5B">
      <w:pPr>
        <w:pStyle w:val="BodySerif"/>
      </w:pPr>
      <w:r w:rsidRPr="004020C5">
        <w:t>Prior to conducting the logistic regression models, checks were made for multicollinearity between variables. Correlations between the continuous variables were produced to check</w:t>
      </w:r>
      <w:r w:rsidR="003C6F5B">
        <w:t xml:space="preserve"> </w:t>
      </w:r>
      <w:r w:rsidRPr="004020C5">
        <w:t>for high correlations, and 2 x 2 contingency tables between the categorical variables were produced to examine whether there were disproportionate cell sizes or</w:t>
      </w:r>
      <w:r w:rsidR="003C6F5B">
        <w:t> </w:t>
      </w:r>
      <w:r w:rsidRPr="004020C5">
        <w:t>substantial overlap between variables. Due to small cell sizes, the geographical categories for “outer regional”, “remote” and “very remote” were collapsed into a combined category. In addition, a</w:t>
      </w:r>
      <w:r w:rsidR="00F64884">
        <w:t> </w:t>
      </w:r>
      <w:r w:rsidRPr="004020C5">
        <w:t xml:space="preserve">categorical variable to represent sibling order based on date of birth was created and included in the model. It is noted that this variable reflects sibling order rather than actual birth order as not all children within a sibling group may have been identified or have a child </w:t>
      </w:r>
      <w:r w:rsidRPr="004020C5">
        <w:lastRenderedPageBreak/>
        <w:t>concern report. An additional categorical variable to reflect changes in policies related to</w:t>
      </w:r>
      <w:r w:rsidR="00F64884">
        <w:t> </w:t>
      </w:r>
      <w:r w:rsidRPr="004020C5">
        <w:t>KTS and SHFL was also generated and included in the model to control for the year of the first Helpline report.</w:t>
      </w:r>
    </w:p>
    <w:p w14:paraId="1CE2EADD" w14:textId="43F4BE3B" w:rsidR="004020C5" w:rsidRPr="004020C5" w:rsidRDefault="004020C5" w:rsidP="008F32AB">
      <w:pPr>
        <w:pStyle w:val="FigureTableHeading"/>
      </w:pPr>
      <w:r w:rsidRPr="008F32AB">
        <w:rPr>
          <w:rStyle w:val="Strong"/>
        </w:rPr>
        <w:t>Figure 9</w:t>
      </w:r>
      <w:r w:rsidRPr="004020C5">
        <w:t>: Percentage of children with flags in their child concern reports for parental DFV, AOD use and/or MH issues prior to</w:t>
      </w:r>
      <w:r w:rsidR="003C6F5B">
        <w:t> </w:t>
      </w:r>
      <w:r w:rsidRPr="004020C5">
        <w:t>entering OOHC for the first time (</w:t>
      </w:r>
      <w:r w:rsidRPr="004020C5">
        <w:rPr>
          <w:i/>
          <w:iCs/>
        </w:rPr>
        <w:t>n</w:t>
      </w:r>
      <w:r w:rsidRPr="004020C5">
        <w:t> = 584,365)</w:t>
      </w:r>
    </w:p>
    <w:p w14:paraId="4858E4D8" w14:textId="1DDF6F6C" w:rsidR="004020C5" w:rsidRDefault="004020C5" w:rsidP="004020C5">
      <w:r w:rsidRPr="004020C5">
        <w:rPr>
          <w:noProof/>
        </w:rPr>
        <w:drawing>
          <wp:inline distT="0" distB="0" distL="0" distR="0" wp14:anchorId="71FF746F" wp14:editId="60BD3290">
            <wp:extent cx="6372000" cy="3380831"/>
            <wp:effectExtent l="0" t="0" r="0" b="0"/>
            <wp:docPr id="374601430" name="Picture 114" descr="This is a bar graph that shows information about child concern report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01430" name="Picture 114" descr="This is a bar graph that shows information about child concern reports. The data in this graph is in the table belo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72000" cy="3380831"/>
                    </a:xfrm>
                    <a:prstGeom prst="rect">
                      <a:avLst/>
                    </a:prstGeom>
                    <a:noFill/>
                    <a:ln>
                      <a:noFill/>
                    </a:ln>
                  </pic:spPr>
                </pic:pic>
              </a:graphicData>
            </a:graphic>
          </wp:inline>
        </w:drawing>
      </w:r>
    </w:p>
    <w:p w14:paraId="24EDC3E9" w14:textId="3C9E9E79" w:rsidR="00AD4D4A" w:rsidRPr="00D62E61" w:rsidRDefault="00AD4D4A" w:rsidP="00D62E61">
      <w:pPr>
        <w:pStyle w:val="TableSubheading"/>
      </w:pPr>
      <w:r w:rsidRPr="00D62E61">
        <w:t>Data table for Figure 9:</w:t>
      </w:r>
    </w:p>
    <w:tbl>
      <w:tblPr>
        <w:tblStyle w:val="ANROWSTable"/>
        <w:tblW w:w="0" w:type="auto"/>
        <w:tblLook w:val="04A0" w:firstRow="1" w:lastRow="0" w:firstColumn="1" w:lastColumn="0" w:noHBand="0" w:noVBand="1"/>
      </w:tblPr>
      <w:tblGrid>
        <w:gridCol w:w="3398"/>
        <w:gridCol w:w="3398"/>
        <w:gridCol w:w="3398"/>
      </w:tblGrid>
      <w:tr w:rsidR="00AD4D4A" w14:paraId="5738A64D" w14:textId="77777777" w:rsidTr="00D62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7870ADAF" w14:textId="77777777" w:rsidR="00AD4D4A" w:rsidRPr="00D62E61" w:rsidRDefault="00AD4D4A" w:rsidP="00D62E61">
            <w:pPr>
              <w:pStyle w:val="BodySans"/>
            </w:pPr>
          </w:p>
        </w:tc>
        <w:tc>
          <w:tcPr>
            <w:tcW w:w="3398" w:type="dxa"/>
          </w:tcPr>
          <w:p w14:paraId="15C40D16" w14:textId="1E7A4A64" w:rsidR="00AD4D4A" w:rsidRPr="00D62E61" w:rsidRDefault="00AD4D4A" w:rsidP="00D62E61">
            <w:pPr>
              <w:pStyle w:val="BodySans"/>
              <w:cnfStyle w:val="100000000000" w:firstRow="1" w:lastRow="0" w:firstColumn="0" w:lastColumn="0" w:oddVBand="0" w:evenVBand="0" w:oddHBand="0" w:evenHBand="0" w:firstRowFirstColumn="0" w:firstRowLastColumn="0" w:lastRowFirstColumn="0" w:lastRowLastColumn="0"/>
            </w:pPr>
            <w:r w:rsidRPr="00D62E61">
              <w:t>Did not enter OOCH</w:t>
            </w:r>
            <w:r w:rsidR="003D769B" w:rsidRPr="00D62E61">
              <w:t xml:space="preserve"> (%)</w:t>
            </w:r>
          </w:p>
        </w:tc>
        <w:tc>
          <w:tcPr>
            <w:tcW w:w="3398" w:type="dxa"/>
          </w:tcPr>
          <w:p w14:paraId="1D36B7DF" w14:textId="6FF61B00" w:rsidR="00AD4D4A" w:rsidRPr="00D62E61" w:rsidRDefault="00AD4D4A" w:rsidP="00D62E61">
            <w:pPr>
              <w:pStyle w:val="BodySans"/>
              <w:cnfStyle w:val="100000000000" w:firstRow="1" w:lastRow="0" w:firstColumn="0" w:lastColumn="0" w:oddVBand="0" w:evenVBand="0" w:oddHBand="0" w:evenHBand="0" w:firstRowFirstColumn="0" w:firstRowLastColumn="0" w:lastRowFirstColumn="0" w:lastRowLastColumn="0"/>
            </w:pPr>
            <w:r w:rsidRPr="00D62E61">
              <w:t>Entered OOCH</w:t>
            </w:r>
            <w:r w:rsidR="003D769B" w:rsidRPr="00D62E61">
              <w:t xml:space="preserve"> (%)</w:t>
            </w:r>
          </w:p>
        </w:tc>
      </w:tr>
      <w:tr w:rsidR="00AD4D4A" w14:paraId="2EDAC4D9" w14:textId="77777777" w:rsidTr="00016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350ABF8" w14:textId="3E7BECC2" w:rsidR="00AD4D4A" w:rsidRPr="00D62E61" w:rsidRDefault="00AD4D4A" w:rsidP="00D62E61">
            <w:pPr>
              <w:pStyle w:val="BodySans"/>
            </w:pPr>
            <w:r w:rsidRPr="00D62E61">
              <w:t>Risk factors unrelated to DFV</w:t>
            </w:r>
          </w:p>
        </w:tc>
        <w:tc>
          <w:tcPr>
            <w:tcW w:w="3398" w:type="dxa"/>
          </w:tcPr>
          <w:p w14:paraId="38E21453" w14:textId="469AF2C0" w:rsidR="00AD4D4A" w:rsidRPr="00D62E61" w:rsidRDefault="003D769B" w:rsidP="00D62E61">
            <w:pPr>
              <w:pStyle w:val="BodySans"/>
              <w:cnfStyle w:val="000000100000" w:firstRow="0" w:lastRow="0" w:firstColumn="0" w:lastColumn="0" w:oddVBand="0" w:evenVBand="0" w:oddHBand="1" w:evenHBand="0" w:firstRowFirstColumn="0" w:firstRowLastColumn="0" w:lastRowFirstColumn="0" w:lastRowLastColumn="0"/>
            </w:pPr>
            <w:r w:rsidRPr="00D62E61">
              <w:t>98</w:t>
            </w:r>
          </w:p>
        </w:tc>
        <w:tc>
          <w:tcPr>
            <w:tcW w:w="3398" w:type="dxa"/>
          </w:tcPr>
          <w:p w14:paraId="543275B7" w14:textId="0FB297DC" w:rsidR="00AD4D4A" w:rsidRPr="00D62E61" w:rsidRDefault="00016784" w:rsidP="00D62E61">
            <w:pPr>
              <w:pStyle w:val="BodySans"/>
              <w:cnfStyle w:val="000000100000" w:firstRow="0" w:lastRow="0" w:firstColumn="0" w:lastColumn="0" w:oddVBand="0" w:evenVBand="0" w:oddHBand="1" w:evenHBand="0" w:firstRowFirstColumn="0" w:firstRowLastColumn="0" w:lastRowFirstColumn="0" w:lastRowLastColumn="0"/>
            </w:pPr>
            <w:r w:rsidRPr="00D62E61">
              <w:t>2</w:t>
            </w:r>
          </w:p>
        </w:tc>
      </w:tr>
      <w:tr w:rsidR="00AD4D4A" w14:paraId="4FA74377" w14:textId="77777777" w:rsidTr="00016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9BE8ABB" w14:textId="55B7398E" w:rsidR="00AD4D4A" w:rsidRPr="00D62E61" w:rsidRDefault="00AD4D4A" w:rsidP="00D62E61">
            <w:pPr>
              <w:pStyle w:val="BodySans"/>
            </w:pPr>
            <w:r w:rsidRPr="00D62E61">
              <w:t>1 Risk factor (DFV-only)</w:t>
            </w:r>
          </w:p>
        </w:tc>
        <w:tc>
          <w:tcPr>
            <w:tcW w:w="3398" w:type="dxa"/>
          </w:tcPr>
          <w:p w14:paraId="3DDCEFDD" w14:textId="17D16857" w:rsidR="00AD4D4A" w:rsidRPr="00D62E61" w:rsidRDefault="00016784" w:rsidP="00D62E61">
            <w:pPr>
              <w:pStyle w:val="BodySans"/>
              <w:cnfStyle w:val="000000010000" w:firstRow="0" w:lastRow="0" w:firstColumn="0" w:lastColumn="0" w:oddVBand="0" w:evenVBand="0" w:oddHBand="0" w:evenHBand="1" w:firstRowFirstColumn="0" w:firstRowLastColumn="0" w:lastRowFirstColumn="0" w:lastRowLastColumn="0"/>
            </w:pPr>
            <w:r w:rsidRPr="00D62E61">
              <w:t>99</w:t>
            </w:r>
          </w:p>
        </w:tc>
        <w:tc>
          <w:tcPr>
            <w:tcW w:w="3398" w:type="dxa"/>
          </w:tcPr>
          <w:p w14:paraId="5FEAD982" w14:textId="579C9EA1" w:rsidR="00AD4D4A" w:rsidRPr="00D62E61" w:rsidRDefault="00016784" w:rsidP="00D62E61">
            <w:pPr>
              <w:pStyle w:val="BodySans"/>
              <w:cnfStyle w:val="000000010000" w:firstRow="0" w:lastRow="0" w:firstColumn="0" w:lastColumn="0" w:oddVBand="0" w:evenVBand="0" w:oddHBand="0" w:evenHBand="1" w:firstRowFirstColumn="0" w:firstRowLastColumn="0" w:lastRowFirstColumn="0" w:lastRowLastColumn="0"/>
            </w:pPr>
            <w:r w:rsidRPr="00D62E61">
              <w:t>1</w:t>
            </w:r>
          </w:p>
        </w:tc>
      </w:tr>
      <w:tr w:rsidR="00AD4D4A" w14:paraId="1357AFAB" w14:textId="77777777" w:rsidTr="00016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ED41401" w14:textId="09FF9466" w:rsidR="00AD4D4A" w:rsidRPr="00D62E61" w:rsidRDefault="00AD4D4A" w:rsidP="00D62E61">
            <w:pPr>
              <w:pStyle w:val="BodySans"/>
            </w:pPr>
            <w:r w:rsidRPr="00D62E61">
              <w:t>2 risk factors (DFV-AOD/MH)</w:t>
            </w:r>
          </w:p>
        </w:tc>
        <w:tc>
          <w:tcPr>
            <w:tcW w:w="3398" w:type="dxa"/>
          </w:tcPr>
          <w:p w14:paraId="09105A29" w14:textId="456F9814" w:rsidR="00AD4D4A" w:rsidRPr="00D62E61" w:rsidRDefault="00016784" w:rsidP="00D62E61">
            <w:pPr>
              <w:pStyle w:val="BodySans"/>
              <w:cnfStyle w:val="000000100000" w:firstRow="0" w:lastRow="0" w:firstColumn="0" w:lastColumn="0" w:oddVBand="0" w:evenVBand="0" w:oddHBand="1" w:evenHBand="0" w:firstRowFirstColumn="0" w:firstRowLastColumn="0" w:lastRowFirstColumn="0" w:lastRowLastColumn="0"/>
            </w:pPr>
            <w:r w:rsidRPr="00D62E61">
              <w:t>93</w:t>
            </w:r>
          </w:p>
        </w:tc>
        <w:tc>
          <w:tcPr>
            <w:tcW w:w="3398" w:type="dxa"/>
          </w:tcPr>
          <w:p w14:paraId="535F8AAB" w14:textId="652A1227" w:rsidR="00AD4D4A" w:rsidRPr="00D62E61" w:rsidRDefault="00016784" w:rsidP="00D62E61">
            <w:pPr>
              <w:pStyle w:val="BodySans"/>
              <w:cnfStyle w:val="000000100000" w:firstRow="0" w:lastRow="0" w:firstColumn="0" w:lastColumn="0" w:oddVBand="0" w:evenVBand="0" w:oddHBand="1" w:evenHBand="0" w:firstRowFirstColumn="0" w:firstRowLastColumn="0" w:lastRowFirstColumn="0" w:lastRowLastColumn="0"/>
            </w:pPr>
            <w:r w:rsidRPr="00D62E61">
              <w:t>7</w:t>
            </w:r>
          </w:p>
        </w:tc>
      </w:tr>
      <w:tr w:rsidR="00AD4D4A" w14:paraId="0397DE95" w14:textId="77777777" w:rsidTr="00016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5FAFC07" w14:textId="24F72417" w:rsidR="00AD4D4A" w:rsidRPr="00D62E61" w:rsidRDefault="00AD4D4A" w:rsidP="00D62E61">
            <w:pPr>
              <w:pStyle w:val="BodySans"/>
            </w:pPr>
            <w:r w:rsidRPr="00D62E61">
              <w:t>3 risk factors (DFV-AOD-MH)</w:t>
            </w:r>
          </w:p>
        </w:tc>
        <w:tc>
          <w:tcPr>
            <w:tcW w:w="3398" w:type="dxa"/>
          </w:tcPr>
          <w:p w14:paraId="28A36845" w14:textId="247BB48B" w:rsidR="00AD4D4A" w:rsidRPr="00D62E61" w:rsidRDefault="00016784" w:rsidP="00D62E61">
            <w:pPr>
              <w:pStyle w:val="BodySans"/>
              <w:cnfStyle w:val="000000010000" w:firstRow="0" w:lastRow="0" w:firstColumn="0" w:lastColumn="0" w:oddVBand="0" w:evenVBand="0" w:oddHBand="0" w:evenHBand="1" w:firstRowFirstColumn="0" w:firstRowLastColumn="0" w:lastRowFirstColumn="0" w:lastRowLastColumn="0"/>
            </w:pPr>
            <w:r w:rsidRPr="00D62E61">
              <w:t>84</w:t>
            </w:r>
          </w:p>
        </w:tc>
        <w:tc>
          <w:tcPr>
            <w:tcW w:w="3398" w:type="dxa"/>
          </w:tcPr>
          <w:p w14:paraId="1FE3DCBC" w14:textId="3A39E9E8" w:rsidR="00AD4D4A" w:rsidRPr="00D62E61" w:rsidRDefault="00016784" w:rsidP="00D62E61">
            <w:pPr>
              <w:pStyle w:val="BodySans"/>
              <w:cnfStyle w:val="000000010000" w:firstRow="0" w:lastRow="0" w:firstColumn="0" w:lastColumn="0" w:oddVBand="0" w:evenVBand="0" w:oddHBand="0" w:evenHBand="1" w:firstRowFirstColumn="0" w:firstRowLastColumn="0" w:lastRowFirstColumn="0" w:lastRowLastColumn="0"/>
            </w:pPr>
            <w:r w:rsidRPr="00D62E61">
              <w:t>16</w:t>
            </w:r>
          </w:p>
        </w:tc>
      </w:tr>
    </w:tbl>
    <w:p w14:paraId="15501407" w14:textId="705EDB02" w:rsidR="004020C5" w:rsidRPr="004020C5" w:rsidRDefault="004020C5" w:rsidP="003C6F5B">
      <w:pPr>
        <w:pStyle w:val="FigureTableHeading"/>
        <w:spacing w:before="360"/>
      </w:pPr>
      <w:r w:rsidRPr="008F32AB">
        <w:rPr>
          <w:rStyle w:val="Strong"/>
        </w:rPr>
        <w:lastRenderedPageBreak/>
        <w:t>Figure 10</w:t>
      </w:r>
      <w:r w:rsidRPr="004020C5">
        <w:t>: Number of children entering OOHC for the first time with flags in child protection reports for parental DFV, AOD use and/or MH issues within 12 months of their first Helpline report – 2004 to 2018</w:t>
      </w:r>
    </w:p>
    <w:p w14:paraId="3C1D170D" w14:textId="5151457F" w:rsidR="004020C5" w:rsidRDefault="004020C5" w:rsidP="004020C5">
      <w:r w:rsidRPr="004020C5">
        <w:rPr>
          <w:noProof/>
        </w:rPr>
        <w:drawing>
          <wp:inline distT="0" distB="0" distL="0" distR="0" wp14:anchorId="7022B78A" wp14:editId="7B755EA7">
            <wp:extent cx="6479540" cy="3038475"/>
            <wp:effectExtent l="0" t="0" r="0" b="9525"/>
            <wp:docPr id="677757520" name="Picture 113" descr="This is a multi-line graph that shows the number of children entering OOHC between 2004 and 2018.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7520" name="Picture 113" descr="This is a multi-line graph that shows the number of children entering OOHC between 2004 and 2018. The data in this graph is in the table below."/>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039"/>
                    <a:stretch/>
                  </pic:blipFill>
                  <pic:spPr bwMode="auto">
                    <a:xfrm>
                      <a:off x="0" y="0"/>
                      <a:ext cx="647954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0948899D" w14:textId="5969948B" w:rsidR="00B6654C" w:rsidRPr="00D62E61" w:rsidRDefault="0059359D" w:rsidP="00D62E61">
      <w:pPr>
        <w:pStyle w:val="TableSubheading"/>
      </w:pPr>
      <w:r w:rsidRPr="00D62E61">
        <w:t>Data table for Figure 10:</w:t>
      </w:r>
    </w:p>
    <w:tbl>
      <w:tblPr>
        <w:tblStyle w:val="ANROWSTable"/>
        <w:tblW w:w="0" w:type="auto"/>
        <w:tblLook w:val="04A0" w:firstRow="1" w:lastRow="0" w:firstColumn="1" w:lastColumn="0" w:noHBand="0" w:noVBand="1"/>
      </w:tblPr>
      <w:tblGrid>
        <w:gridCol w:w="2548"/>
        <w:gridCol w:w="2548"/>
        <w:gridCol w:w="2549"/>
        <w:gridCol w:w="2549"/>
      </w:tblGrid>
      <w:tr w:rsidR="0059359D" w14:paraId="17ECD74F" w14:textId="77777777" w:rsidTr="00D62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Pr>
          <w:p w14:paraId="1708CEBC" w14:textId="77777777" w:rsidR="0059359D" w:rsidRPr="00D62E61" w:rsidRDefault="0059359D" w:rsidP="00D62E61">
            <w:pPr>
              <w:pStyle w:val="BodySans"/>
            </w:pPr>
          </w:p>
        </w:tc>
        <w:tc>
          <w:tcPr>
            <w:tcW w:w="2548" w:type="dxa"/>
          </w:tcPr>
          <w:p w14:paraId="47EFC715" w14:textId="4B31A660" w:rsidR="0059359D" w:rsidRPr="00D62E61" w:rsidRDefault="0059359D" w:rsidP="00D62E61">
            <w:pPr>
              <w:pStyle w:val="BodySans"/>
              <w:cnfStyle w:val="100000000000" w:firstRow="1" w:lastRow="0" w:firstColumn="0" w:lastColumn="0" w:oddVBand="0" w:evenVBand="0" w:oddHBand="0" w:evenHBand="0" w:firstRowFirstColumn="0" w:firstRowLastColumn="0" w:lastRowFirstColumn="0" w:lastRowLastColumn="0"/>
            </w:pPr>
            <w:r w:rsidRPr="00D62E61">
              <w:t>DFV-only (1 risk factor)</w:t>
            </w:r>
          </w:p>
        </w:tc>
        <w:tc>
          <w:tcPr>
            <w:tcW w:w="2549" w:type="dxa"/>
          </w:tcPr>
          <w:p w14:paraId="54B540BA" w14:textId="14F0A483" w:rsidR="0059359D" w:rsidRPr="00D62E61" w:rsidRDefault="0059359D" w:rsidP="00D62E61">
            <w:pPr>
              <w:pStyle w:val="BodySans"/>
              <w:cnfStyle w:val="100000000000" w:firstRow="1" w:lastRow="0" w:firstColumn="0" w:lastColumn="0" w:oddVBand="0" w:evenVBand="0" w:oddHBand="0" w:evenHBand="0" w:firstRowFirstColumn="0" w:firstRowLastColumn="0" w:lastRowFirstColumn="0" w:lastRowLastColumn="0"/>
            </w:pPr>
            <w:r w:rsidRPr="00D62E61">
              <w:t>DV-AOD/MH (2 risk factors)</w:t>
            </w:r>
          </w:p>
        </w:tc>
        <w:tc>
          <w:tcPr>
            <w:tcW w:w="2549" w:type="dxa"/>
          </w:tcPr>
          <w:p w14:paraId="48810014" w14:textId="2DACF49C" w:rsidR="0059359D" w:rsidRPr="00D62E61" w:rsidRDefault="0059359D" w:rsidP="00D62E61">
            <w:pPr>
              <w:pStyle w:val="BodySans"/>
              <w:cnfStyle w:val="100000000000" w:firstRow="1" w:lastRow="0" w:firstColumn="0" w:lastColumn="0" w:oddVBand="0" w:evenVBand="0" w:oddHBand="0" w:evenHBand="0" w:firstRowFirstColumn="0" w:firstRowLastColumn="0" w:lastRowFirstColumn="0" w:lastRowLastColumn="0"/>
            </w:pPr>
            <w:r w:rsidRPr="00D62E61">
              <w:t>DV-AOD-MH (3 risk factors)</w:t>
            </w:r>
          </w:p>
        </w:tc>
      </w:tr>
      <w:tr w:rsidR="0059359D" w14:paraId="031AEB24" w14:textId="77777777" w:rsidTr="00AB2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740CB595" w14:textId="2504C93B" w:rsidR="0059359D" w:rsidRPr="00D62E61" w:rsidRDefault="0059359D" w:rsidP="00D62E61">
            <w:pPr>
              <w:pStyle w:val="BodySans"/>
            </w:pPr>
            <w:r w:rsidRPr="00D62E61">
              <w:t>2004</w:t>
            </w:r>
          </w:p>
        </w:tc>
        <w:tc>
          <w:tcPr>
            <w:tcW w:w="2548" w:type="dxa"/>
          </w:tcPr>
          <w:p w14:paraId="269F04B3" w14:textId="2FA66517"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53.5</w:t>
            </w:r>
          </w:p>
        </w:tc>
        <w:tc>
          <w:tcPr>
            <w:tcW w:w="2549" w:type="dxa"/>
          </w:tcPr>
          <w:p w14:paraId="3D840C56" w14:textId="34EC819E"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47.7</w:t>
            </w:r>
          </w:p>
        </w:tc>
        <w:tc>
          <w:tcPr>
            <w:tcW w:w="2549" w:type="dxa"/>
          </w:tcPr>
          <w:p w14:paraId="0DDA19C2" w14:textId="0BADD3D1"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16.8</w:t>
            </w:r>
          </w:p>
        </w:tc>
      </w:tr>
      <w:tr w:rsidR="0059359D" w14:paraId="10954920" w14:textId="77777777" w:rsidTr="00AB2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3ABB7861" w14:textId="0E11959B" w:rsidR="0059359D" w:rsidRPr="00D62E61" w:rsidRDefault="0059359D" w:rsidP="00D62E61">
            <w:pPr>
              <w:pStyle w:val="BodySans"/>
            </w:pPr>
            <w:r w:rsidRPr="00D62E61">
              <w:t>2005</w:t>
            </w:r>
          </w:p>
        </w:tc>
        <w:tc>
          <w:tcPr>
            <w:tcW w:w="2548" w:type="dxa"/>
          </w:tcPr>
          <w:p w14:paraId="4505F2D6" w14:textId="75C0F998"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76.1</w:t>
            </w:r>
          </w:p>
        </w:tc>
        <w:tc>
          <w:tcPr>
            <w:tcW w:w="2549" w:type="dxa"/>
          </w:tcPr>
          <w:p w14:paraId="1041E52B" w14:textId="6712B7EC"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107.7</w:t>
            </w:r>
          </w:p>
        </w:tc>
        <w:tc>
          <w:tcPr>
            <w:tcW w:w="2549" w:type="dxa"/>
          </w:tcPr>
          <w:p w14:paraId="4B016BE7" w14:textId="56D90807"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44.5</w:t>
            </w:r>
          </w:p>
        </w:tc>
      </w:tr>
      <w:tr w:rsidR="0059359D" w14:paraId="247C2DA3" w14:textId="77777777" w:rsidTr="00AB2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4A22F9AF" w14:textId="5F3F5A85" w:rsidR="0059359D" w:rsidRPr="00D62E61" w:rsidRDefault="0059359D" w:rsidP="00D62E61">
            <w:pPr>
              <w:pStyle w:val="BodySans"/>
            </w:pPr>
            <w:r w:rsidRPr="00D62E61">
              <w:t>2006</w:t>
            </w:r>
          </w:p>
        </w:tc>
        <w:tc>
          <w:tcPr>
            <w:tcW w:w="2548" w:type="dxa"/>
          </w:tcPr>
          <w:p w14:paraId="3AD19D18" w14:textId="49A16F82"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77.4</w:t>
            </w:r>
          </w:p>
        </w:tc>
        <w:tc>
          <w:tcPr>
            <w:tcW w:w="2549" w:type="dxa"/>
          </w:tcPr>
          <w:p w14:paraId="1684787D" w14:textId="22042684"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163.2</w:t>
            </w:r>
          </w:p>
        </w:tc>
        <w:tc>
          <w:tcPr>
            <w:tcW w:w="2549" w:type="dxa"/>
          </w:tcPr>
          <w:p w14:paraId="730F13EC" w14:textId="551AF99D"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60.0</w:t>
            </w:r>
          </w:p>
        </w:tc>
      </w:tr>
      <w:tr w:rsidR="0059359D" w14:paraId="3DECBF4A" w14:textId="77777777" w:rsidTr="00AB2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4AEF8514" w14:textId="2C98531A" w:rsidR="0059359D" w:rsidRPr="00D62E61" w:rsidRDefault="0059359D" w:rsidP="00D62E61">
            <w:pPr>
              <w:pStyle w:val="BodySans"/>
            </w:pPr>
            <w:r w:rsidRPr="00D62E61">
              <w:t>2007</w:t>
            </w:r>
          </w:p>
        </w:tc>
        <w:tc>
          <w:tcPr>
            <w:tcW w:w="2548" w:type="dxa"/>
          </w:tcPr>
          <w:p w14:paraId="61D13950" w14:textId="5C0CFA1B"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99.4</w:t>
            </w:r>
          </w:p>
        </w:tc>
        <w:tc>
          <w:tcPr>
            <w:tcW w:w="2549" w:type="dxa"/>
          </w:tcPr>
          <w:p w14:paraId="3290A53A" w14:textId="05C5B261"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137.4</w:t>
            </w:r>
          </w:p>
        </w:tc>
        <w:tc>
          <w:tcPr>
            <w:tcW w:w="2549" w:type="dxa"/>
          </w:tcPr>
          <w:p w14:paraId="721F82E0" w14:textId="3D634A44"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72.9</w:t>
            </w:r>
          </w:p>
        </w:tc>
      </w:tr>
      <w:tr w:rsidR="0059359D" w14:paraId="2ECB17BC" w14:textId="77777777" w:rsidTr="00AB2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3E7353B9" w14:textId="0E182AB3" w:rsidR="0059359D" w:rsidRPr="00D62E61" w:rsidRDefault="0059359D" w:rsidP="00D62E61">
            <w:pPr>
              <w:pStyle w:val="BodySans"/>
            </w:pPr>
            <w:r w:rsidRPr="00D62E61">
              <w:t>2008</w:t>
            </w:r>
          </w:p>
        </w:tc>
        <w:tc>
          <w:tcPr>
            <w:tcW w:w="2548" w:type="dxa"/>
          </w:tcPr>
          <w:p w14:paraId="695FB1E0" w14:textId="4A4B3170"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89.7</w:t>
            </w:r>
          </w:p>
        </w:tc>
        <w:tc>
          <w:tcPr>
            <w:tcW w:w="2549" w:type="dxa"/>
          </w:tcPr>
          <w:p w14:paraId="1737DE21" w14:textId="2A941148"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180.6</w:t>
            </w:r>
          </w:p>
        </w:tc>
        <w:tc>
          <w:tcPr>
            <w:tcW w:w="2549" w:type="dxa"/>
          </w:tcPr>
          <w:p w14:paraId="55516636" w14:textId="60975A05"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70.3</w:t>
            </w:r>
          </w:p>
        </w:tc>
      </w:tr>
      <w:tr w:rsidR="0059359D" w14:paraId="3AD70E02" w14:textId="77777777" w:rsidTr="00AB2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405A5346" w14:textId="5052899F" w:rsidR="0059359D" w:rsidRPr="00D62E61" w:rsidRDefault="0059359D" w:rsidP="00D62E61">
            <w:pPr>
              <w:pStyle w:val="BodySans"/>
            </w:pPr>
            <w:r w:rsidRPr="00D62E61">
              <w:t>2009</w:t>
            </w:r>
          </w:p>
        </w:tc>
        <w:tc>
          <w:tcPr>
            <w:tcW w:w="2548" w:type="dxa"/>
          </w:tcPr>
          <w:p w14:paraId="6439854F" w14:textId="40BD3003"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80</w:t>
            </w:r>
          </w:p>
        </w:tc>
        <w:tc>
          <w:tcPr>
            <w:tcW w:w="2549" w:type="dxa"/>
          </w:tcPr>
          <w:p w14:paraId="0DBC2296" w14:textId="5A488AE2"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154.2</w:t>
            </w:r>
          </w:p>
        </w:tc>
        <w:tc>
          <w:tcPr>
            <w:tcW w:w="2549" w:type="dxa"/>
          </w:tcPr>
          <w:p w14:paraId="058783C7" w14:textId="77CA24E2"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61.3</w:t>
            </w:r>
          </w:p>
        </w:tc>
      </w:tr>
      <w:tr w:rsidR="0059359D" w14:paraId="2BD6C6F7" w14:textId="77777777" w:rsidTr="00AB2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67413CB7" w14:textId="3ACE0E17" w:rsidR="0059359D" w:rsidRPr="00D62E61" w:rsidRDefault="0059359D" w:rsidP="00D62E61">
            <w:pPr>
              <w:pStyle w:val="BodySans"/>
            </w:pPr>
            <w:r w:rsidRPr="00D62E61">
              <w:t>2010</w:t>
            </w:r>
          </w:p>
        </w:tc>
        <w:tc>
          <w:tcPr>
            <w:tcW w:w="2548" w:type="dxa"/>
          </w:tcPr>
          <w:p w14:paraId="4CC31817" w14:textId="25BB6AC7"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68.4</w:t>
            </w:r>
          </w:p>
        </w:tc>
        <w:tc>
          <w:tcPr>
            <w:tcW w:w="2549" w:type="dxa"/>
          </w:tcPr>
          <w:p w14:paraId="737FFB80" w14:textId="696E5459"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134.8</w:t>
            </w:r>
          </w:p>
        </w:tc>
        <w:tc>
          <w:tcPr>
            <w:tcW w:w="2549" w:type="dxa"/>
          </w:tcPr>
          <w:p w14:paraId="0FE052D7" w14:textId="53E1F841"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47.7</w:t>
            </w:r>
          </w:p>
        </w:tc>
      </w:tr>
      <w:tr w:rsidR="0059359D" w14:paraId="130A65DE" w14:textId="77777777" w:rsidTr="00AB2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33EF3761" w14:textId="022FF763" w:rsidR="0059359D" w:rsidRPr="00D62E61" w:rsidRDefault="0059359D" w:rsidP="00D62E61">
            <w:pPr>
              <w:pStyle w:val="BodySans"/>
            </w:pPr>
            <w:r w:rsidRPr="00D62E61">
              <w:t>2011</w:t>
            </w:r>
          </w:p>
        </w:tc>
        <w:tc>
          <w:tcPr>
            <w:tcW w:w="2548" w:type="dxa"/>
          </w:tcPr>
          <w:p w14:paraId="7B2C4DBD" w14:textId="3E4F4DB1"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59.4</w:t>
            </w:r>
          </w:p>
        </w:tc>
        <w:tc>
          <w:tcPr>
            <w:tcW w:w="2549" w:type="dxa"/>
          </w:tcPr>
          <w:p w14:paraId="6DAF5321" w14:textId="2D0DF0C6"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87.7</w:t>
            </w:r>
          </w:p>
        </w:tc>
        <w:tc>
          <w:tcPr>
            <w:tcW w:w="2549" w:type="dxa"/>
          </w:tcPr>
          <w:p w14:paraId="7A150269" w14:textId="6BE35B93"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29.7</w:t>
            </w:r>
          </w:p>
        </w:tc>
      </w:tr>
      <w:tr w:rsidR="0059359D" w14:paraId="700CA265" w14:textId="77777777" w:rsidTr="00AB2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4533CD3B" w14:textId="4924AFC3" w:rsidR="0059359D" w:rsidRPr="00D62E61" w:rsidRDefault="0059359D" w:rsidP="00D62E61">
            <w:pPr>
              <w:pStyle w:val="BodySans"/>
            </w:pPr>
            <w:r w:rsidRPr="00D62E61">
              <w:t>2012</w:t>
            </w:r>
          </w:p>
        </w:tc>
        <w:tc>
          <w:tcPr>
            <w:tcW w:w="2548" w:type="dxa"/>
          </w:tcPr>
          <w:p w14:paraId="6F553775" w14:textId="0A7D6A57"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89.7</w:t>
            </w:r>
          </w:p>
        </w:tc>
        <w:tc>
          <w:tcPr>
            <w:tcW w:w="2549" w:type="dxa"/>
          </w:tcPr>
          <w:p w14:paraId="333D7A57" w14:textId="294C637E"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83.2</w:t>
            </w:r>
          </w:p>
        </w:tc>
        <w:tc>
          <w:tcPr>
            <w:tcW w:w="2549" w:type="dxa"/>
          </w:tcPr>
          <w:p w14:paraId="588B38BD" w14:textId="7309999F"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28.4</w:t>
            </w:r>
          </w:p>
        </w:tc>
      </w:tr>
      <w:tr w:rsidR="0059359D" w14:paraId="706E1817" w14:textId="77777777" w:rsidTr="00AB2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2ACBF0D8" w14:textId="5641C385" w:rsidR="0059359D" w:rsidRPr="00D62E61" w:rsidRDefault="0059359D" w:rsidP="00D62E61">
            <w:pPr>
              <w:pStyle w:val="BodySans"/>
            </w:pPr>
            <w:r w:rsidRPr="00D62E61">
              <w:t>2013</w:t>
            </w:r>
          </w:p>
        </w:tc>
        <w:tc>
          <w:tcPr>
            <w:tcW w:w="2548" w:type="dxa"/>
          </w:tcPr>
          <w:p w14:paraId="6CE354C0" w14:textId="135C9B16"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103.2</w:t>
            </w:r>
          </w:p>
        </w:tc>
        <w:tc>
          <w:tcPr>
            <w:tcW w:w="2549" w:type="dxa"/>
          </w:tcPr>
          <w:p w14:paraId="6837321F" w14:textId="332A2E2E"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125.2</w:t>
            </w:r>
          </w:p>
        </w:tc>
        <w:tc>
          <w:tcPr>
            <w:tcW w:w="2549" w:type="dxa"/>
          </w:tcPr>
          <w:p w14:paraId="288AD084" w14:textId="029B4CA7"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21.9</w:t>
            </w:r>
          </w:p>
        </w:tc>
      </w:tr>
      <w:tr w:rsidR="0059359D" w14:paraId="3D87B4A9" w14:textId="77777777" w:rsidTr="00AB2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5D788969" w14:textId="72B23D71" w:rsidR="0059359D" w:rsidRPr="00D62E61" w:rsidRDefault="0059359D" w:rsidP="00D62E61">
            <w:pPr>
              <w:pStyle w:val="BodySans"/>
            </w:pPr>
            <w:r w:rsidRPr="00D62E61">
              <w:t>2014</w:t>
            </w:r>
          </w:p>
        </w:tc>
        <w:tc>
          <w:tcPr>
            <w:tcW w:w="2548" w:type="dxa"/>
          </w:tcPr>
          <w:p w14:paraId="743C67A5" w14:textId="07CC54C8"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72.9</w:t>
            </w:r>
          </w:p>
        </w:tc>
        <w:tc>
          <w:tcPr>
            <w:tcW w:w="2549" w:type="dxa"/>
          </w:tcPr>
          <w:p w14:paraId="4C61115D" w14:textId="140868E4"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109.0</w:t>
            </w:r>
          </w:p>
        </w:tc>
        <w:tc>
          <w:tcPr>
            <w:tcW w:w="2549" w:type="dxa"/>
          </w:tcPr>
          <w:p w14:paraId="42E3F055" w14:textId="704FC29D"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22.6</w:t>
            </w:r>
          </w:p>
        </w:tc>
      </w:tr>
      <w:tr w:rsidR="0059359D" w14:paraId="7505B643" w14:textId="77777777" w:rsidTr="00AB2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1D67C6CA" w14:textId="32D54E3D" w:rsidR="0059359D" w:rsidRPr="00D62E61" w:rsidRDefault="0059359D" w:rsidP="00D62E61">
            <w:pPr>
              <w:pStyle w:val="BodySans"/>
            </w:pPr>
            <w:r w:rsidRPr="00D62E61">
              <w:t>2015</w:t>
            </w:r>
          </w:p>
        </w:tc>
        <w:tc>
          <w:tcPr>
            <w:tcW w:w="2548" w:type="dxa"/>
          </w:tcPr>
          <w:p w14:paraId="3141FBB1" w14:textId="3E91D3D9"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110.3</w:t>
            </w:r>
          </w:p>
        </w:tc>
        <w:tc>
          <w:tcPr>
            <w:tcW w:w="2549" w:type="dxa"/>
          </w:tcPr>
          <w:p w14:paraId="4B6173A4" w14:textId="1A70B8F3"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140.6</w:t>
            </w:r>
          </w:p>
        </w:tc>
        <w:tc>
          <w:tcPr>
            <w:tcW w:w="2549" w:type="dxa"/>
          </w:tcPr>
          <w:p w14:paraId="749E3936" w14:textId="202AF57C"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43.9</w:t>
            </w:r>
          </w:p>
        </w:tc>
      </w:tr>
      <w:tr w:rsidR="0059359D" w14:paraId="1CBF09BA" w14:textId="77777777" w:rsidTr="00AB2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612F81AE" w14:textId="2F8DFBE5" w:rsidR="0059359D" w:rsidRPr="00D62E61" w:rsidRDefault="0059359D" w:rsidP="00D62E61">
            <w:pPr>
              <w:pStyle w:val="BodySans"/>
            </w:pPr>
            <w:r w:rsidRPr="00D62E61">
              <w:t>2016</w:t>
            </w:r>
          </w:p>
        </w:tc>
        <w:tc>
          <w:tcPr>
            <w:tcW w:w="2548" w:type="dxa"/>
          </w:tcPr>
          <w:p w14:paraId="768ED164" w14:textId="4C49DD28"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83.2</w:t>
            </w:r>
          </w:p>
        </w:tc>
        <w:tc>
          <w:tcPr>
            <w:tcW w:w="2549" w:type="dxa"/>
          </w:tcPr>
          <w:p w14:paraId="6003D9B8" w14:textId="3D390B52"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150.3</w:t>
            </w:r>
          </w:p>
        </w:tc>
        <w:tc>
          <w:tcPr>
            <w:tcW w:w="2549" w:type="dxa"/>
          </w:tcPr>
          <w:p w14:paraId="0EC4535F" w14:textId="0290F2B9"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25.2</w:t>
            </w:r>
          </w:p>
        </w:tc>
      </w:tr>
      <w:tr w:rsidR="0059359D" w14:paraId="07D680C4" w14:textId="77777777" w:rsidTr="00AB2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17E26FFD" w14:textId="2AC52238" w:rsidR="0059359D" w:rsidRPr="00D62E61" w:rsidRDefault="0059359D" w:rsidP="00D62E61">
            <w:pPr>
              <w:pStyle w:val="BodySans"/>
            </w:pPr>
            <w:r w:rsidRPr="00D62E61">
              <w:t>2017</w:t>
            </w:r>
          </w:p>
        </w:tc>
        <w:tc>
          <w:tcPr>
            <w:tcW w:w="2548" w:type="dxa"/>
          </w:tcPr>
          <w:p w14:paraId="64EF0C2F" w14:textId="2DDBD4D1"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58.7</w:t>
            </w:r>
          </w:p>
        </w:tc>
        <w:tc>
          <w:tcPr>
            <w:tcW w:w="2549" w:type="dxa"/>
          </w:tcPr>
          <w:p w14:paraId="41B347A8" w14:textId="6FF936BE"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100.6</w:t>
            </w:r>
          </w:p>
        </w:tc>
        <w:tc>
          <w:tcPr>
            <w:tcW w:w="2549" w:type="dxa"/>
          </w:tcPr>
          <w:p w14:paraId="15D0D70B" w14:textId="775505D9" w:rsidR="0059359D" w:rsidRPr="00D62E61" w:rsidRDefault="00D3114A" w:rsidP="00D62E61">
            <w:pPr>
              <w:pStyle w:val="BodySans"/>
              <w:cnfStyle w:val="000000010000" w:firstRow="0" w:lastRow="0" w:firstColumn="0" w:lastColumn="0" w:oddVBand="0" w:evenVBand="0" w:oddHBand="0" w:evenHBand="1" w:firstRowFirstColumn="0" w:firstRowLastColumn="0" w:lastRowFirstColumn="0" w:lastRowLastColumn="0"/>
            </w:pPr>
            <w:r>
              <w:t>20.0</w:t>
            </w:r>
          </w:p>
        </w:tc>
      </w:tr>
      <w:tr w:rsidR="0059359D" w14:paraId="5922FF82" w14:textId="77777777" w:rsidTr="00AB2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0E7C4AA5" w14:textId="601A84C6" w:rsidR="0059359D" w:rsidRPr="00D62E61" w:rsidRDefault="0059359D" w:rsidP="00D62E61">
            <w:pPr>
              <w:pStyle w:val="BodySans"/>
            </w:pPr>
            <w:r w:rsidRPr="00D62E61">
              <w:lastRenderedPageBreak/>
              <w:t>2018</w:t>
            </w:r>
          </w:p>
        </w:tc>
        <w:tc>
          <w:tcPr>
            <w:tcW w:w="2548" w:type="dxa"/>
          </w:tcPr>
          <w:p w14:paraId="51485ACE" w14:textId="616465B1"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31.0</w:t>
            </w:r>
          </w:p>
        </w:tc>
        <w:tc>
          <w:tcPr>
            <w:tcW w:w="2549" w:type="dxa"/>
          </w:tcPr>
          <w:p w14:paraId="5FD079E2" w14:textId="0AFD16E4"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147.7</w:t>
            </w:r>
          </w:p>
        </w:tc>
        <w:tc>
          <w:tcPr>
            <w:tcW w:w="2549" w:type="dxa"/>
          </w:tcPr>
          <w:p w14:paraId="5BE0C644" w14:textId="32F4ACC7" w:rsidR="0059359D" w:rsidRPr="00D62E61" w:rsidRDefault="00D3114A" w:rsidP="00D62E61">
            <w:pPr>
              <w:pStyle w:val="BodySans"/>
              <w:cnfStyle w:val="000000100000" w:firstRow="0" w:lastRow="0" w:firstColumn="0" w:lastColumn="0" w:oddVBand="0" w:evenVBand="0" w:oddHBand="1" w:evenHBand="0" w:firstRowFirstColumn="0" w:firstRowLastColumn="0" w:lastRowFirstColumn="0" w:lastRowLastColumn="0"/>
            </w:pPr>
            <w:r>
              <w:t>15.5</w:t>
            </w:r>
          </w:p>
        </w:tc>
      </w:tr>
    </w:tbl>
    <w:p w14:paraId="430A24A4" w14:textId="71496B92" w:rsidR="004020C5" w:rsidRDefault="004020C5" w:rsidP="004020C5">
      <w:pPr>
        <w:pStyle w:val="FigureTableHeading"/>
      </w:pPr>
      <w:r w:rsidRPr="00B6654C">
        <w:rPr>
          <w:rStyle w:val="Strong"/>
        </w:rPr>
        <w:t>Table 7</w:t>
      </w:r>
      <w:r w:rsidR="009C56F3">
        <w:rPr>
          <w:rStyle w:val="Strong"/>
        </w:rPr>
        <w:t xml:space="preserve"> (A-G)</w:t>
      </w:r>
      <w:r w:rsidRPr="004020C5">
        <w:t>: Descriptive statistics of characteristics based on entry to OOHC (</w:t>
      </w:r>
      <w:r w:rsidRPr="004020C5">
        <w:rPr>
          <w:i/>
          <w:iCs/>
        </w:rPr>
        <w:t>N</w:t>
      </w:r>
      <w:r w:rsidRPr="004020C5">
        <w:t> = 245,352)</w:t>
      </w:r>
    </w:p>
    <w:p w14:paraId="6F2B8FEB" w14:textId="0919A825" w:rsidR="00AB2825" w:rsidRPr="004020C5" w:rsidRDefault="009C56F3" w:rsidP="003C6F5B">
      <w:pPr>
        <w:pStyle w:val="TableSubheading"/>
        <w:spacing w:before="240"/>
      </w:pPr>
      <w:r>
        <w:t xml:space="preserve">A) </w:t>
      </w:r>
      <w:r w:rsidR="00AB2825" w:rsidRPr="004020C5">
        <w:t>Number of co-occurring factors</w:t>
      </w:r>
    </w:p>
    <w:tbl>
      <w:tblPr>
        <w:tblStyle w:val="ANROWSTable"/>
        <w:tblW w:w="10206" w:type="dxa"/>
        <w:tblLook w:val="04A0" w:firstRow="1" w:lastRow="0" w:firstColumn="1" w:lastColumn="0" w:noHBand="0" w:noVBand="1"/>
      </w:tblPr>
      <w:tblGrid>
        <w:gridCol w:w="3402"/>
        <w:gridCol w:w="3402"/>
        <w:gridCol w:w="3402"/>
      </w:tblGrid>
      <w:tr w:rsidR="004020C5" w:rsidRPr="004020C5" w14:paraId="2F7879E7"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hideMark/>
          </w:tcPr>
          <w:p w14:paraId="290E7BB0" w14:textId="3895BA1A" w:rsidR="004020C5" w:rsidRPr="004020C5" w:rsidRDefault="00AB2825" w:rsidP="003C6F5B">
            <w:pPr>
              <w:pStyle w:val="BodySans"/>
              <w:spacing w:after="0"/>
            </w:pPr>
            <w:r>
              <w:t>Characteristics</w:t>
            </w:r>
          </w:p>
        </w:tc>
        <w:tc>
          <w:tcPr>
            <w:tcW w:w="3402" w:type="dxa"/>
            <w:hideMark/>
          </w:tcPr>
          <w:p w14:paraId="7A7E8973" w14:textId="210228DB" w:rsidR="004020C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Pr="004020C5">
              <w:t xml:space="preserve"> </w:t>
            </w:r>
            <w:r w:rsidR="004020C5" w:rsidRPr="004020C5">
              <w:t>No</w:t>
            </w:r>
            <w:r w:rsidR="00081185">
              <w:br/>
            </w:r>
            <w:r w:rsidR="004020C5" w:rsidRPr="004020C5">
              <w:t xml:space="preserve"> (n = 240,649)</w:t>
            </w:r>
          </w:p>
        </w:tc>
        <w:tc>
          <w:tcPr>
            <w:tcW w:w="3402" w:type="dxa"/>
            <w:hideMark/>
          </w:tcPr>
          <w:p w14:paraId="3E71D155" w14:textId="1BD8C708" w:rsidR="004020C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0070103B" w:rsidRPr="004020C5">
              <w:t xml:space="preserve"> </w:t>
            </w:r>
            <w:r w:rsidR="004020C5" w:rsidRPr="004020C5">
              <w:t>Yes</w:t>
            </w:r>
            <w:r w:rsidR="00081185">
              <w:br/>
            </w:r>
            <w:r w:rsidR="004020C5" w:rsidRPr="004020C5">
              <w:t xml:space="preserve"> (n = 4,703)</w:t>
            </w:r>
          </w:p>
        </w:tc>
      </w:tr>
      <w:tr w:rsidR="004020C5" w:rsidRPr="004020C5" w14:paraId="4C9710FB" w14:textId="77777777" w:rsidTr="0070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B0A83A1" w14:textId="31395725" w:rsidR="004020C5" w:rsidRPr="004020C5" w:rsidRDefault="004020C5" w:rsidP="003C6F5B">
            <w:pPr>
              <w:pStyle w:val="BodySans"/>
              <w:spacing w:after="0"/>
            </w:pPr>
            <w:r w:rsidRPr="004020C5">
              <w:t>DFV only (1 risk factor)</w:t>
            </w:r>
          </w:p>
        </w:tc>
        <w:tc>
          <w:tcPr>
            <w:tcW w:w="3402" w:type="dxa"/>
            <w:hideMark/>
          </w:tcPr>
          <w:p w14:paraId="0D68AA95" w14:textId="7FD0F962" w:rsidR="004020C5" w:rsidRPr="004020C5" w:rsidRDefault="004020C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79,165 (33%)</w:t>
            </w:r>
          </w:p>
        </w:tc>
        <w:tc>
          <w:tcPr>
            <w:tcW w:w="3402" w:type="dxa"/>
            <w:hideMark/>
          </w:tcPr>
          <w:p w14:paraId="0364C99C" w14:textId="0EFC27BB" w:rsidR="004020C5" w:rsidRPr="004020C5" w:rsidRDefault="004020C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487 (10%)</w:t>
            </w:r>
          </w:p>
        </w:tc>
      </w:tr>
      <w:tr w:rsidR="004020C5" w:rsidRPr="004020C5" w14:paraId="68126D80" w14:textId="77777777" w:rsidTr="00701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5A734692" w14:textId="7A8CDF9C" w:rsidR="004020C5" w:rsidRPr="004020C5" w:rsidRDefault="004020C5" w:rsidP="003C6F5B">
            <w:pPr>
              <w:pStyle w:val="BodySans"/>
              <w:spacing w:after="0"/>
            </w:pPr>
            <w:r w:rsidRPr="004020C5">
              <w:t>DFV-AOD/MH (2 risk factors)</w:t>
            </w:r>
          </w:p>
        </w:tc>
        <w:tc>
          <w:tcPr>
            <w:tcW w:w="3402" w:type="dxa"/>
            <w:hideMark/>
          </w:tcPr>
          <w:p w14:paraId="136743A1" w14:textId="096B6A19" w:rsidR="004020C5" w:rsidRPr="004020C5" w:rsidRDefault="004020C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17,151 (7%)</w:t>
            </w:r>
          </w:p>
        </w:tc>
        <w:tc>
          <w:tcPr>
            <w:tcW w:w="3402" w:type="dxa"/>
            <w:hideMark/>
          </w:tcPr>
          <w:p w14:paraId="7B9A433D" w14:textId="78D1EF76" w:rsidR="004020C5" w:rsidRPr="004020C5" w:rsidRDefault="004020C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950 (20%)</w:t>
            </w:r>
          </w:p>
        </w:tc>
      </w:tr>
      <w:tr w:rsidR="004020C5" w:rsidRPr="004020C5" w14:paraId="158A6DC5" w14:textId="77777777" w:rsidTr="0070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5FFA889" w14:textId="28DC6C6B" w:rsidR="004020C5" w:rsidRPr="004020C5" w:rsidRDefault="004020C5" w:rsidP="003C6F5B">
            <w:pPr>
              <w:pStyle w:val="BodySans"/>
              <w:spacing w:after="0"/>
            </w:pPr>
            <w:r w:rsidRPr="004020C5">
              <w:t>DFV-AOD-MH (3 risk factors)</w:t>
            </w:r>
          </w:p>
        </w:tc>
        <w:tc>
          <w:tcPr>
            <w:tcW w:w="3402" w:type="dxa"/>
            <w:hideMark/>
          </w:tcPr>
          <w:p w14:paraId="5BF14BDC" w14:textId="2B3803BD" w:rsidR="004020C5" w:rsidRPr="004020C5" w:rsidRDefault="004020C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2,384 (1%)</w:t>
            </w:r>
          </w:p>
        </w:tc>
        <w:tc>
          <w:tcPr>
            <w:tcW w:w="3402" w:type="dxa"/>
            <w:hideMark/>
          </w:tcPr>
          <w:p w14:paraId="52F82AAF" w14:textId="1EF42C59" w:rsidR="004020C5" w:rsidRPr="004020C5" w:rsidRDefault="004020C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325 (7%)</w:t>
            </w:r>
          </w:p>
        </w:tc>
      </w:tr>
      <w:tr w:rsidR="004020C5" w:rsidRPr="004020C5" w14:paraId="1B18DAE8" w14:textId="77777777" w:rsidTr="00701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AA1CB25" w14:textId="18561F23" w:rsidR="004020C5" w:rsidRPr="004020C5" w:rsidRDefault="004020C5" w:rsidP="003C6F5B">
            <w:pPr>
              <w:pStyle w:val="BodySans"/>
              <w:spacing w:after="0"/>
            </w:pPr>
            <w:r w:rsidRPr="004020C5">
              <w:t>Factors unrelated to DV</w:t>
            </w:r>
          </w:p>
        </w:tc>
        <w:tc>
          <w:tcPr>
            <w:tcW w:w="3402" w:type="dxa"/>
            <w:hideMark/>
          </w:tcPr>
          <w:p w14:paraId="2BFB4D91" w14:textId="3AF53C29" w:rsidR="004020C5" w:rsidRPr="004020C5" w:rsidRDefault="004020C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141,949 (59%)</w:t>
            </w:r>
          </w:p>
        </w:tc>
        <w:tc>
          <w:tcPr>
            <w:tcW w:w="3402" w:type="dxa"/>
            <w:hideMark/>
          </w:tcPr>
          <w:p w14:paraId="62DB88B8" w14:textId="6D11BE71" w:rsidR="004020C5" w:rsidRPr="004020C5" w:rsidRDefault="004020C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2,941 (63%)</w:t>
            </w:r>
          </w:p>
        </w:tc>
      </w:tr>
    </w:tbl>
    <w:p w14:paraId="59FEC7E6" w14:textId="5667DE52" w:rsidR="00AB2825" w:rsidRDefault="009C56F3" w:rsidP="0070103B">
      <w:pPr>
        <w:pStyle w:val="TableSubheading"/>
      </w:pPr>
      <w:r>
        <w:t xml:space="preserve">B) </w:t>
      </w:r>
      <w:r w:rsidR="00AB2825" w:rsidRPr="004020C5">
        <w:t>Regionality</w:t>
      </w:r>
    </w:p>
    <w:tbl>
      <w:tblPr>
        <w:tblStyle w:val="ANROWSTable"/>
        <w:tblW w:w="10206" w:type="dxa"/>
        <w:tblLook w:val="04A0" w:firstRow="1" w:lastRow="0" w:firstColumn="1" w:lastColumn="0" w:noHBand="0" w:noVBand="1"/>
      </w:tblPr>
      <w:tblGrid>
        <w:gridCol w:w="3402"/>
        <w:gridCol w:w="3402"/>
        <w:gridCol w:w="3402"/>
      </w:tblGrid>
      <w:tr w:rsidR="00AB2825" w:rsidRPr="004020C5" w14:paraId="58B34A27"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55CD1BD9" w14:textId="051D820F" w:rsidR="00AB2825" w:rsidRPr="004020C5" w:rsidRDefault="00AB2825" w:rsidP="003C6F5B">
            <w:pPr>
              <w:pStyle w:val="BodySans"/>
              <w:spacing w:after="0"/>
            </w:pPr>
            <w:r>
              <w:t>Characteristics</w:t>
            </w:r>
          </w:p>
        </w:tc>
        <w:tc>
          <w:tcPr>
            <w:tcW w:w="3402" w:type="dxa"/>
          </w:tcPr>
          <w:p w14:paraId="38B22E32" w14:textId="652D1C49" w:rsidR="00AB282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Pr="004020C5">
              <w:t xml:space="preserve"> No</w:t>
            </w:r>
            <w:r w:rsidR="00081185">
              <w:br/>
            </w:r>
            <w:r w:rsidRPr="004020C5">
              <w:t xml:space="preserve"> (n = 240,649)</w:t>
            </w:r>
          </w:p>
        </w:tc>
        <w:tc>
          <w:tcPr>
            <w:tcW w:w="3402" w:type="dxa"/>
          </w:tcPr>
          <w:p w14:paraId="26A31041" w14:textId="620E587D" w:rsidR="00AB282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00081185">
              <w:t xml:space="preserve"> </w:t>
            </w:r>
            <w:r w:rsidRPr="004020C5">
              <w:t>Yes</w:t>
            </w:r>
            <w:r w:rsidR="00081185">
              <w:br/>
            </w:r>
            <w:r w:rsidRPr="004020C5">
              <w:t xml:space="preserve"> (n = 4,703)</w:t>
            </w:r>
          </w:p>
        </w:tc>
      </w:tr>
      <w:tr w:rsidR="00AB2825" w:rsidRPr="004020C5" w14:paraId="4395173A" w14:textId="77777777" w:rsidTr="00081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68A08EC" w14:textId="6ACE97AB" w:rsidR="00AB2825" w:rsidRPr="004020C5" w:rsidRDefault="00AB2825" w:rsidP="003C6F5B">
            <w:pPr>
              <w:pStyle w:val="BodySans"/>
              <w:spacing w:after="0"/>
            </w:pPr>
            <w:r w:rsidRPr="004020C5">
              <w:t>Metropolitan</w:t>
            </w:r>
          </w:p>
        </w:tc>
        <w:tc>
          <w:tcPr>
            <w:tcW w:w="3402" w:type="dxa"/>
          </w:tcPr>
          <w:p w14:paraId="088538FA" w14:textId="129D6D17"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169,625 (70%)</w:t>
            </w:r>
          </w:p>
        </w:tc>
        <w:tc>
          <w:tcPr>
            <w:tcW w:w="3402" w:type="dxa"/>
          </w:tcPr>
          <w:p w14:paraId="79E7903B" w14:textId="3C6EC979"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3,233 (69%)</w:t>
            </w:r>
          </w:p>
        </w:tc>
      </w:tr>
      <w:tr w:rsidR="00AB2825" w:rsidRPr="004020C5" w14:paraId="22483EF1" w14:textId="77777777" w:rsidTr="00081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130B160" w14:textId="149478CE" w:rsidR="00AB2825" w:rsidRPr="004020C5" w:rsidRDefault="00AB2825" w:rsidP="003C6F5B">
            <w:pPr>
              <w:pStyle w:val="BodySans"/>
              <w:spacing w:after="0"/>
            </w:pPr>
            <w:r w:rsidRPr="004020C5">
              <w:t>Inner regional</w:t>
            </w:r>
          </w:p>
        </w:tc>
        <w:tc>
          <w:tcPr>
            <w:tcW w:w="3402" w:type="dxa"/>
            <w:hideMark/>
          </w:tcPr>
          <w:p w14:paraId="7411AFB3" w14:textId="1EEB2A04"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52,046 (22%)</w:t>
            </w:r>
          </w:p>
        </w:tc>
        <w:tc>
          <w:tcPr>
            <w:tcW w:w="3402" w:type="dxa"/>
            <w:hideMark/>
          </w:tcPr>
          <w:p w14:paraId="658E61BB" w14:textId="3EB79141"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1,100 (23%)</w:t>
            </w:r>
          </w:p>
        </w:tc>
      </w:tr>
      <w:tr w:rsidR="00AB2825" w:rsidRPr="004020C5" w14:paraId="7B07169B" w14:textId="77777777" w:rsidTr="00081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48A36EA1" w14:textId="234C2E20" w:rsidR="00AB2825" w:rsidRPr="004020C5" w:rsidRDefault="00AB2825" w:rsidP="003C6F5B">
            <w:pPr>
              <w:pStyle w:val="BodySans"/>
              <w:spacing w:after="0"/>
            </w:pPr>
            <w:r w:rsidRPr="004020C5">
              <w:t>Outer regional/remote/very remote</w:t>
            </w:r>
          </w:p>
        </w:tc>
        <w:tc>
          <w:tcPr>
            <w:tcW w:w="3402" w:type="dxa"/>
            <w:hideMark/>
          </w:tcPr>
          <w:p w14:paraId="40D7F07A" w14:textId="3C924E5A"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18,978 (8%)</w:t>
            </w:r>
          </w:p>
        </w:tc>
        <w:tc>
          <w:tcPr>
            <w:tcW w:w="3402" w:type="dxa"/>
            <w:hideMark/>
          </w:tcPr>
          <w:p w14:paraId="373157EE" w14:textId="53D4AC89"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370 (8%)</w:t>
            </w:r>
          </w:p>
        </w:tc>
      </w:tr>
    </w:tbl>
    <w:p w14:paraId="095DF505" w14:textId="723E0BDD" w:rsidR="0070103B" w:rsidRDefault="009C56F3" w:rsidP="003C6F5B">
      <w:pPr>
        <w:pStyle w:val="TableSubheading"/>
        <w:keepLines/>
        <w:spacing w:after="0"/>
      </w:pPr>
      <w:r>
        <w:t xml:space="preserve">C) </w:t>
      </w:r>
      <w:r w:rsidR="0070103B" w:rsidRPr="004020C5">
        <w:t>Child’s sex</w:t>
      </w:r>
    </w:p>
    <w:tbl>
      <w:tblPr>
        <w:tblStyle w:val="ANROWSTable"/>
        <w:tblW w:w="10206" w:type="dxa"/>
        <w:tblLook w:val="04A0" w:firstRow="1" w:lastRow="0" w:firstColumn="1" w:lastColumn="0" w:noHBand="0" w:noVBand="1"/>
      </w:tblPr>
      <w:tblGrid>
        <w:gridCol w:w="3402"/>
        <w:gridCol w:w="3402"/>
        <w:gridCol w:w="3402"/>
      </w:tblGrid>
      <w:tr w:rsidR="0070103B" w:rsidRPr="004020C5" w14:paraId="2F02615D"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00BB1CC1" w14:textId="6D41DE3C" w:rsidR="0070103B" w:rsidRPr="004020C5" w:rsidRDefault="0070103B" w:rsidP="003C6F5B">
            <w:pPr>
              <w:pStyle w:val="BodySans"/>
              <w:keepNext/>
              <w:keepLines/>
              <w:spacing w:after="0"/>
            </w:pPr>
            <w:r>
              <w:t>Characteristics</w:t>
            </w:r>
          </w:p>
        </w:tc>
        <w:tc>
          <w:tcPr>
            <w:tcW w:w="3402" w:type="dxa"/>
          </w:tcPr>
          <w:p w14:paraId="254AB81C" w14:textId="30D91A04" w:rsidR="0070103B" w:rsidRPr="004020C5" w:rsidRDefault="0070103B" w:rsidP="003C6F5B">
            <w:pPr>
              <w:pStyle w:val="BodySans"/>
              <w:keepNext/>
              <w:keepLine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Pr="004020C5">
              <w:t xml:space="preserve"> No</w:t>
            </w:r>
            <w:r w:rsidR="00081185">
              <w:br/>
            </w:r>
            <w:r w:rsidRPr="004020C5">
              <w:t xml:space="preserve"> (n = 240,649)</w:t>
            </w:r>
          </w:p>
        </w:tc>
        <w:tc>
          <w:tcPr>
            <w:tcW w:w="3402" w:type="dxa"/>
          </w:tcPr>
          <w:p w14:paraId="3E85D327" w14:textId="22780B7A" w:rsidR="0070103B" w:rsidRPr="004020C5" w:rsidRDefault="0070103B" w:rsidP="003C6F5B">
            <w:pPr>
              <w:pStyle w:val="BodySans"/>
              <w:keepNext/>
              <w:keepLine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00081185">
              <w:t xml:space="preserve"> </w:t>
            </w:r>
            <w:r w:rsidRPr="004020C5">
              <w:t>Yes</w:t>
            </w:r>
            <w:r w:rsidR="00081185">
              <w:br/>
            </w:r>
            <w:r w:rsidRPr="004020C5">
              <w:t xml:space="preserve"> (n = 4,703)</w:t>
            </w:r>
          </w:p>
        </w:tc>
      </w:tr>
      <w:tr w:rsidR="0070103B" w:rsidRPr="004020C5" w14:paraId="5FCF4396" w14:textId="77777777" w:rsidTr="006A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7AD6853" w14:textId="12682971" w:rsidR="0070103B" w:rsidRPr="004020C5" w:rsidRDefault="0070103B" w:rsidP="003C6F5B">
            <w:pPr>
              <w:pStyle w:val="BodySans"/>
              <w:keepNext/>
              <w:keepLines/>
              <w:spacing w:after="0"/>
            </w:pPr>
            <w:r w:rsidRPr="004020C5">
              <w:t>Female</w:t>
            </w:r>
          </w:p>
        </w:tc>
        <w:tc>
          <w:tcPr>
            <w:tcW w:w="3402" w:type="dxa"/>
            <w:hideMark/>
          </w:tcPr>
          <w:p w14:paraId="1288148B" w14:textId="410AA247" w:rsidR="0070103B" w:rsidRPr="004020C5" w:rsidRDefault="0070103B"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r w:rsidRPr="004020C5">
              <w:t>116,863 (49%)</w:t>
            </w:r>
          </w:p>
        </w:tc>
        <w:tc>
          <w:tcPr>
            <w:tcW w:w="3402" w:type="dxa"/>
            <w:hideMark/>
          </w:tcPr>
          <w:p w14:paraId="0988CA8D" w14:textId="5000498B" w:rsidR="0070103B" w:rsidRPr="004020C5" w:rsidRDefault="0070103B"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r w:rsidRPr="004020C5">
              <w:t>2,291 (49%)</w:t>
            </w:r>
          </w:p>
        </w:tc>
      </w:tr>
      <w:tr w:rsidR="0070103B" w:rsidRPr="004020C5" w14:paraId="2372AF4E" w14:textId="77777777" w:rsidTr="006A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D60AC75" w14:textId="36124BD6" w:rsidR="0070103B" w:rsidRPr="004020C5" w:rsidRDefault="0070103B" w:rsidP="003C6F5B">
            <w:pPr>
              <w:pStyle w:val="BodySans"/>
              <w:keepNext/>
              <w:keepLines/>
              <w:spacing w:after="0"/>
            </w:pPr>
            <w:r w:rsidRPr="004020C5">
              <w:t>Male</w:t>
            </w:r>
          </w:p>
        </w:tc>
        <w:tc>
          <w:tcPr>
            <w:tcW w:w="3402" w:type="dxa"/>
            <w:hideMark/>
          </w:tcPr>
          <w:p w14:paraId="70C4CB9C" w14:textId="76F4319F" w:rsidR="0070103B" w:rsidRPr="004020C5" w:rsidRDefault="0070103B" w:rsidP="003C6F5B">
            <w:pPr>
              <w:pStyle w:val="BodySans"/>
              <w:keepNext/>
              <w:keepLines/>
              <w:spacing w:after="0"/>
              <w:cnfStyle w:val="000000010000" w:firstRow="0" w:lastRow="0" w:firstColumn="0" w:lastColumn="0" w:oddVBand="0" w:evenVBand="0" w:oddHBand="0" w:evenHBand="1" w:firstRowFirstColumn="0" w:firstRowLastColumn="0" w:lastRowFirstColumn="0" w:lastRowLastColumn="0"/>
            </w:pPr>
            <w:r w:rsidRPr="004020C5">
              <w:t>123,786 (51%)</w:t>
            </w:r>
          </w:p>
        </w:tc>
        <w:tc>
          <w:tcPr>
            <w:tcW w:w="3402" w:type="dxa"/>
            <w:hideMark/>
          </w:tcPr>
          <w:p w14:paraId="48C407F9" w14:textId="11209BA6" w:rsidR="0070103B" w:rsidRPr="004020C5" w:rsidRDefault="0070103B" w:rsidP="003C6F5B">
            <w:pPr>
              <w:pStyle w:val="BodySans"/>
              <w:keepNext/>
              <w:keepLines/>
              <w:spacing w:after="0"/>
              <w:cnfStyle w:val="000000010000" w:firstRow="0" w:lastRow="0" w:firstColumn="0" w:lastColumn="0" w:oddVBand="0" w:evenVBand="0" w:oddHBand="0" w:evenHBand="1" w:firstRowFirstColumn="0" w:firstRowLastColumn="0" w:lastRowFirstColumn="0" w:lastRowLastColumn="0"/>
            </w:pPr>
            <w:r w:rsidRPr="004020C5">
              <w:t>2,412 (51%)</w:t>
            </w:r>
          </w:p>
        </w:tc>
      </w:tr>
    </w:tbl>
    <w:p w14:paraId="08F6C8FA" w14:textId="0D1494BD" w:rsidR="00AB2825" w:rsidRDefault="009C56F3" w:rsidP="0070103B">
      <w:pPr>
        <w:pStyle w:val="TableSubheading"/>
      </w:pPr>
      <w:r>
        <w:t xml:space="preserve">D) </w:t>
      </w:r>
      <w:r w:rsidR="00AB2825" w:rsidRPr="004020C5">
        <w:t>Age at first CP report</w:t>
      </w:r>
    </w:p>
    <w:tbl>
      <w:tblPr>
        <w:tblStyle w:val="ANROWSTable"/>
        <w:tblW w:w="10206" w:type="dxa"/>
        <w:tblLook w:val="04A0" w:firstRow="1" w:lastRow="0" w:firstColumn="1" w:lastColumn="0" w:noHBand="0" w:noVBand="1"/>
      </w:tblPr>
      <w:tblGrid>
        <w:gridCol w:w="3402"/>
        <w:gridCol w:w="3402"/>
        <w:gridCol w:w="3402"/>
      </w:tblGrid>
      <w:tr w:rsidR="00AB2825" w:rsidRPr="004020C5" w14:paraId="6B006385"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2945C260" w14:textId="356D5ECF" w:rsidR="00AB2825" w:rsidRPr="004020C5" w:rsidRDefault="00AB2825" w:rsidP="003C6F5B">
            <w:pPr>
              <w:pStyle w:val="BodySans"/>
              <w:spacing w:after="0"/>
            </w:pPr>
            <w:r>
              <w:t>Characteristics</w:t>
            </w:r>
          </w:p>
        </w:tc>
        <w:tc>
          <w:tcPr>
            <w:tcW w:w="3402" w:type="dxa"/>
          </w:tcPr>
          <w:p w14:paraId="743EB836" w14:textId="4B1FDE56" w:rsidR="00AB282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Pr="004020C5">
              <w:t xml:space="preserve"> No</w:t>
            </w:r>
            <w:r w:rsidR="006A7610">
              <w:br/>
            </w:r>
            <w:r w:rsidRPr="004020C5">
              <w:t xml:space="preserve"> (n = 240,649)</w:t>
            </w:r>
          </w:p>
        </w:tc>
        <w:tc>
          <w:tcPr>
            <w:tcW w:w="3402" w:type="dxa"/>
          </w:tcPr>
          <w:p w14:paraId="252DD991" w14:textId="5CA0CF3C" w:rsidR="00AB282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006A7610">
              <w:t xml:space="preserve"> </w:t>
            </w:r>
            <w:r w:rsidRPr="004020C5">
              <w:t>Yes</w:t>
            </w:r>
            <w:r w:rsidR="006A7610">
              <w:br/>
            </w:r>
            <w:r w:rsidRPr="004020C5">
              <w:t xml:space="preserve"> (n = 4,703)</w:t>
            </w:r>
          </w:p>
        </w:tc>
      </w:tr>
      <w:tr w:rsidR="00AB2825" w:rsidRPr="004020C5" w14:paraId="5DC56CBE" w14:textId="77777777" w:rsidTr="006A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AD915DE" w14:textId="350AEB92" w:rsidR="00AB2825" w:rsidRPr="004020C5" w:rsidRDefault="00AB2825" w:rsidP="003C6F5B">
            <w:pPr>
              <w:pStyle w:val="BodySans"/>
              <w:spacing w:after="0"/>
            </w:pPr>
            <w:r w:rsidRPr="004020C5">
              <w:t>0–1 years</w:t>
            </w:r>
          </w:p>
        </w:tc>
        <w:tc>
          <w:tcPr>
            <w:tcW w:w="3402" w:type="dxa"/>
            <w:hideMark/>
          </w:tcPr>
          <w:p w14:paraId="1528AF3B" w14:textId="7EFC1A06"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68,077 (28%)</w:t>
            </w:r>
          </w:p>
        </w:tc>
        <w:tc>
          <w:tcPr>
            <w:tcW w:w="3402" w:type="dxa"/>
            <w:hideMark/>
          </w:tcPr>
          <w:p w14:paraId="54D72C25" w14:textId="287F5E27"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4,062 (86%)</w:t>
            </w:r>
          </w:p>
        </w:tc>
      </w:tr>
      <w:tr w:rsidR="00AB2825" w:rsidRPr="004020C5" w14:paraId="1BC329AE" w14:textId="77777777" w:rsidTr="006A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9E9A50A" w14:textId="394BCF51" w:rsidR="00AB2825" w:rsidRPr="004020C5" w:rsidRDefault="00AB2825" w:rsidP="003C6F5B">
            <w:pPr>
              <w:pStyle w:val="BodySans"/>
              <w:spacing w:after="0"/>
            </w:pPr>
            <w:r w:rsidRPr="004020C5">
              <w:t>2–5 years</w:t>
            </w:r>
          </w:p>
        </w:tc>
        <w:tc>
          <w:tcPr>
            <w:tcW w:w="3402" w:type="dxa"/>
            <w:hideMark/>
          </w:tcPr>
          <w:p w14:paraId="136D5FAE" w14:textId="2C5D2567"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77,426 (32%)</w:t>
            </w:r>
          </w:p>
        </w:tc>
        <w:tc>
          <w:tcPr>
            <w:tcW w:w="3402" w:type="dxa"/>
            <w:hideMark/>
          </w:tcPr>
          <w:p w14:paraId="65FC512D" w14:textId="0C70A521"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434 (9%)</w:t>
            </w:r>
          </w:p>
        </w:tc>
      </w:tr>
      <w:tr w:rsidR="00AB2825" w:rsidRPr="004020C5" w14:paraId="1B9B8F97" w14:textId="77777777" w:rsidTr="006A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922B521" w14:textId="587BAC1E" w:rsidR="00AB2825" w:rsidRPr="004020C5" w:rsidRDefault="00AB2825" w:rsidP="003C6F5B">
            <w:pPr>
              <w:pStyle w:val="BodySans"/>
              <w:spacing w:after="0"/>
            </w:pPr>
            <w:r w:rsidRPr="004020C5">
              <w:t>6–10 years</w:t>
            </w:r>
          </w:p>
        </w:tc>
        <w:tc>
          <w:tcPr>
            <w:tcW w:w="3402" w:type="dxa"/>
            <w:hideMark/>
          </w:tcPr>
          <w:p w14:paraId="338B8051" w14:textId="1B86DF88"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63,537 (26%)</w:t>
            </w:r>
          </w:p>
        </w:tc>
        <w:tc>
          <w:tcPr>
            <w:tcW w:w="3402" w:type="dxa"/>
            <w:hideMark/>
          </w:tcPr>
          <w:p w14:paraId="09C6684A" w14:textId="203A15B6"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145 (3%)</w:t>
            </w:r>
          </w:p>
        </w:tc>
      </w:tr>
      <w:tr w:rsidR="00AB2825" w:rsidRPr="004020C5" w14:paraId="667AAF3A" w14:textId="77777777" w:rsidTr="006A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9E049E1" w14:textId="6F5FAE85" w:rsidR="00AB2825" w:rsidRPr="004020C5" w:rsidRDefault="00AB2825" w:rsidP="003C6F5B">
            <w:pPr>
              <w:pStyle w:val="BodySans"/>
              <w:spacing w:after="0"/>
            </w:pPr>
            <w:r w:rsidRPr="004020C5">
              <w:t>11–15 years</w:t>
            </w:r>
          </w:p>
        </w:tc>
        <w:tc>
          <w:tcPr>
            <w:tcW w:w="3402" w:type="dxa"/>
            <w:hideMark/>
          </w:tcPr>
          <w:p w14:paraId="6C7F1527" w14:textId="44B7287D"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31,609 (13%)</w:t>
            </w:r>
          </w:p>
        </w:tc>
        <w:tc>
          <w:tcPr>
            <w:tcW w:w="3402" w:type="dxa"/>
            <w:hideMark/>
          </w:tcPr>
          <w:p w14:paraId="625B5FE5" w14:textId="41992D22"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62 (1%)</w:t>
            </w:r>
          </w:p>
        </w:tc>
      </w:tr>
    </w:tbl>
    <w:p w14:paraId="57399D88" w14:textId="6935D38A" w:rsidR="00AB2825" w:rsidRDefault="009C56F3" w:rsidP="0070103B">
      <w:pPr>
        <w:pStyle w:val="TableSubheading"/>
      </w:pPr>
      <w:r>
        <w:lastRenderedPageBreak/>
        <w:t xml:space="preserve">E) </w:t>
      </w:r>
      <w:r w:rsidR="00AB2825" w:rsidRPr="004020C5">
        <w:t>Policy reform period</w:t>
      </w:r>
    </w:p>
    <w:tbl>
      <w:tblPr>
        <w:tblStyle w:val="ANROWSTable"/>
        <w:tblW w:w="10206" w:type="dxa"/>
        <w:tblLook w:val="04A0" w:firstRow="1" w:lastRow="0" w:firstColumn="1" w:lastColumn="0" w:noHBand="0" w:noVBand="1"/>
      </w:tblPr>
      <w:tblGrid>
        <w:gridCol w:w="3402"/>
        <w:gridCol w:w="3402"/>
        <w:gridCol w:w="3402"/>
      </w:tblGrid>
      <w:tr w:rsidR="00AB2825" w:rsidRPr="004020C5" w14:paraId="05062156"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07C91CDD" w14:textId="0479CDCC" w:rsidR="00AB2825" w:rsidRPr="004020C5" w:rsidRDefault="00AB2825" w:rsidP="003C6F5B">
            <w:pPr>
              <w:pStyle w:val="BodySans"/>
              <w:spacing w:after="0"/>
            </w:pPr>
            <w:r>
              <w:t>Characteristics</w:t>
            </w:r>
          </w:p>
        </w:tc>
        <w:tc>
          <w:tcPr>
            <w:tcW w:w="3402" w:type="dxa"/>
          </w:tcPr>
          <w:p w14:paraId="49651164" w14:textId="3C9A86AC" w:rsidR="00AB282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Pr="004020C5">
              <w:t xml:space="preserve"> No</w:t>
            </w:r>
            <w:r w:rsidR="006A7610">
              <w:br/>
            </w:r>
            <w:r w:rsidRPr="004020C5">
              <w:t xml:space="preserve"> (n = 240,649)</w:t>
            </w:r>
          </w:p>
        </w:tc>
        <w:tc>
          <w:tcPr>
            <w:tcW w:w="3402" w:type="dxa"/>
          </w:tcPr>
          <w:p w14:paraId="455911A1" w14:textId="733C337A" w:rsidR="00AB282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006A7610">
              <w:t xml:space="preserve"> </w:t>
            </w:r>
            <w:r w:rsidRPr="004020C5">
              <w:t>Yes</w:t>
            </w:r>
            <w:r w:rsidR="006A7610">
              <w:br/>
            </w:r>
            <w:r w:rsidRPr="004020C5">
              <w:t xml:space="preserve"> (n = 4,703)</w:t>
            </w:r>
          </w:p>
        </w:tc>
      </w:tr>
      <w:tr w:rsidR="00AB2825" w:rsidRPr="004020C5" w14:paraId="56A8897F" w14:textId="77777777" w:rsidTr="006A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3E5E500" w14:textId="46B474F2" w:rsidR="00AB2825" w:rsidRPr="004020C5" w:rsidRDefault="00AB2825" w:rsidP="003C6F5B">
            <w:pPr>
              <w:pStyle w:val="BodySans"/>
              <w:spacing w:after="0"/>
            </w:pPr>
            <w:r w:rsidRPr="004020C5">
              <w:t>Pre-KTS (before Jan 2010)</w:t>
            </w:r>
          </w:p>
        </w:tc>
        <w:tc>
          <w:tcPr>
            <w:tcW w:w="3402" w:type="dxa"/>
            <w:hideMark/>
          </w:tcPr>
          <w:p w14:paraId="158F1123" w14:textId="13F738D7"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109,974 (46%)</w:t>
            </w:r>
          </w:p>
        </w:tc>
        <w:tc>
          <w:tcPr>
            <w:tcW w:w="3402" w:type="dxa"/>
            <w:hideMark/>
          </w:tcPr>
          <w:p w14:paraId="2C9120EA" w14:textId="0E4C4A2E"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1,696 (36%)</w:t>
            </w:r>
          </w:p>
        </w:tc>
      </w:tr>
      <w:tr w:rsidR="00AB2825" w:rsidRPr="004020C5" w14:paraId="581BD437" w14:textId="77777777" w:rsidTr="006A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AAFBAD6" w14:textId="1FC6716C" w:rsidR="00AB2825" w:rsidRPr="004020C5" w:rsidRDefault="00AB2825" w:rsidP="003C6F5B">
            <w:pPr>
              <w:pStyle w:val="BodySans"/>
              <w:spacing w:after="0"/>
            </w:pPr>
            <w:r w:rsidRPr="004020C5">
              <w:t>KTS reforms (Jan 2010 to Oct 2014)</w:t>
            </w:r>
          </w:p>
        </w:tc>
        <w:tc>
          <w:tcPr>
            <w:tcW w:w="3402" w:type="dxa"/>
            <w:hideMark/>
          </w:tcPr>
          <w:p w14:paraId="629F5438" w14:textId="1AFA043E"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70,783 (29%)</w:t>
            </w:r>
          </w:p>
        </w:tc>
        <w:tc>
          <w:tcPr>
            <w:tcW w:w="3402" w:type="dxa"/>
            <w:hideMark/>
          </w:tcPr>
          <w:p w14:paraId="156ED631" w14:textId="0481875C"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2,024 (43%)</w:t>
            </w:r>
          </w:p>
        </w:tc>
      </w:tr>
      <w:tr w:rsidR="00AB2825" w:rsidRPr="004020C5" w14:paraId="791A06AF" w14:textId="77777777" w:rsidTr="006A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EA92795" w14:textId="783276D0" w:rsidR="00AB2825" w:rsidRPr="004020C5" w:rsidRDefault="00AB2825" w:rsidP="003C6F5B">
            <w:pPr>
              <w:pStyle w:val="BodySans"/>
              <w:spacing w:after="0"/>
            </w:pPr>
            <w:r w:rsidRPr="004020C5">
              <w:t>SHFL reforms (Oct 2014 onwards)</w:t>
            </w:r>
          </w:p>
        </w:tc>
        <w:tc>
          <w:tcPr>
            <w:tcW w:w="3402" w:type="dxa"/>
            <w:hideMark/>
          </w:tcPr>
          <w:p w14:paraId="7A6064A7" w14:textId="4304F1B7"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59,892 (25%)</w:t>
            </w:r>
          </w:p>
        </w:tc>
        <w:tc>
          <w:tcPr>
            <w:tcW w:w="3402" w:type="dxa"/>
            <w:hideMark/>
          </w:tcPr>
          <w:p w14:paraId="5F025F97" w14:textId="2FB9BF8A"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983 (21%)</w:t>
            </w:r>
          </w:p>
        </w:tc>
      </w:tr>
    </w:tbl>
    <w:p w14:paraId="043C15E7" w14:textId="5B2DFB2B" w:rsidR="00AB2825" w:rsidRDefault="009C56F3" w:rsidP="0070103B">
      <w:pPr>
        <w:pStyle w:val="TableSubheading"/>
      </w:pPr>
      <w:r>
        <w:t xml:space="preserve">F) </w:t>
      </w:r>
      <w:r w:rsidR="00AB2825" w:rsidRPr="004020C5">
        <w:t>Sibling order</w:t>
      </w:r>
    </w:p>
    <w:tbl>
      <w:tblPr>
        <w:tblStyle w:val="ANROWSTable"/>
        <w:tblW w:w="10206" w:type="dxa"/>
        <w:tblLook w:val="04A0" w:firstRow="1" w:lastRow="0" w:firstColumn="1" w:lastColumn="0" w:noHBand="0" w:noVBand="1"/>
      </w:tblPr>
      <w:tblGrid>
        <w:gridCol w:w="3402"/>
        <w:gridCol w:w="3402"/>
        <w:gridCol w:w="3402"/>
      </w:tblGrid>
      <w:tr w:rsidR="00AB2825" w:rsidRPr="004020C5" w14:paraId="5D61991F"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3080F2FE" w14:textId="197D025D" w:rsidR="00AB2825" w:rsidRPr="004020C5" w:rsidRDefault="00AB2825" w:rsidP="003C6F5B">
            <w:pPr>
              <w:pStyle w:val="BodySans"/>
              <w:spacing w:after="0"/>
            </w:pPr>
            <w:r>
              <w:t>Characteristics</w:t>
            </w:r>
          </w:p>
        </w:tc>
        <w:tc>
          <w:tcPr>
            <w:tcW w:w="3402" w:type="dxa"/>
          </w:tcPr>
          <w:p w14:paraId="5DF6C773" w14:textId="1021DFF4" w:rsidR="00AB282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Pr="004020C5">
              <w:t xml:space="preserve"> No</w:t>
            </w:r>
            <w:r w:rsidR="006A7610">
              <w:br/>
            </w:r>
            <w:r w:rsidRPr="004020C5">
              <w:t xml:space="preserve"> (n = 240,649)</w:t>
            </w:r>
          </w:p>
        </w:tc>
        <w:tc>
          <w:tcPr>
            <w:tcW w:w="3402" w:type="dxa"/>
          </w:tcPr>
          <w:p w14:paraId="5F4E6410" w14:textId="32EF5195" w:rsidR="00AB282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Entered OOHC</w:t>
            </w:r>
            <w:r>
              <w:t>:</w:t>
            </w:r>
            <w:r w:rsidR="006A7610">
              <w:t xml:space="preserve"> </w:t>
            </w:r>
            <w:r w:rsidRPr="004020C5">
              <w:t>Yes</w:t>
            </w:r>
            <w:r w:rsidR="006A7610">
              <w:br/>
            </w:r>
            <w:r w:rsidRPr="004020C5">
              <w:t xml:space="preserve"> (n = 4,703)</w:t>
            </w:r>
          </w:p>
        </w:tc>
      </w:tr>
      <w:tr w:rsidR="00AB2825" w:rsidRPr="004020C5" w14:paraId="05453FD9" w14:textId="77777777" w:rsidTr="006A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F639839" w14:textId="0B4FCF20" w:rsidR="00AB2825" w:rsidRPr="004020C5" w:rsidRDefault="00AB2825" w:rsidP="003C6F5B">
            <w:pPr>
              <w:pStyle w:val="BodySans"/>
              <w:spacing w:after="0"/>
            </w:pPr>
            <w:r w:rsidRPr="004020C5">
              <w:t>First</w:t>
            </w:r>
          </w:p>
        </w:tc>
        <w:tc>
          <w:tcPr>
            <w:tcW w:w="3402" w:type="dxa"/>
            <w:hideMark/>
          </w:tcPr>
          <w:p w14:paraId="2AD3B2F4" w14:textId="0FC9B6AD"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146,245 (61%)</w:t>
            </w:r>
          </w:p>
        </w:tc>
        <w:tc>
          <w:tcPr>
            <w:tcW w:w="3402" w:type="dxa"/>
            <w:hideMark/>
          </w:tcPr>
          <w:p w14:paraId="1684F204" w14:textId="4871B93A"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2,062 (44%)</w:t>
            </w:r>
          </w:p>
        </w:tc>
      </w:tr>
      <w:tr w:rsidR="00AB2825" w:rsidRPr="004020C5" w14:paraId="007405FE" w14:textId="77777777" w:rsidTr="006A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4CAF2ABE" w14:textId="4DDBD09E" w:rsidR="00AB2825" w:rsidRPr="004020C5" w:rsidRDefault="00AB2825" w:rsidP="003C6F5B">
            <w:pPr>
              <w:pStyle w:val="BodySans"/>
              <w:spacing w:after="0"/>
            </w:pPr>
            <w:r w:rsidRPr="004020C5">
              <w:t>Second</w:t>
            </w:r>
          </w:p>
        </w:tc>
        <w:tc>
          <w:tcPr>
            <w:tcW w:w="3402" w:type="dxa"/>
            <w:hideMark/>
          </w:tcPr>
          <w:p w14:paraId="77079CBA" w14:textId="04DF227B"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62,859 (26%)</w:t>
            </w:r>
          </w:p>
        </w:tc>
        <w:tc>
          <w:tcPr>
            <w:tcW w:w="3402" w:type="dxa"/>
            <w:hideMark/>
          </w:tcPr>
          <w:p w14:paraId="7A148660" w14:textId="7F3A7D6E"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1,292 (27%)</w:t>
            </w:r>
          </w:p>
        </w:tc>
      </w:tr>
      <w:tr w:rsidR="00AB2825" w:rsidRPr="004020C5" w14:paraId="6E7FC5B3" w14:textId="77777777" w:rsidTr="006A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E169126" w14:textId="01EAE05F" w:rsidR="00AB2825" w:rsidRPr="004020C5" w:rsidRDefault="00AB2825" w:rsidP="003C6F5B">
            <w:pPr>
              <w:pStyle w:val="BodySans"/>
              <w:spacing w:after="0"/>
            </w:pPr>
            <w:r w:rsidRPr="004020C5">
              <w:t>Third</w:t>
            </w:r>
          </w:p>
        </w:tc>
        <w:tc>
          <w:tcPr>
            <w:tcW w:w="3402" w:type="dxa"/>
            <w:hideMark/>
          </w:tcPr>
          <w:p w14:paraId="42CB61A1" w14:textId="2AAE5648"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21,957 (9%)</w:t>
            </w:r>
          </w:p>
        </w:tc>
        <w:tc>
          <w:tcPr>
            <w:tcW w:w="3402" w:type="dxa"/>
            <w:hideMark/>
          </w:tcPr>
          <w:p w14:paraId="0F6D486A" w14:textId="7D30E3B8"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699 (15%)</w:t>
            </w:r>
          </w:p>
        </w:tc>
      </w:tr>
      <w:tr w:rsidR="00AB2825" w:rsidRPr="004020C5" w14:paraId="328BDE55" w14:textId="77777777" w:rsidTr="006A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6D050E6" w14:textId="579CF956" w:rsidR="00AB2825" w:rsidRPr="004020C5" w:rsidRDefault="00AB2825" w:rsidP="003C6F5B">
            <w:pPr>
              <w:pStyle w:val="BodySans"/>
              <w:spacing w:after="0"/>
            </w:pPr>
            <w:r w:rsidRPr="004020C5">
              <w:t>Fourth or younger</w:t>
            </w:r>
          </w:p>
        </w:tc>
        <w:tc>
          <w:tcPr>
            <w:tcW w:w="3402" w:type="dxa"/>
            <w:hideMark/>
          </w:tcPr>
          <w:p w14:paraId="70BC5E8B" w14:textId="3C163CDF"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9,588 (4%)</w:t>
            </w:r>
          </w:p>
        </w:tc>
        <w:tc>
          <w:tcPr>
            <w:tcW w:w="3402" w:type="dxa"/>
            <w:hideMark/>
          </w:tcPr>
          <w:p w14:paraId="0583F648" w14:textId="3C2A0EAE"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650 (14%)</w:t>
            </w:r>
          </w:p>
        </w:tc>
      </w:tr>
    </w:tbl>
    <w:p w14:paraId="1C25E80E" w14:textId="4A94EE0D" w:rsidR="00AB2825" w:rsidRDefault="009C56F3" w:rsidP="003C6F5B">
      <w:pPr>
        <w:pStyle w:val="TableSubheading"/>
        <w:keepNext w:val="0"/>
      </w:pPr>
      <w:r>
        <w:t>G) M (SD)</w:t>
      </w:r>
    </w:p>
    <w:tbl>
      <w:tblPr>
        <w:tblStyle w:val="ANROWSTable"/>
        <w:tblW w:w="10206" w:type="dxa"/>
        <w:tblLook w:val="04A0" w:firstRow="1" w:lastRow="0" w:firstColumn="1" w:lastColumn="0" w:noHBand="0" w:noVBand="1"/>
      </w:tblPr>
      <w:tblGrid>
        <w:gridCol w:w="3402"/>
        <w:gridCol w:w="3402"/>
        <w:gridCol w:w="3402"/>
      </w:tblGrid>
      <w:tr w:rsidR="00AB2825" w:rsidRPr="004020C5" w14:paraId="79648100"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0DBF153E" w14:textId="0E0982C8" w:rsidR="00AB2825" w:rsidRPr="004020C5" w:rsidRDefault="00AB2825" w:rsidP="003C6F5B">
            <w:pPr>
              <w:pStyle w:val="BodySans"/>
              <w:spacing w:after="0"/>
            </w:pPr>
          </w:p>
        </w:tc>
        <w:tc>
          <w:tcPr>
            <w:tcW w:w="3402" w:type="dxa"/>
          </w:tcPr>
          <w:p w14:paraId="769EAA9C" w14:textId="4E7D41F6" w:rsidR="00AB282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t>Entered OOHC: No</w:t>
            </w:r>
          </w:p>
        </w:tc>
        <w:tc>
          <w:tcPr>
            <w:tcW w:w="3402" w:type="dxa"/>
          </w:tcPr>
          <w:p w14:paraId="400420A0" w14:textId="36586105" w:rsidR="00AB2825" w:rsidRPr="004020C5" w:rsidRDefault="00AB2825" w:rsidP="003C6F5B">
            <w:pPr>
              <w:pStyle w:val="BodySans"/>
              <w:spacing w:after="0"/>
              <w:cnfStyle w:val="100000000000" w:firstRow="1" w:lastRow="0" w:firstColumn="0" w:lastColumn="0" w:oddVBand="0" w:evenVBand="0" w:oddHBand="0" w:evenHBand="0" w:firstRowFirstColumn="0" w:firstRowLastColumn="0" w:lastRowFirstColumn="0" w:lastRowLastColumn="0"/>
            </w:pPr>
            <w:r>
              <w:t>Entered OOHC: Yes</w:t>
            </w:r>
          </w:p>
        </w:tc>
      </w:tr>
      <w:tr w:rsidR="00AB2825" w:rsidRPr="004020C5" w14:paraId="2D1EE379" w14:textId="77777777" w:rsidTr="006A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8243FBE" w14:textId="26FE0DA5" w:rsidR="00AB2825" w:rsidRPr="004020C5" w:rsidRDefault="00AB2825" w:rsidP="003C6F5B">
            <w:pPr>
              <w:pStyle w:val="BodySans"/>
              <w:spacing w:after="0"/>
            </w:pPr>
            <w:r w:rsidRPr="004020C5">
              <w:t>Total RoSH reports</w:t>
            </w:r>
          </w:p>
        </w:tc>
        <w:tc>
          <w:tcPr>
            <w:tcW w:w="3402" w:type="dxa"/>
          </w:tcPr>
          <w:p w14:paraId="71AE19C3" w14:textId="7B5E4416"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1.32 (1.5)</w:t>
            </w:r>
          </w:p>
        </w:tc>
        <w:tc>
          <w:tcPr>
            <w:tcW w:w="3402" w:type="dxa"/>
          </w:tcPr>
          <w:p w14:paraId="3F1F4174" w14:textId="6A66F554"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3.81 (2.8)</w:t>
            </w:r>
          </w:p>
        </w:tc>
      </w:tr>
      <w:tr w:rsidR="00AB2825" w:rsidRPr="004020C5" w14:paraId="49B1BE8E" w14:textId="77777777" w:rsidTr="006A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FB5C5E7" w14:textId="0F46F26A" w:rsidR="00AB2825" w:rsidRPr="004020C5" w:rsidRDefault="00AB2825" w:rsidP="003C6F5B">
            <w:pPr>
              <w:pStyle w:val="BodySans"/>
              <w:spacing w:after="0"/>
            </w:pPr>
            <w:r w:rsidRPr="004020C5">
              <w:t>Total non-RoSH reports</w:t>
            </w:r>
          </w:p>
        </w:tc>
        <w:tc>
          <w:tcPr>
            <w:tcW w:w="3402" w:type="dxa"/>
            <w:hideMark/>
          </w:tcPr>
          <w:p w14:paraId="1B75EDC9" w14:textId="2FCE72F3"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0.93 (1.4)</w:t>
            </w:r>
          </w:p>
        </w:tc>
        <w:tc>
          <w:tcPr>
            <w:tcW w:w="3402" w:type="dxa"/>
            <w:hideMark/>
          </w:tcPr>
          <w:p w14:paraId="162FFAB5" w14:textId="1E1C8EB9" w:rsidR="00AB2825" w:rsidRPr="004020C5" w:rsidRDefault="00AB2825"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2.67 (2.2)</w:t>
            </w:r>
          </w:p>
        </w:tc>
      </w:tr>
      <w:tr w:rsidR="00AB2825" w:rsidRPr="004020C5" w14:paraId="51134B96" w14:textId="77777777" w:rsidTr="006A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42E82E65" w14:textId="489C1CC2" w:rsidR="00AB2825" w:rsidRPr="004020C5" w:rsidRDefault="00AB2825" w:rsidP="003C6F5B">
            <w:pPr>
              <w:pStyle w:val="BodySans"/>
              <w:spacing w:after="0"/>
            </w:pPr>
            <w:r w:rsidRPr="004020C5">
              <w:t>Total number of siblings</w:t>
            </w:r>
          </w:p>
        </w:tc>
        <w:tc>
          <w:tcPr>
            <w:tcW w:w="3402" w:type="dxa"/>
            <w:hideMark/>
          </w:tcPr>
          <w:p w14:paraId="6048A63E" w14:textId="2808183E"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1.13 (1.2)</w:t>
            </w:r>
          </w:p>
        </w:tc>
        <w:tc>
          <w:tcPr>
            <w:tcW w:w="3402" w:type="dxa"/>
            <w:hideMark/>
          </w:tcPr>
          <w:p w14:paraId="5E1E7249" w14:textId="5996CD3A" w:rsidR="00AB2825" w:rsidRPr="004020C5" w:rsidRDefault="00AB2825"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1.75 (1.6)</w:t>
            </w:r>
          </w:p>
        </w:tc>
      </w:tr>
    </w:tbl>
    <w:p w14:paraId="6C479700" w14:textId="58441863" w:rsidR="004020C5" w:rsidRDefault="004020C5" w:rsidP="003C6F5B">
      <w:pPr>
        <w:pStyle w:val="FigureTableHeading"/>
      </w:pPr>
      <w:r w:rsidRPr="00CE1A22">
        <w:rPr>
          <w:rStyle w:val="Strong"/>
        </w:rPr>
        <w:t>Table 8</w:t>
      </w:r>
      <w:r w:rsidR="009C56F3">
        <w:rPr>
          <w:rStyle w:val="Strong"/>
        </w:rPr>
        <w:t xml:space="preserve"> (A-L)</w:t>
      </w:r>
      <w:r w:rsidRPr="004020C5">
        <w:t>: Parameter estimates from the risk factors generalised estimation equations (GEE) analysis</w:t>
      </w:r>
    </w:p>
    <w:p w14:paraId="45A19701" w14:textId="7C26EAB5" w:rsidR="00FB6109" w:rsidRPr="004020C5" w:rsidRDefault="009C56F3" w:rsidP="003C6F5B">
      <w:pPr>
        <w:pStyle w:val="TableSubheading"/>
        <w:spacing w:before="240"/>
      </w:pPr>
      <w:r>
        <w:t xml:space="preserve">A) </w:t>
      </w:r>
      <w:r w:rsidR="00FB6109" w:rsidRPr="004020C5">
        <w:t>Number of co-occurring factors</w:t>
      </w:r>
      <w:r w:rsidR="00AE7F6B">
        <w:t>:</w:t>
      </w:r>
      <w:r w:rsidR="00FB6109" w:rsidRPr="00FB6109">
        <w:t xml:space="preserve"> </w:t>
      </w:r>
      <w:r w:rsidR="00FB6109" w:rsidRPr="004020C5">
        <w:t>Unadjusted model</w:t>
      </w:r>
    </w:p>
    <w:tbl>
      <w:tblPr>
        <w:tblStyle w:val="ANROWSTable"/>
        <w:tblW w:w="10204" w:type="dxa"/>
        <w:tblLook w:val="04A0" w:firstRow="1" w:lastRow="0" w:firstColumn="1" w:lastColumn="0" w:noHBand="0" w:noVBand="1"/>
      </w:tblPr>
      <w:tblGrid>
        <w:gridCol w:w="3118"/>
        <w:gridCol w:w="1304"/>
        <w:gridCol w:w="1304"/>
        <w:gridCol w:w="1304"/>
        <w:gridCol w:w="1587"/>
        <w:gridCol w:w="1587"/>
      </w:tblGrid>
      <w:tr w:rsidR="00CB4A2D" w:rsidRPr="004020C5" w14:paraId="7B2C0F1C" w14:textId="77777777" w:rsidTr="00F84111">
        <w:trPr>
          <w:cnfStyle w:val="100000000000" w:firstRow="1" w:lastRow="0" w:firstColumn="0" w:lastColumn="0" w:oddVBand="0" w:evenVBand="0" w:oddHBand="0" w:evenHBand="0" w:firstRowFirstColumn="0" w:firstRowLastColumn="0" w:lastRowFirstColumn="0" w:lastRowLastColumn="0"/>
          <w:trHeight w:val="23"/>
          <w:tblHeader/>
        </w:trPr>
        <w:tc>
          <w:tcPr>
            <w:cnfStyle w:val="001000000000" w:firstRow="0" w:lastRow="0" w:firstColumn="1" w:lastColumn="0" w:oddVBand="0" w:evenVBand="0" w:oddHBand="0" w:evenHBand="0" w:firstRowFirstColumn="0" w:firstRowLastColumn="0" w:lastRowFirstColumn="0" w:lastRowLastColumn="0"/>
            <w:tcW w:w="3118" w:type="dxa"/>
            <w:hideMark/>
          </w:tcPr>
          <w:p w14:paraId="4376E564" w14:textId="66C634CA" w:rsidR="00FB6109" w:rsidRPr="004020C5" w:rsidRDefault="00AE7F6B" w:rsidP="003C6F5B">
            <w:pPr>
              <w:pStyle w:val="BodySans"/>
              <w:spacing w:after="0"/>
            </w:pPr>
            <w:r>
              <w:t>Characteristics</w:t>
            </w:r>
          </w:p>
        </w:tc>
        <w:tc>
          <w:tcPr>
            <w:tcW w:w="1304" w:type="dxa"/>
            <w:hideMark/>
          </w:tcPr>
          <w:p w14:paraId="434AFA5B" w14:textId="5B5F7800" w:rsidR="00FB6109" w:rsidRPr="004020C5" w:rsidRDefault="00FB6109"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2E734469" w14:textId="788B7E20" w:rsidR="00FB6109" w:rsidRPr="004020C5" w:rsidRDefault="00FB6109"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17143156" w14:textId="1A728192" w:rsidR="00FB6109" w:rsidRPr="004020C5" w:rsidRDefault="00FB6109"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4EA1BDA5" w14:textId="77777777" w:rsidR="00FB6109" w:rsidRPr="004020C5" w:rsidRDefault="00FB6109"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 xml:space="preserve">: </w:t>
            </w:r>
            <w:r w:rsidRPr="004020C5">
              <w:t>Min.</w:t>
            </w:r>
          </w:p>
        </w:tc>
        <w:tc>
          <w:tcPr>
            <w:tcW w:w="1587" w:type="dxa"/>
          </w:tcPr>
          <w:p w14:paraId="7CB564C3" w14:textId="25ABE5F5" w:rsidR="00FB6109" w:rsidRPr="004020C5" w:rsidRDefault="00FB6109"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 xml:space="preserve">: </w:t>
            </w:r>
            <w:r w:rsidRPr="004020C5">
              <w:t>Max.</w:t>
            </w:r>
          </w:p>
        </w:tc>
      </w:tr>
      <w:tr w:rsidR="00CB4A2D" w:rsidRPr="004020C5" w14:paraId="652AC35A"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6CB71865" w14:textId="1DBDE729" w:rsidR="00FB6109" w:rsidRPr="004020C5" w:rsidRDefault="00FB6109" w:rsidP="003C6F5B">
            <w:pPr>
              <w:pStyle w:val="BodySans"/>
              <w:spacing w:after="0"/>
            </w:pPr>
            <w:r w:rsidRPr="004020C5">
              <w:t>DFV only (1 risk factor)</w:t>
            </w:r>
          </w:p>
        </w:tc>
        <w:tc>
          <w:tcPr>
            <w:tcW w:w="1304" w:type="dxa"/>
            <w:hideMark/>
          </w:tcPr>
          <w:p w14:paraId="472FCF5B" w14:textId="77777777" w:rsidR="00FB6109" w:rsidRPr="004020C5" w:rsidRDefault="00FB6109"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hideMark/>
          </w:tcPr>
          <w:p w14:paraId="1032A8DC" w14:textId="77777777" w:rsidR="00FB6109" w:rsidRPr="004020C5" w:rsidRDefault="00FB6109"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hideMark/>
          </w:tcPr>
          <w:p w14:paraId="0284A863" w14:textId="77777777" w:rsidR="00FB6109" w:rsidRPr="004020C5" w:rsidRDefault="00FB6109"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hideMark/>
          </w:tcPr>
          <w:p w14:paraId="363C94BD" w14:textId="77777777" w:rsidR="00FB6109" w:rsidRPr="004020C5" w:rsidRDefault="00FB6109"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hideMark/>
          </w:tcPr>
          <w:p w14:paraId="4D22E809" w14:textId="77777777" w:rsidR="00FB6109" w:rsidRPr="004020C5" w:rsidRDefault="00FB6109" w:rsidP="003C6F5B">
            <w:pPr>
              <w:pStyle w:val="BodySans"/>
              <w:spacing w:after="0"/>
              <w:cnfStyle w:val="000000100000" w:firstRow="0" w:lastRow="0" w:firstColumn="0" w:lastColumn="0" w:oddVBand="0" w:evenVBand="0" w:oddHBand="1" w:evenHBand="0" w:firstRowFirstColumn="0" w:firstRowLastColumn="0" w:lastRowFirstColumn="0" w:lastRowLastColumn="0"/>
            </w:pPr>
          </w:p>
        </w:tc>
      </w:tr>
      <w:tr w:rsidR="00CB4A2D" w:rsidRPr="004020C5" w14:paraId="16DAE288"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349531CE" w14:textId="1959C459" w:rsidR="00FB6109" w:rsidRPr="004020C5" w:rsidRDefault="00FB6109" w:rsidP="003C6F5B">
            <w:pPr>
              <w:pStyle w:val="BodySans"/>
              <w:spacing w:after="0"/>
            </w:pPr>
            <w:r w:rsidRPr="004020C5">
              <w:t>DFV-AOD/MH (2 risk factors)</w:t>
            </w:r>
          </w:p>
        </w:tc>
        <w:tc>
          <w:tcPr>
            <w:tcW w:w="1304" w:type="dxa"/>
            <w:hideMark/>
          </w:tcPr>
          <w:p w14:paraId="5AA48B12" w14:textId="23CE4381" w:rsidR="00FB6109" w:rsidRPr="004020C5" w:rsidRDefault="00FB6109"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2.20****</w:t>
            </w:r>
          </w:p>
        </w:tc>
        <w:tc>
          <w:tcPr>
            <w:tcW w:w="1304" w:type="dxa"/>
            <w:hideMark/>
          </w:tcPr>
          <w:p w14:paraId="75780635" w14:textId="3B00760B" w:rsidR="00FB6109" w:rsidRPr="004020C5" w:rsidRDefault="00FB6109"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0.06</w:t>
            </w:r>
          </w:p>
        </w:tc>
        <w:tc>
          <w:tcPr>
            <w:tcW w:w="1304" w:type="dxa"/>
            <w:hideMark/>
          </w:tcPr>
          <w:p w14:paraId="189302D6" w14:textId="1BBD5718" w:rsidR="00FB6109" w:rsidRPr="004020C5" w:rsidRDefault="00FB6109"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6.58</w:t>
            </w:r>
          </w:p>
        </w:tc>
        <w:tc>
          <w:tcPr>
            <w:tcW w:w="1587" w:type="dxa"/>
            <w:hideMark/>
          </w:tcPr>
          <w:p w14:paraId="5AE08EA7" w14:textId="49C2F80E" w:rsidR="00FB6109" w:rsidRPr="004020C5" w:rsidRDefault="00FB6109"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5.76</w:t>
            </w:r>
          </w:p>
        </w:tc>
        <w:tc>
          <w:tcPr>
            <w:tcW w:w="1587" w:type="dxa"/>
            <w:hideMark/>
          </w:tcPr>
          <w:p w14:paraId="73CD7E5F" w14:textId="57B2FDBD" w:rsidR="00FB6109" w:rsidRPr="004020C5" w:rsidRDefault="00FB6109"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7.51</w:t>
            </w:r>
          </w:p>
        </w:tc>
      </w:tr>
      <w:tr w:rsidR="00CB4A2D" w:rsidRPr="004020C5" w14:paraId="4B444845"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663133E6" w14:textId="200C8E35" w:rsidR="00FB6109" w:rsidRPr="004020C5" w:rsidRDefault="00FB6109" w:rsidP="003C6F5B">
            <w:pPr>
              <w:pStyle w:val="BodySans"/>
              <w:spacing w:after="0"/>
            </w:pPr>
            <w:r w:rsidRPr="004020C5">
              <w:t>DFV-AOD-MH (3 risk factors)</w:t>
            </w:r>
          </w:p>
        </w:tc>
        <w:tc>
          <w:tcPr>
            <w:tcW w:w="1304" w:type="dxa"/>
            <w:hideMark/>
          </w:tcPr>
          <w:p w14:paraId="08A0FD1D" w14:textId="1CB85362" w:rsidR="00FB6109" w:rsidRPr="004020C5" w:rsidRDefault="00FB6109"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3.10****</w:t>
            </w:r>
          </w:p>
        </w:tc>
        <w:tc>
          <w:tcPr>
            <w:tcW w:w="1304" w:type="dxa"/>
            <w:hideMark/>
          </w:tcPr>
          <w:p w14:paraId="231AECFF" w14:textId="66639F0E" w:rsidR="00FB6109" w:rsidRPr="004020C5" w:rsidRDefault="00FB6109"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0.08</w:t>
            </w:r>
          </w:p>
        </w:tc>
        <w:tc>
          <w:tcPr>
            <w:tcW w:w="1304" w:type="dxa"/>
            <w:hideMark/>
          </w:tcPr>
          <w:p w14:paraId="5B02B399" w14:textId="16D9CEBB" w:rsidR="00FB6109" w:rsidRPr="004020C5" w:rsidRDefault="00FB6109"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22.16</w:t>
            </w:r>
          </w:p>
        </w:tc>
        <w:tc>
          <w:tcPr>
            <w:tcW w:w="1587" w:type="dxa"/>
            <w:hideMark/>
          </w:tcPr>
          <w:p w14:paraId="11B0E0EE" w14:textId="3CDC8BF7" w:rsidR="00FB6109" w:rsidRPr="004020C5" w:rsidRDefault="00FB6109"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18.87</w:t>
            </w:r>
          </w:p>
        </w:tc>
        <w:tc>
          <w:tcPr>
            <w:tcW w:w="1587" w:type="dxa"/>
            <w:hideMark/>
          </w:tcPr>
          <w:p w14:paraId="49B1D6F6" w14:textId="73F246C3" w:rsidR="00FB6109" w:rsidRPr="004020C5" w:rsidRDefault="00FB6109"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26.03</w:t>
            </w:r>
          </w:p>
        </w:tc>
      </w:tr>
      <w:tr w:rsidR="00CB4A2D" w:rsidRPr="004020C5" w14:paraId="185E22B9"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15956E6A" w14:textId="77991CEC" w:rsidR="00FB6109" w:rsidRPr="004020C5" w:rsidRDefault="00FB6109" w:rsidP="003C6F5B">
            <w:pPr>
              <w:pStyle w:val="BodySans"/>
              <w:spacing w:after="0"/>
            </w:pPr>
            <w:r w:rsidRPr="004020C5">
              <w:t>Factors unrelated to DV</w:t>
            </w:r>
          </w:p>
        </w:tc>
        <w:tc>
          <w:tcPr>
            <w:tcW w:w="1304" w:type="dxa"/>
            <w:hideMark/>
          </w:tcPr>
          <w:p w14:paraId="20B988D7" w14:textId="47F785AA" w:rsidR="00FB6109" w:rsidRPr="004020C5" w:rsidRDefault="00FB6109"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1.21****</w:t>
            </w:r>
          </w:p>
        </w:tc>
        <w:tc>
          <w:tcPr>
            <w:tcW w:w="1304" w:type="dxa"/>
            <w:hideMark/>
          </w:tcPr>
          <w:p w14:paraId="08C359A7" w14:textId="7DCFB561" w:rsidR="00FB6109" w:rsidRPr="004020C5" w:rsidRDefault="00FB6109"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0.05</w:t>
            </w:r>
          </w:p>
        </w:tc>
        <w:tc>
          <w:tcPr>
            <w:tcW w:w="1304" w:type="dxa"/>
            <w:hideMark/>
          </w:tcPr>
          <w:p w14:paraId="49532253" w14:textId="246E3649" w:rsidR="00FB6109" w:rsidRPr="004020C5" w:rsidRDefault="00FB6109"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2.46</w:t>
            </w:r>
          </w:p>
        </w:tc>
        <w:tc>
          <w:tcPr>
            <w:tcW w:w="1587" w:type="dxa"/>
            <w:hideMark/>
          </w:tcPr>
          <w:p w14:paraId="1558AF02" w14:textId="332565AA" w:rsidR="00FB6109" w:rsidRPr="004020C5" w:rsidRDefault="00FB6109"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2.13</w:t>
            </w:r>
          </w:p>
        </w:tc>
        <w:tc>
          <w:tcPr>
            <w:tcW w:w="1587" w:type="dxa"/>
            <w:hideMark/>
          </w:tcPr>
          <w:p w14:paraId="063EA5F0" w14:textId="3CB9E7C0" w:rsidR="00FB6109" w:rsidRPr="004020C5" w:rsidRDefault="00FB6109"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2.85</w:t>
            </w:r>
          </w:p>
        </w:tc>
      </w:tr>
    </w:tbl>
    <w:p w14:paraId="1834A4F4" w14:textId="5BD5F192" w:rsidR="00FB6109" w:rsidRDefault="009C56F3" w:rsidP="00206CF2">
      <w:pPr>
        <w:pStyle w:val="TableSubheading"/>
      </w:pPr>
      <w:r>
        <w:t xml:space="preserve">B) </w:t>
      </w:r>
      <w:r w:rsidR="00FB6109" w:rsidRPr="004020C5">
        <w:t>Number of co-occurring factors</w:t>
      </w:r>
      <w:r w:rsidR="00FB6109">
        <w:t xml:space="preserve">: </w:t>
      </w:r>
      <w:r w:rsidR="00FB6109" w:rsidRPr="004020C5">
        <w:t>Adjusted model</w:t>
      </w:r>
    </w:p>
    <w:tbl>
      <w:tblPr>
        <w:tblStyle w:val="ANROWSTable"/>
        <w:tblW w:w="10204" w:type="dxa"/>
        <w:tblLook w:val="04A0" w:firstRow="1" w:lastRow="0" w:firstColumn="1" w:lastColumn="0" w:noHBand="0" w:noVBand="1"/>
      </w:tblPr>
      <w:tblGrid>
        <w:gridCol w:w="3118"/>
        <w:gridCol w:w="1304"/>
        <w:gridCol w:w="1304"/>
        <w:gridCol w:w="1304"/>
        <w:gridCol w:w="1587"/>
        <w:gridCol w:w="1587"/>
      </w:tblGrid>
      <w:tr w:rsidR="00CB4A2D" w:rsidRPr="004020C5" w14:paraId="37CE79DB" w14:textId="77777777" w:rsidTr="00F84111">
        <w:trPr>
          <w:cnfStyle w:val="100000000000" w:firstRow="1" w:lastRow="0" w:firstColumn="0" w:lastColumn="0" w:oddVBand="0" w:evenVBand="0" w:oddHBand="0" w:evenHBand="0" w:firstRowFirstColumn="0" w:firstRowLastColumn="0" w:lastRowFirstColumn="0" w:lastRowLastColumn="0"/>
          <w:trHeight w:val="142"/>
          <w:tblHeader/>
        </w:trPr>
        <w:tc>
          <w:tcPr>
            <w:cnfStyle w:val="001000000000" w:firstRow="0" w:lastRow="0" w:firstColumn="1" w:lastColumn="0" w:oddVBand="0" w:evenVBand="0" w:oddHBand="0" w:evenHBand="0" w:firstRowFirstColumn="0" w:firstRowLastColumn="0" w:lastRowFirstColumn="0" w:lastRowLastColumn="0"/>
            <w:tcW w:w="3118" w:type="dxa"/>
            <w:hideMark/>
          </w:tcPr>
          <w:p w14:paraId="18F87277" w14:textId="6694E8EA" w:rsidR="00AE7F6B" w:rsidRPr="004020C5" w:rsidRDefault="00AE7F6B" w:rsidP="003C6F5B">
            <w:pPr>
              <w:pStyle w:val="BodySans"/>
              <w:spacing w:after="0"/>
            </w:pPr>
            <w:r>
              <w:t>Characteristics</w:t>
            </w:r>
          </w:p>
        </w:tc>
        <w:tc>
          <w:tcPr>
            <w:tcW w:w="1304" w:type="dxa"/>
            <w:hideMark/>
          </w:tcPr>
          <w:p w14:paraId="4FC65D70" w14:textId="77777777" w:rsidR="00AE7F6B" w:rsidRPr="004020C5" w:rsidRDefault="00AE7F6B"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07FB78B8" w14:textId="77777777" w:rsidR="00AE7F6B" w:rsidRPr="004020C5" w:rsidRDefault="00AE7F6B"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5552D4F4" w14:textId="77777777" w:rsidR="00AE7F6B" w:rsidRPr="004020C5" w:rsidRDefault="00AE7F6B"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65C071A0" w14:textId="77777777" w:rsidR="00AE7F6B" w:rsidRPr="004020C5" w:rsidRDefault="00AE7F6B"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Min.</w:t>
            </w:r>
          </w:p>
        </w:tc>
        <w:tc>
          <w:tcPr>
            <w:tcW w:w="1587" w:type="dxa"/>
          </w:tcPr>
          <w:p w14:paraId="22D3F0ED" w14:textId="77777777" w:rsidR="00AE7F6B" w:rsidRPr="004020C5" w:rsidRDefault="00AE7F6B"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Max.</w:t>
            </w:r>
          </w:p>
        </w:tc>
      </w:tr>
      <w:tr w:rsidR="00CB4A2D" w:rsidRPr="004020C5" w14:paraId="1A9EBCBF"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0725A486" w14:textId="77777777" w:rsidR="00AE7F6B" w:rsidRPr="004020C5" w:rsidRDefault="00AE7F6B" w:rsidP="003C6F5B">
            <w:pPr>
              <w:pStyle w:val="BodySans"/>
              <w:spacing w:after="0"/>
            </w:pPr>
            <w:r w:rsidRPr="004020C5">
              <w:t>DFV only (1 risk factor)</w:t>
            </w:r>
          </w:p>
        </w:tc>
        <w:tc>
          <w:tcPr>
            <w:tcW w:w="1304" w:type="dxa"/>
            <w:hideMark/>
          </w:tcPr>
          <w:p w14:paraId="7F45DAB3" w14:textId="77777777" w:rsidR="00AE7F6B" w:rsidRPr="004020C5" w:rsidRDefault="00AE7F6B"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hideMark/>
          </w:tcPr>
          <w:p w14:paraId="35E3F68B" w14:textId="77777777" w:rsidR="00AE7F6B" w:rsidRPr="004020C5" w:rsidRDefault="00AE7F6B"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hideMark/>
          </w:tcPr>
          <w:p w14:paraId="05761388" w14:textId="77777777" w:rsidR="00AE7F6B" w:rsidRPr="004020C5" w:rsidRDefault="00AE7F6B"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hideMark/>
          </w:tcPr>
          <w:p w14:paraId="1DD80480" w14:textId="77777777" w:rsidR="00AE7F6B" w:rsidRPr="004020C5" w:rsidRDefault="00AE7F6B"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hideMark/>
          </w:tcPr>
          <w:p w14:paraId="03316FE8" w14:textId="77777777" w:rsidR="00AE7F6B" w:rsidRPr="004020C5" w:rsidRDefault="00AE7F6B" w:rsidP="003C6F5B">
            <w:pPr>
              <w:pStyle w:val="BodySans"/>
              <w:spacing w:after="0"/>
              <w:cnfStyle w:val="000000100000" w:firstRow="0" w:lastRow="0" w:firstColumn="0" w:lastColumn="0" w:oddVBand="0" w:evenVBand="0" w:oddHBand="1" w:evenHBand="0" w:firstRowFirstColumn="0" w:firstRowLastColumn="0" w:lastRowFirstColumn="0" w:lastRowLastColumn="0"/>
            </w:pPr>
          </w:p>
        </w:tc>
      </w:tr>
      <w:tr w:rsidR="00CB4A2D" w:rsidRPr="004020C5" w14:paraId="0EC84087"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56BBBE55" w14:textId="77777777" w:rsidR="00AE7F6B" w:rsidRPr="004020C5" w:rsidRDefault="00AE7F6B" w:rsidP="003C6F5B">
            <w:pPr>
              <w:pStyle w:val="BodySans"/>
              <w:spacing w:after="0"/>
            </w:pPr>
            <w:r w:rsidRPr="004020C5">
              <w:lastRenderedPageBreak/>
              <w:t>DFV-AOD/MH (2 risk factors)</w:t>
            </w:r>
          </w:p>
        </w:tc>
        <w:tc>
          <w:tcPr>
            <w:tcW w:w="1304" w:type="dxa"/>
            <w:hideMark/>
          </w:tcPr>
          <w:p w14:paraId="7AB798F9" w14:textId="77777777" w:rsidR="00AE7F6B" w:rsidRPr="004020C5" w:rsidRDefault="00AE7F6B"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0.87****</w:t>
            </w:r>
          </w:p>
        </w:tc>
        <w:tc>
          <w:tcPr>
            <w:tcW w:w="1304" w:type="dxa"/>
            <w:hideMark/>
          </w:tcPr>
          <w:p w14:paraId="70748BA7" w14:textId="77777777" w:rsidR="00AE7F6B" w:rsidRPr="004020C5" w:rsidRDefault="00AE7F6B"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0.07</w:t>
            </w:r>
          </w:p>
        </w:tc>
        <w:tc>
          <w:tcPr>
            <w:tcW w:w="1304" w:type="dxa"/>
            <w:hideMark/>
          </w:tcPr>
          <w:p w14:paraId="421E87F8" w14:textId="77777777" w:rsidR="00AE7F6B" w:rsidRPr="004020C5" w:rsidRDefault="00AE7F6B"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0.53</w:t>
            </w:r>
          </w:p>
        </w:tc>
        <w:tc>
          <w:tcPr>
            <w:tcW w:w="1587" w:type="dxa"/>
            <w:hideMark/>
          </w:tcPr>
          <w:p w14:paraId="28530A24" w14:textId="77777777" w:rsidR="00AE7F6B" w:rsidRPr="004020C5" w:rsidRDefault="00AE7F6B"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0.43</w:t>
            </w:r>
          </w:p>
        </w:tc>
        <w:tc>
          <w:tcPr>
            <w:tcW w:w="1587" w:type="dxa"/>
            <w:hideMark/>
          </w:tcPr>
          <w:p w14:paraId="14B8C0C7" w14:textId="77777777" w:rsidR="00AE7F6B" w:rsidRPr="004020C5" w:rsidRDefault="00AE7F6B"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0.65</w:t>
            </w:r>
          </w:p>
        </w:tc>
      </w:tr>
      <w:tr w:rsidR="00CB4A2D" w:rsidRPr="004020C5" w14:paraId="1A7CC93D"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3360314B" w14:textId="77777777" w:rsidR="00AE7F6B" w:rsidRPr="004020C5" w:rsidRDefault="00AE7F6B" w:rsidP="003C6F5B">
            <w:pPr>
              <w:pStyle w:val="BodySans"/>
              <w:spacing w:after="0"/>
            </w:pPr>
            <w:r w:rsidRPr="004020C5">
              <w:t>DFV-AOD-MH (3 risk factors)</w:t>
            </w:r>
          </w:p>
        </w:tc>
        <w:tc>
          <w:tcPr>
            <w:tcW w:w="1304" w:type="dxa"/>
            <w:hideMark/>
          </w:tcPr>
          <w:p w14:paraId="3562D2D7" w14:textId="77777777" w:rsidR="00AE7F6B" w:rsidRPr="004020C5" w:rsidRDefault="00AE7F6B"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0.75****</w:t>
            </w:r>
          </w:p>
        </w:tc>
        <w:tc>
          <w:tcPr>
            <w:tcW w:w="1304" w:type="dxa"/>
            <w:hideMark/>
          </w:tcPr>
          <w:p w14:paraId="2B3F57AD" w14:textId="77777777" w:rsidR="00AE7F6B" w:rsidRPr="004020C5" w:rsidRDefault="00AE7F6B"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0.11</w:t>
            </w:r>
          </w:p>
        </w:tc>
        <w:tc>
          <w:tcPr>
            <w:tcW w:w="1304" w:type="dxa"/>
            <w:hideMark/>
          </w:tcPr>
          <w:p w14:paraId="38134BF5" w14:textId="77777777" w:rsidR="00AE7F6B" w:rsidRPr="004020C5" w:rsidRDefault="00AE7F6B"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2.13</w:t>
            </w:r>
          </w:p>
        </w:tc>
        <w:tc>
          <w:tcPr>
            <w:tcW w:w="1587" w:type="dxa"/>
            <w:hideMark/>
          </w:tcPr>
          <w:p w14:paraId="5755D41D" w14:textId="77777777" w:rsidR="00AE7F6B" w:rsidRPr="004020C5" w:rsidRDefault="00AE7F6B"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1.70</w:t>
            </w:r>
          </w:p>
        </w:tc>
        <w:tc>
          <w:tcPr>
            <w:tcW w:w="1587" w:type="dxa"/>
            <w:hideMark/>
          </w:tcPr>
          <w:p w14:paraId="12B73BC6" w14:textId="77777777" w:rsidR="00AE7F6B" w:rsidRPr="004020C5" w:rsidRDefault="00AE7F6B"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2.66</w:t>
            </w:r>
          </w:p>
        </w:tc>
      </w:tr>
      <w:tr w:rsidR="00CB4A2D" w:rsidRPr="004020C5" w14:paraId="20816507"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4040E660" w14:textId="77777777" w:rsidR="00AE7F6B" w:rsidRPr="004020C5" w:rsidRDefault="00AE7F6B" w:rsidP="003C6F5B">
            <w:pPr>
              <w:pStyle w:val="BodySans"/>
              <w:spacing w:after="0"/>
            </w:pPr>
            <w:r w:rsidRPr="004020C5">
              <w:t>Factors unrelated to DV</w:t>
            </w:r>
          </w:p>
        </w:tc>
        <w:tc>
          <w:tcPr>
            <w:tcW w:w="1304" w:type="dxa"/>
            <w:hideMark/>
          </w:tcPr>
          <w:p w14:paraId="07354BE6" w14:textId="77777777" w:rsidR="00AE7F6B" w:rsidRPr="004020C5" w:rsidRDefault="00AE7F6B"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1.40****</w:t>
            </w:r>
          </w:p>
        </w:tc>
        <w:tc>
          <w:tcPr>
            <w:tcW w:w="1304" w:type="dxa"/>
            <w:hideMark/>
          </w:tcPr>
          <w:p w14:paraId="22AD6E14" w14:textId="77777777" w:rsidR="00AE7F6B" w:rsidRPr="004020C5" w:rsidRDefault="00AE7F6B"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0.06</w:t>
            </w:r>
          </w:p>
        </w:tc>
        <w:tc>
          <w:tcPr>
            <w:tcW w:w="1304" w:type="dxa"/>
            <w:hideMark/>
          </w:tcPr>
          <w:p w14:paraId="7264BF97" w14:textId="77777777" w:rsidR="00AE7F6B" w:rsidRPr="004020C5" w:rsidRDefault="00AE7F6B"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0.89</w:t>
            </w:r>
          </w:p>
        </w:tc>
        <w:tc>
          <w:tcPr>
            <w:tcW w:w="1587" w:type="dxa"/>
            <w:hideMark/>
          </w:tcPr>
          <w:p w14:paraId="1E170B41" w14:textId="77777777" w:rsidR="00AE7F6B" w:rsidRPr="004020C5" w:rsidRDefault="00AE7F6B"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0.73</w:t>
            </w:r>
          </w:p>
        </w:tc>
        <w:tc>
          <w:tcPr>
            <w:tcW w:w="1587" w:type="dxa"/>
            <w:hideMark/>
          </w:tcPr>
          <w:p w14:paraId="751778C7" w14:textId="77777777" w:rsidR="00AE7F6B" w:rsidRPr="004020C5" w:rsidRDefault="00AE7F6B"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1.09</w:t>
            </w:r>
          </w:p>
        </w:tc>
      </w:tr>
    </w:tbl>
    <w:p w14:paraId="61583F8E" w14:textId="45D33EB9" w:rsidR="00FB6109" w:rsidRDefault="009C56F3" w:rsidP="00206CF2">
      <w:pPr>
        <w:pStyle w:val="TableSubheading"/>
      </w:pPr>
      <w:r>
        <w:t xml:space="preserve">C) </w:t>
      </w:r>
      <w:r w:rsidR="00FB6109" w:rsidRPr="004020C5">
        <w:t>Regionality</w:t>
      </w:r>
      <w:r w:rsidR="0038119C">
        <w:t xml:space="preserve">: </w:t>
      </w:r>
      <w:r w:rsidR="0038119C" w:rsidRPr="004020C5">
        <w:t>Unadjusted model</w:t>
      </w:r>
    </w:p>
    <w:tbl>
      <w:tblPr>
        <w:tblStyle w:val="ANROWSTable"/>
        <w:tblW w:w="10204" w:type="dxa"/>
        <w:tblLook w:val="04A0" w:firstRow="1" w:lastRow="0" w:firstColumn="1" w:lastColumn="0" w:noHBand="0" w:noVBand="1"/>
      </w:tblPr>
      <w:tblGrid>
        <w:gridCol w:w="3118"/>
        <w:gridCol w:w="1304"/>
        <w:gridCol w:w="1304"/>
        <w:gridCol w:w="1304"/>
        <w:gridCol w:w="1587"/>
        <w:gridCol w:w="1587"/>
      </w:tblGrid>
      <w:tr w:rsidR="00CB4A2D" w:rsidRPr="004020C5" w14:paraId="6B578B89"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hideMark/>
          </w:tcPr>
          <w:p w14:paraId="45C149CF" w14:textId="65A8B923" w:rsidR="0038119C" w:rsidRPr="004020C5" w:rsidRDefault="0038119C" w:rsidP="003C6F5B">
            <w:pPr>
              <w:pStyle w:val="BodySans"/>
              <w:spacing w:after="0"/>
            </w:pPr>
            <w:r>
              <w:t>Characteristics</w:t>
            </w:r>
          </w:p>
        </w:tc>
        <w:tc>
          <w:tcPr>
            <w:tcW w:w="1304" w:type="dxa"/>
            <w:hideMark/>
          </w:tcPr>
          <w:p w14:paraId="233952F5" w14:textId="14D35E6A" w:rsidR="0038119C" w:rsidRPr="004020C5" w:rsidRDefault="0038119C"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693042CA" w14:textId="0BD9D52A" w:rsidR="0038119C" w:rsidRPr="004020C5" w:rsidRDefault="0038119C"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7B7F2BA7" w14:textId="3ED358C4" w:rsidR="0038119C" w:rsidRPr="004020C5" w:rsidRDefault="0038119C"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58BA9190" w14:textId="4D012CFF" w:rsidR="0038119C" w:rsidRPr="004020C5" w:rsidRDefault="0038119C"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Min.</w:t>
            </w:r>
          </w:p>
        </w:tc>
        <w:tc>
          <w:tcPr>
            <w:tcW w:w="1587" w:type="dxa"/>
            <w:hideMark/>
          </w:tcPr>
          <w:p w14:paraId="086F30BC" w14:textId="41280BA7" w:rsidR="0038119C" w:rsidRPr="004020C5" w:rsidRDefault="0038119C"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Max.</w:t>
            </w:r>
          </w:p>
        </w:tc>
      </w:tr>
      <w:tr w:rsidR="00CB4A2D" w:rsidRPr="004020C5" w14:paraId="7400E406"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60AE5D7E" w14:textId="624384ED" w:rsidR="0038119C" w:rsidRPr="004020C5" w:rsidRDefault="0038119C" w:rsidP="003C6F5B">
            <w:pPr>
              <w:pStyle w:val="BodySans"/>
              <w:spacing w:after="0"/>
            </w:pPr>
            <w:r w:rsidRPr="004020C5">
              <w:t>[Metropolitan]</w:t>
            </w:r>
          </w:p>
        </w:tc>
        <w:tc>
          <w:tcPr>
            <w:tcW w:w="1304" w:type="dxa"/>
          </w:tcPr>
          <w:p w14:paraId="1C4598B2"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34FFAA0C"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4F2B6FD7"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506E7102"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37F234C4"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p>
        </w:tc>
      </w:tr>
      <w:tr w:rsidR="00CB4A2D" w:rsidRPr="004020C5" w14:paraId="3A20D43A"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1890FA76" w14:textId="58D82B41" w:rsidR="0038119C" w:rsidRPr="004020C5" w:rsidRDefault="0038119C" w:rsidP="003C6F5B">
            <w:pPr>
              <w:pStyle w:val="BodySans"/>
              <w:spacing w:after="0"/>
            </w:pPr>
            <w:r w:rsidRPr="004020C5">
              <w:t>Inner regional</w:t>
            </w:r>
          </w:p>
        </w:tc>
        <w:tc>
          <w:tcPr>
            <w:tcW w:w="1304" w:type="dxa"/>
            <w:hideMark/>
          </w:tcPr>
          <w:p w14:paraId="0CE545BB" w14:textId="78004D61" w:rsidR="0038119C" w:rsidRPr="004020C5" w:rsidRDefault="0038119C"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0.10**</w:t>
            </w:r>
          </w:p>
        </w:tc>
        <w:tc>
          <w:tcPr>
            <w:tcW w:w="1304" w:type="dxa"/>
            <w:hideMark/>
          </w:tcPr>
          <w:p w14:paraId="52B0C7A3" w14:textId="3EA56A3D" w:rsidR="0038119C" w:rsidRPr="004020C5" w:rsidRDefault="0038119C"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0.04</w:t>
            </w:r>
          </w:p>
        </w:tc>
        <w:tc>
          <w:tcPr>
            <w:tcW w:w="1304" w:type="dxa"/>
            <w:hideMark/>
          </w:tcPr>
          <w:p w14:paraId="62E7949A" w14:textId="6AE9847E" w:rsidR="0038119C" w:rsidRPr="004020C5" w:rsidRDefault="0038119C"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1.08</w:t>
            </w:r>
          </w:p>
        </w:tc>
        <w:tc>
          <w:tcPr>
            <w:tcW w:w="1587" w:type="dxa"/>
            <w:hideMark/>
          </w:tcPr>
          <w:p w14:paraId="693CB05C" w14:textId="1B8CC9EA" w:rsidR="0038119C" w:rsidRPr="004020C5" w:rsidRDefault="0038119C"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0.95</w:t>
            </w:r>
          </w:p>
        </w:tc>
        <w:tc>
          <w:tcPr>
            <w:tcW w:w="1587" w:type="dxa"/>
            <w:hideMark/>
          </w:tcPr>
          <w:p w14:paraId="5846A026" w14:textId="032ADE78" w:rsidR="0038119C" w:rsidRPr="004020C5" w:rsidRDefault="0038119C"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1.24</w:t>
            </w:r>
          </w:p>
        </w:tc>
      </w:tr>
      <w:tr w:rsidR="00CB4A2D" w:rsidRPr="004020C5" w14:paraId="7EF15583"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187A8792" w14:textId="27880DA3" w:rsidR="0038119C" w:rsidRPr="004020C5" w:rsidRDefault="0038119C" w:rsidP="003C6F5B">
            <w:pPr>
              <w:pStyle w:val="BodySans"/>
              <w:spacing w:after="0"/>
            </w:pPr>
            <w:r w:rsidRPr="004020C5">
              <w:t>Outer regional/remote/very remote</w:t>
            </w:r>
            <w:r w:rsidRPr="00070EFF">
              <w:rPr>
                <w:rStyle w:val="Superscript"/>
              </w:rPr>
              <w:t xml:space="preserve"> a</w:t>
            </w:r>
          </w:p>
        </w:tc>
        <w:tc>
          <w:tcPr>
            <w:tcW w:w="1304" w:type="dxa"/>
            <w:hideMark/>
          </w:tcPr>
          <w:p w14:paraId="2FAF9EFE" w14:textId="76A76153"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0.02</w:t>
            </w:r>
          </w:p>
        </w:tc>
        <w:tc>
          <w:tcPr>
            <w:tcW w:w="1304" w:type="dxa"/>
            <w:hideMark/>
          </w:tcPr>
          <w:p w14:paraId="7F733D87" w14:textId="0E4DAF15"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0.06</w:t>
            </w:r>
          </w:p>
        </w:tc>
        <w:tc>
          <w:tcPr>
            <w:tcW w:w="1304" w:type="dxa"/>
            <w:hideMark/>
          </w:tcPr>
          <w:p w14:paraId="030C5A49" w14:textId="55426AE8"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1.11</w:t>
            </w:r>
          </w:p>
        </w:tc>
        <w:tc>
          <w:tcPr>
            <w:tcW w:w="1587" w:type="dxa"/>
            <w:hideMark/>
          </w:tcPr>
          <w:p w14:paraId="0BF047EA" w14:textId="700C1B8C"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1.03</w:t>
            </w:r>
          </w:p>
        </w:tc>
        <w:tc>
          <w:tcPr>
            <w:tcW w:w="1587" w:type="dxa"/>
            <w:hideMark/>
          </w:tcPr>
          <w:p w14:paraId="1C0381A0" w14:textId="1B89BED3"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1.20</w:t>
            </w:r>
          </w:p>
        </w:tc>
      </w:tr>
    </w:tbl>
    <w:p w14:paraId="3853D76A" w14:textId="6F3DCC4F" w:rsidR="0038119C" w:rsidRDefault="009C56F3" w:rsidP="00206CF2">
      <w:pPr>
        <w:pStyle w:val="TableSubheading"/>
      </w:pPr>
      <w:r>
        <w:t xml:space="preserve">D) </w:t>
      </w:r>
      <w:r w:rsidR="0038119C">
        <w:t xml:space="preserve">Regionality: </w:t>
      </w:r>
      <w:r w:rsidR="0038119C" w:rsidRPr="004020C5">
        <w:t>Adjusted model</w:t>
      </w:r>
    </w:p>
    <w:tbl>
      <w:tblPr>
        <w:tblStyle w:val="ANROWSTable"/>
        <w:tblW w:w="10204" w:type="dxa"/>
        <w:tblLook w:val="04A0" w:firstRow="1" w:lastRow="0" w:firstColumn="1" w:lastColumn="0" w:noHBand="0" w:noVBand="1"/>
      </w:tblPr>
      <w:tblGrid>
        <w:gridCol w:w="3118"/>
        <w:gridCol w:w="1304"/>
        <w:gridCol w:w="1304"/>
        <w:gridCol w:w="1304"/>
        <w:gridCol w:w="1587"/>
        <w:gridCol w:w="1587"/>
      </w:tblGrid>
      <w:tr w:rsidR="0038119C" w:rsidRPr="004020C5" w14:paraId="78F1F805"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hideMark/>
          </w:tcPr>
          <w:p w14:paraId="638D4A12" w14:textId="77777777" w:rsidR="0038119C" w:rsidRPr="004020C5" w:rsidRDefault="0038119C" w:rsidP="003C6F5B">
            <w:pPr>
              <w:pStyle w:val="BodySans"/>
              <w:spacing w:after="0"/>
            </w:pPr>
            <w:r>
              <w:t>Characteristics</w:t>
            </w:r>
          </w:p>
        </w:tc>
        <w:tc>
          <w:tcPr>
            <w:tcW w:w="1304" w:type="dxa"/>
            <w:hideMark/>
          </w:tcPr>
          <w:p w14:paraId="40CC4EAF" w14:textId="48654F53" w:rsidR="0038119C" w:rsidRPr="004020C5" w:rsidRDefault="0038119C"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78F368F6" w14:textId="71A10BD3" w:rsidR="0038119C" w:rsidRPr="004020C5" w:rsidRDefault="0038119C"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2D0E99F5" w14:textId="4A4F9457" w:rsidR="0038119C" w:rsidRPr="004020C5" w:rsidRDefault="0038119C"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243517C2" w14:textId="69FA9CA7" w:rsidR="0038119C" w:rsidRPr="004020C5" w:rsidRDefault="0038119C"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Min.</w:t>
            </w:r>
          </w:p>
        </w:tc>
        <w:tc>
          <w:tcPr>
            <w:tcW w:w="1587" w:type="dxa"/>
            <w:hideMark/>
          </w:tcPr>
          <w:p w14:paraId="23DD3975" w14:textId="4E58A4B5" w:rsidR="0038119C" w:rsidRPr="004020C5" w:rsidRDefault="0038119C"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Max.</w:t>
            </w:r>
          </w:p>
        </w:tc>
      </w:tr>
      <w:tr w:rsidR="0038119C" w:rsidRPr="004020C5" w14:paraId="6DF98864"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75C4D2B2" w14:textId="77777777" w:rsidR="0038119C" w:rsidRPr="004020C5" w:rsidRDefault="0038119C" w:rsidP="003C6F5B">
            <w:pPr>
              <w:pStyle w:val="BodySans"/>
              <w:spacing w:after="0"/>
            </w:pPr>
            <w:r w:rsidRPr="004020C5">
              <w:t>[Metropolitan]</w:t>
            </w:r>
          </w:p>
        </w:tc>
        <w:tc>
          <w:tcPr>
            <w:tcW w:w="1304" w:type="dxa"/>
          </w:tcPr>
          <w:p w14:paraId="3608BD23"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084CBE43"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032BBBF4"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3FD6282D"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15D02A75"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p>
        </w:tc>
      </w:tr>
      <w:tr w:rsidR="0038119C" w:rsidRPr="004020C5" w14:paraId="38C1BFD6"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18F265E2" w14:textId="77777777" w:rsidR="0038119C" w:rsidRPr="004020C5" w:rsidRDefault="0038119C" w:rsidP="003C6F5B">
            <w:pPr>
              <w:pStyle w:val="BodySans"/>
              <w:spacing w:after="0"/>
            </w:pPr>
            <w:r w:rsidRPr="004020C5">
              <w:t>Inner regional</w:t>
            </w:r>
          </w:p>
        </w:tc>
        <w:tc>
          <w:tcPr>
            <w:tcW w:w="1304" w:type="dxa"/>
            <w:hideMark/>
          </w:tcPr>
          <w:p w14:paraId="17B11F37" w14:textId="77777777" w:rsidR="0038119C" w:rsidRPr="004020C5" w:rsidRDefault="0038119C"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-0.22****</w:t>
            </w:r>
          </w:p>
        </w:tc>
        <w:tc>
          <w:tcPr>
            <w:tcW w:w="1304" w:type="dxa"/>
            <w:hideMark/>
          </w:tcPr>
          <w:p w14:paraId="01074D56" w14:textId="77777777" w:rsidR="0038119C" w:rsidRPr="004020C5" w:rsidRDefault="0038119C"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0.04</w:t>
            </w:r>
          </w:p>
        </w:tc>
        <w:tc>
          <w:tcPr>
            <w:tcW w:w="1304" w:type="dxa"/>
            <w:hideMark/>
          </w:tcPr>
          <w:p w14:paraId="102E933E" w14:textId="77777777" w:rsidR="0038119C" w:rsidRPr="004020C5" w:rsidRDefault="0038119C"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1.04</w:t>
            </w:r>
          </w:p>
        </w:tc>
        <w:tc>
          <w:tcPr>
            <w:tcW w:w="1587" w:type="dxa"/>
            <w:hideMark/>
          </w:tcPr>
          <w:p w14:paraId="65D37170" w14:textId="77777777" w:rsidR="0038119C" w:rsidRPr="004020C5" w:rsidRDefault="0038119C"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0.90</w:t>
            </w:r>
          </w:p>
        </w:tc>
        <w:tc>
          <w:tcPr>
            <w:tcW w:w="1587" w:type="dxa"/>
            <w:hideMark/>
          </w:tcPr>
          <w:p w14:paraId="7BB3B8B4" w14:textId="77777777" w:rsidR="0038119C" w:rsidRPr="004020C5" w:rsidRDefault="0038119C"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1.20</w:t>
            </w:r>
          </w:p>
        </w:tc>
      </w:tr>
      <w:tr w:rsidR="0038119C" w:rsidRPr="004020C5" w14:paraId="11CFF91B"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7BE944B0" w14:textId="77777777" w:rsidR="0038119C" w:rsidRPr="004020C5" w:rsidRDefault="0038119C" w:rsidP="003C6F5B">
            <w:pPr>
              <w:pStyle w:val="BodySans"/>
              <w:spacing w:after="0"/>
            </w:pPr>
            <w:r w:rsidRPr="004020C5">
              <w:t>Outer regional/remote/very remote</w:t>
            </w:r>
            <w:r w:rsidRPr="00070EFF">
              <w:rPr>
                <w:rStyle w:val="Superscript"/>
              </w:rPr>
              <w:t xml:space="preserve"> a</w:t>
            </w:r>
          </w:p>
        </w:tc>
        <w:tc>
          <w:tcPr>
            <w:tcW w:w="1304" w:type="dxa"/>
            <w:hideMark/>
          </w:tcPr>
          <w:p w14:paraId="7B6C5F25"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-0.26**</w:t>
            </w:r>
          </w:p>
        </w:tc>
        <w:tc>
          <w:tcPr>
            <w:tcW w:w="1304" w:type="dxa"/>
            <w:hideMark/>
          </w:tcPr>
          <w:p w14:paraId="078AF698"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0.07</w:t>
            </w:r>
          </w:p>
        </w:tc>
        <w:tc>
          <w:tcPr>
            <w:tcW w:w="1304" w:type="dxa"/>
            <w:hideMark/>
          </w:tcPr>
          <w:p w14:paraId="7922EB46"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0.80</w:t>
            </w:r>
          </w:p>
        </w:tc>
        <w:tc>
          <w:tcPr>
            <w:tcW w:w="1587" w:type="dxa"/>
            <w:hideMark/>
          </w:tcPr>
          <w:p w14:paraId="4BA8D643"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0.73</w:t>
            </w:r>
          </w:p>
        </w:tc>
        <w:tc>
          <w:tcPr>
            <w:tcW w:w="1587" w:type="dxa"/>
            <w:hideMark/>
          </w:tcPr>
          <w:p w14:paraId="2730AFAB" w14:textId="77777777" w:rsidR="0038119C" w:rsidRPr="004020C5" w:rsidRDefault="0038119C"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0.88</w:t>
            </w:r>
          </w:p>
        </w:tc>
      </w:tr>
    </w:tbl>
    <w:p w14:paraId="63C6FAB8" w14:textId="54D57AE3" w:rsidR="0038119C" w:rsidRDefault="009C56F3" w:rsidP="00206CF2">
      <w:pPr>
        <w:pStyle w:val="TableSubheading"/>
      </w:pPr>
      <w:r>
        <w:t xml:space="preserve">E) </w:t>
      </w:r>
      <w:r w:rsidR="002325DF" w:rsidRPr="004020C5">
        <w:t>Age at first CP report</w:t>
      </w:r>
      <w:bookmarkStart w:id="31" w:name="_Hlk185497980"/>
      <w:r w:rsidR="002325DF">
        <w:t xml:space="preserve">: </w:t>
      </w:r>
      <w:r w:rsidR="002325DF" w:rsidRPr="004020C5">
        <w:t>Unadjusted model</w:t>
      </w:r>
      <w:bookmarkEnd w:id="31"/>
    </w:p>
    <w:tbl>
      <w:tblPr>
        <w:tblStyle w:val="ANROWSTable"/>
        <w:tblW w:w="10204" w:type="dxa"/>
        <w:tblLook w:val="04A0" w:firstRow="1" w:lastRow="0" w:firstColumn="1" w:lastColumn="0" w:noHBand="0" w:noVBand="1"/>
      </w:tblPr>
      <w:tblGrid>
        <w:gridCol w:w="3118"/>
        <w:gridCol w:w="1304"/>
        <w:gridCol w:w="1304"/>
        <w:gridCol w:w="1304"/>
        <w:gridCol w:w="1587"/>
        <w:gridCol w:w="1587"/>
      </w:tblGrid>
      <w:tr w:rsidR="002325DF" w:rsidRPr="004020C5" w14:paraId="1A7707A3"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hideMark/>
          </w:tcPr>
          <w:p w14:paraId="42BDCD05" w14:textId="7C708579" w:rsidR="002325DF" w:rsidRPr="004020C5" w:rsidRDefault="00CF14EF" w:rsidP="003C6F5B">
            <w:pPr>
              <w:pStyle w:val="BodySans"/>
              <w:spacing w:after="0"/>
            </w:pPr>
            <w:r>
              <w:t>Characteristics</w:t>
            </w:r>
          </w:p>
        </w:tc>
        <w:tc>
          <w:tcPr>
            <w:tcW w:w="1304" w:type="dxa"/>
            <w:hideMark/>
          </w:tcPr>
          <w:p w14:paraId="066F0938" w14:textId="17601DAD" w:rsidR="002325DF" w:rsidRPr="004020C5" w:rsidRDefault="002325D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6CC158FF" w14:textId="5D5F3190" w:rsidR="002325DF" w:rsidRPr="004020C5" w:rsidRDefault="002325D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50801C8E" w14:textId="27FD589A" w:rsidR="002325DF" w:rsidRPr="004020C5" w:rsidRDefault="002325D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5DD45F68" w14:textId="3D3CC604" w:rsidR="002325DF" w:rsidRPr="004020C5" w:rsidRDefault="002325D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Min.</w:t>
            </w:r>
          </w:p>
        </w:tc>
        <w:tc>
          <w:tcPr>
            <w:tcW w:w="1587" w:type="dxa"/>
            <w:hideMark/>
          </w:tcPr>
          <w:p w14:paraId="375D013B" w14:textId="5F855886" w:rsidR="002325DF" w:rsidRPr="004020C5" w:rsidRDefault="002325D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Max.</w:t>
            </w:r>
          </w:p>
        </w:tc>
      </w:tr>
      <w:tr w:rsidR="00CF14EF" w:rsidRPr="004020C5" w14:paraId="28E9C9C7"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4A617A4B" w14:textId="61E7E264" w:rsidR="00CF14EF" w:rsidRPr="004020C5" w:rsidRDefault="00CF14EF" w:rsidP="003C6F5B">
            <w:pPr>
              <w:pStyle w:val="BodySans"/>
              <w:spacing w:after="0"/>
            </w:pPr>
            <w:r w:rsidRPr="004020C5">
              <w:t>0–1 years</w:t>
            </w:r>
          </w:p>
        </w:tc>
        <w:tc>
          <w:tcPr>
            <w:tcW w:w="1304" w:type="dxa"/>
          </w:tcPr>
          <w:p w14:paraId="189D5B27"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67BE9AB7"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16425D7D"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0B093352"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7B027906"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r>
      <w:tr w:rsidR="002325DF" w:rsidRPr="004020C5" w14:paraId="61B1C8C4"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636CB13C" w14:textId="24A7C9A1" w:rsidR="002325DF" w:rsidRPr="004020C5" w:rsidRDefault="002325DF" w:rsidP="003C6F5B">
            <w:pPr>
              <w:pStyle w:val="BodySans"/>
              <w:spacing w:after="0"/>
            </w:pPr>
            <w:r w:rsidRPr="004020C5">
              <w:t>2–5 years</w:t>
            </w:r>
          </w:p>
        </w:tc>
        <w:tc>
          <w:tcPr>
            <w:tcW w:w="1304" w:type="dxa"/>
            <w:hideMark/>
          </w:tcPr>
          <w:p w14:paraId="5BD82D67" w14:textId="53EEE52D"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-2.37****</w:t>
            </w:r>
          </w:p>
        </w:tc>
        <w:tc>
          <w:tcPr>
            <w:tcW w:w="1304" w:type="dxa"/>
            <w:hideMark/>
          </w:tcPr>
          <w:p w14:paraId="0F52A3C2" w14:textId="0EDAD853"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0.06</w:t>
            </w:r>
          </w:p>
        </w:tc>
        <w:tc>
          <w:tcPr>
            <w:tcW w:w="1304" w:type="dxa"/>
            <w:hideMark/>
          </w:tcPr>
          <w:p w14:paraId="70610D0F" w14:textId="7CA9ADFB"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0.35</w:t>
            </w:r>
          </w:p>
        </w:tc>
        <w:tc>
          <w:tcPr>
            <w:tcW w:w="1587" w:type="dxa"/>
            <w:hideMark/>
          </w:tcPr>
          <w:p w14:paraId="563EF282" w14:textId="1484817A"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0.26</w:t>
            </w:r>
          </w:p>
        </w:tc>
        <w:tc>
          <w:tcPr>
            <w:tcW w:w="1587" w:type="dxa"/>
            <w:hideMark/>
          </w:tcPr>
          <w:p w14:paraId="47EA3B05" w14:textId="3A67F292"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0.46</w:t>
            </w:r>
          </w:p>
        </w:tc>
      </w:tr>
      <w:tr w:rsidR="002325DF" w:rsidRPr="004020C5" w14:paraId="0CD40FAB"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7C6FF652" w14:textId="55FB294D" w:rsidR="002325DF" w:rsidRPr="004020C5" w:rsidRDefault="002325DF" w:rsidP="003C6F5B">
            <w:pPr>
              <w:pStyle w:val="BodySans"/>
              <w:spacing w:after="0"/>
            </w:pPr>
            <w:r w:rsidRPr="004020C5">
              <w:t>6–10 years</w:t>
            </w:r>
          </w:p>
        </w:tc>
        <w:tc>
          <w:tcPr>
            <w:tcW w:w="1304" w:type="dxa"/>
            <w:hideMark/>
          </w:tcPr>
          <w:p w14:paraId="6E498FF0" w14:textId="1F6C47B1" w:rsidR="002325DF" w:rsidRPr="004020C5" w:rsidRDefault="002325DF"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-3.26****</w:t>
            </w:r>
          </w:p>
        </w:tc>
        <w:tc>
          <w:tcPr>
            <w:tcW w:w="1304" w:type="dxa"/>
            <w:hideMark/>
          </w:tcPr>
          <w:p w14:paraId="1723D69D" w14:textId="1807072D" w:rsidR="002325DF" w:rsidRPr="004020C5" w:rsidRDefault="002325DF"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0.10</w:t>
            </w:r>
          </w:p>
        </w:tc>
        <w:tc>
          <w:tcPr>
            <w:tcW w:w="1304" w:type="dxa"/>
            <w:hideMark/>
          </w:tcPr>
          <w:p w14:paraId="54ECF237" w14:textId="60AB13D3" w:rsidR="002325DF" w:rsidRPr="004020C5" w:rsidRDefault="002325DF"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0.86</w:t>
            </w:r>
          </w:p>
        </w:tc>
        <w:tc>
          <w:tcPr>
            <w:tcW w:w="1587" w:type="dxa"/>
            <w:hideMark/>
          </w:tcPr>
          <w:p w14:paraId="21151621" w14:textId="1E2474A0" w:rsidR="002325DF" w:rsidRPr="004020C5" w:rsidRDefault="002325DF"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0.64</w:t>
            </w:r>
          </w:p>
        </w:tc>
        <w:tc>
          <w:tcPr>
            <w:tcW w:w="1587" w:type="dxa"/>
            <w:hideMark/>
          </w:tcPr>
          <w:p w14:paraId="40FEA3EA" w14:textId="779AD1F9" w:rsidR="002325DF" w:rsidRPr="004020C5" w:rsidRDefault="002325DF"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1.16</w:t>
            </w:r>
          </w:p>
        </w:tc>
      </w:tr>
      <w:tr w:rsidR="002325DF" w:rsidRPr="004020C5" w14:paraId="66D73869"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3E69C699" w14:textId="2F49386D" w:rsidR="002325DF" w:rsidRPr="004020C5" w:rsidRDefault="002325DF" w:rsidP="003C6F5B">
            <w:pPr>
              <w:pStyle w:val="BodySans"/>
              <w:spacing w:after="0"/>
            </w:pPr>
            <w:r w:rsidRPr="004020C5">
              <w:t>11–15 years</w:t>
            </w:r>
          </w:p>
        </w:tc>
        <w:tc>
          <w:tcPr>
            <w:tcW w:w="1304" w:type="dxa"/>
            <w:hideMark/>
          </w:tcPr>
          <w:p w14:paraId="7AF4AD40" w14:textId="27068890"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-3.42****</w:t>
            </w:r>
          </w:p>
        </w:tc>
        <w:tc>
          <w:tcPr>
            <w:tcW w:w="1304" w:type="dxa"/>
            <w:hideMark/>
          </w:tcPr>
          <w:p w14:paraId="17A77001" w14:textId="40B1C36B"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0.14</w:t>
            </w:r>
          </w:p>
        </w:tc>
        <w:tc>
          <w:tcPr>
            <w:tcW w:w="1304" w:type="dxa"/>
            <w:hideMark/>
          </w:tcPr>
          <w:p w14:paraId="0D80A4AB" w14:textId="7EA2C82B"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0.03</w:t>
            </w:r>
          </w:p>
        </w:tc>
        <w:tc>
          <w:tcPr>
            <w:tcW w:w="1587" w:type="dxa"/>
            <w:hideMark/>
          </w:tcPr>
          <w:p w14:paraId="1B39E07B" w14:textId="45E613D4"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0.03</w:t>
            </w:r>
          </w:p>
        </w:tc>
        <w:tc>
          <w:tcPr>
            <w:tcW w:w="1587" w:type="dxa"/>
            <w:hideMark/>
          </w:tcPr>
          <w:p w14:paraId="1665968B" w14:textId="26938FBF"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0.04</w:t>
            </w:r>
          </w:p>
        </w:tc>
      </w:tr>
    </w:tbl>
    <w:p w14:paraId="037BDDDF" w14:textId="13703EA0" w:rsidR="0038119C" w:rsidRDefault="009C56F3" w:rsidP="00206CF2">
      <w:pPr>
        <w:pStyle w:val="TableSubheading"/>
      </w:pPr>
      <w:r>
        <w:t xml:space="preserve">F) </w:t>
      </w:r>
      <w:r w:rsidR="002325DF" w:rsidRPr="004020C5">
        <w:t>Age at first CP report</w:t>
      </w:r>
      <w:r w:rsidR="002325DF">
        <w:t>: A</w:t>
      </w:r>
      <w:r w:rsidR="002325DF" w:rsidRPr="004020C5">
        <w:t>djusted model</w:t>
      </w:r>
    </w:p>
    <w:tbl>
      <w:tblPr>
        <w:tblStyle w:val="ANROWSTable"/>
        <w:tblW w:w="10204" w:type="dxa"/>
        <w:tblLook w:val="04A0" w:firstRow="1" w:lastRow="0" w:firstColumn="1" w:lastColumn="0" w:noHBand="0" w:noVBand="1"/>
      </w:tblPr>
      <w:tblGrid>
        <w:gridCol w:w="3118"/>
        <w:gridCol w:w="1304"/>
        <w:gridCol w:w="1304"/>
        <w:gridCol w:w="1304"/>
        <w:gridCol w:w="1587"/>
        <w:gridCol w:w="1587"/>
      </w:tblGrid>
      <w:tr w:rsidR="002325DF" w:rsidRPr="004020C5" w14:paraId="109BF67F"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hideMark/>
          </w:tcPr>
          <w:p w14:paraId="3EEB3D61" w14:textId="5127222F" w:rsidR="002325DF" w:rsidRPr="004020C5" w:rsidRDefault="00CF14EF" w:rsidP="003C6F5B">
            <w:pPr>
              <w:pStyle w:val="BodySans"/>
              <w:spacing w:after="0"/>
            </w:pPr>
            <w:r>
              <w:t>Characteristics</w:t>
            </w:r>
          </w:p>
        </w:tc>
        <w:tc>
          <w:tcPr>
            <w:tcW w:w="1304" w:type="dxa"/>
            <w:hideMark/>
          </w:tcPr>
          <w:p w14:paraId="5257980E" w14:textId="5CA81063" w:rsidR="002325DF" w:rsidRPr="004020C5" w:rsidRDefault="002325D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05713079" w14:textId="368995C2" w:rsidR="002325DF" w:rsidRPr="004020C5" w:rsidRDefault="002325D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625D4E33" w14:textId="57430D9D" w:rsidR="002325DF" w:rsidRPr="004020C5" w:rsidRDefault="002325D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308DD5DE" w14:textId="426E2D95" w:rsidR="002325DF" w:rsidRPr="004020C5" w:rsidRDefault="002325D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Min.</w:t>
            </w:r>
          </w:p>
        </w:tc>
        <w:tc>
          <w:tcPr>
            <w:tcW w:w="1587" w:type="dxa"/>
            <w:hideMark/>
          </w:tcPr>
          <w:p w14:paraId="4C52693C" w14:textId="17D77609" w:rsidR="002325DF" w:rsidRPr="004020C5" w:rsidRDefault="002325D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Max.</w:t>
            </w:r>
          </w:p>
        </w:tc>
      </w:tr>
      <w:tr w:rsidR="00CF14EF" w:rsidRPr="004020C5" w14:paraId="0FECB87C"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298BE1CC" w14:textId="22DE9C83" w:rsidR="00CF14EF" w:rsidRPr="004020C5" w:rsidRDefault="00CF14EF" w:rsidP="003C6F5B">
            <w:pPr>
              <w:pStyle w:val="BodySans"/>
              <w:spacing w:after="0"/>
            </w:pPr>
            <w:r w:rsidRPr="004020C5">
              <w:t>0–1 years</w:t>
            </w:r>
          </w:p>
        </w:tc>
        <w:tc>
          <w:tcPr>
            <w:tcW w:w="1304" w:type="dxa"/>
          </w:tcPr>
          <w:p w14:paraId="766220DA"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2D9351EB"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07BA6EA1"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1632CA31"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35837A04"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r>
      <w:tr w:rsidR="002325DF" w:rsidRPr="004020C5" w14:paraId="7057D80B"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4A4C157E" w14:textId="77777777" w:rsidR="002325DF" w:rsidRPr="004020C5" w:rsidRDefault="002325DF" w:rsidP="003C6F5B">
            <w:pPr>
              <w:pStyle w:val="BodySans"/>
              <w:spacing w:after="0"/>
            </w:pPr>
            <w:r w:rsidRPr="004020C5">
              <w:t>2–5 years</w:t>
            </w:r>
          </w:p>
        </w:tc>
        <w:tc>
          <w:tcPr>
            <w:tcW w:w="1304" w:type="dxa"/>
            <w:hideMark/>
          </w:tcPr>
          <w:p w14:paraId="3B2CDB96" w14:textId="77777777"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-2.24****</w:t>
            </w:r>
          </w:p>
        </w:tc>
        <w:tc>
          <w:tcPr>
            <w:tcW w:w="1304" w:type="dxa"/>
            <w:hideMark/>
          </w:tcPr>
          <w:p w14:paraId="42F0CFA0" w14:textId="77777777"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0.06</w:t>
            </w:r>
          </w:p>
        </w:tc>
        <w:tc>
          <w:tcPr>
            <w:tcW w:w="1304" w:type="dxa"/>
            <w:hideMark/>
          </w:tcPr>
          <w:p w14:paraId="2B5A0791" w14:textId="77777777"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0.24</w:t>
            </w:r>
          </w:p>
        </w:tc>
        <w:tc>
          <w:tcPr>
            <w:tcW w:w="1587" w:type="dxa"/>
            <w:hideMark/>
          </w:tcPr>
          <w:p w14:paraId="37E1025E" w14:textId="77777777"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0.18</w:t>
            </w:r>
          </w:p>
        </w:tc>
        <w:tc>
          <w:tcPr>
            <w:tcW w:w="1587" w:type="dxa"/>
            <w:hideMark/>
          </w:tcPr>
          <w:p w14:paraId="4E24AEEF" w14:textId="77777777"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0.33</w:t>
            </w:r>
          </w:p>
        </w:tc>
      </w:tr>
      <w:tr w:rsidR="002325DF" w:rsidRPr="004020C5" w14:paraId="216955B9"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75081A4D" w14:textId="77777777" w:rsidR="002325DF" w:rsidRPr="004020C5" w:rsidRDefault="002325DF" w:rsidP="003C6F5B">
            <w:pPr>
              <w:pStyle w:val="BodySans"/>
              <w:spacing w:after="0"/>
            </w:pPr>
            <w:r w:rsidRPr="004020C5">
              <w:t>6–10 years</w:t>
            </w:r>
          </w:p>
        </w:tc>
        <w:tc>
          <w:tcPr>
            <w:tcW w:w="1304" w:type="dxa"/>
            <w:hideMark/>
          </w:tcPr>
          <w:p w14:paraId="55769479" w14:textId="77777777" w:rsidR="002325DF" w:rsidRPr="004020C5" w:rsidRDefault="002325DF"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-3.20****</w:t>
            </w:r>
          </w:p>
        </w:tc>
        <w:tc>
          <w:tcPr>
            <w:tcW w:w="1304" w:type="dxa"/>
            <w:hideMark/>
          </w:tcPr>
          <w:p w14:paraId="412AC019" w14:textId="77777777" w:rsidR="002325DF" w:rsidRPr="004020C5" w:rsidRDefault="002325DF"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0.11</w:t>
            </w:r>
          </w:p>
        </w:tc>
        <w:tc>
          <w:tcPr>
            <w:tcW w:w="1304" w:type="dxa"/>
            <w:hideMark/>
          </w:tcPr>
          <w:p w14:paraId="20184644" w14:textId="77777777" w:rsidR="002325DF" w:rsidRPr="004020C5" w:rsidRDefault="002325DF"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0.63</w:t>
            </w:r>
          </w:p>
        </w:tc>
        <w:tc>
          <w:tcPr>
            <w:tcW w:w="1587" w:type="dxa"/>
            <w:hideMark/>
          </w:tcPr>
          <w:p w14:paraId="5E4C679B" w14:textId="77777777" w:rsidR="002325DF" w:rsidRPr="004020C5" w:rsidRDefault="002325DF"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0.46</w:t>
            </w:r>
          </w:p>
        </w:tc>
        <w:tc>
          <w:tcPr>
            <w:tcW w:w="1587" w:type="dxa"/>
            <w:hideMark/>
          </w:tcPr>
          <w:p w14:paraId="342F9B66" w14:textId="77777777" w:rsidR="002325DF" w:rsidRPr="004020C5" w:rsidRDefault="002325DF"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0.88</w:t>
            </w:r>
          </w:p>
        </w:tc>
      </w:tr>
      <w:tr w:rsidR="002325DF" w:rsidRPr="004020C5" w14:paraId="6B8B15E0"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610A607D" w14:textId="77777777" w:rsidR="002325DF" w:rsidRPr="004020C5" w:rsidRDefault="002325DF" w:rsidP="003C6F5B">
            <w:pPr>
              <w:pStyle w:val="BodySans"/>
              <w:spacing w:after="0"/>
            </w:pPr>
            <w:r w:rsidRPr="004020C5">
              <w:t>11–15 years</w:t>
            </w:r>
          </w:p>
        </w:tc>
        <w:tc>
          <w:tcPr>
            <w:tcW w:w="1304" w:type="dxa"/>
            <w:hideMark/>
          </w:tcPr>
          <w:p w14:paraId="0236352F" w14:textId="77777777"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-3.65****</w:t>
            </w:r>
          </w:p>
        </w:tc>
        <w:tc>
          <w:tcPr>
            <w:tcW w:w="1304" w:type="dxa"/>
            <w:hideMark/>
          </w:tcPr>
          <w:p w14:paraId="74A2F967" w14:textId="77777777"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0.15</w:t>
            </w:r>
          </w:p>
        </w:tc>
        <w:tc>
          <w:tcPr>
            <w:tcW w:w="1304" w:type="dxa"/>
            <w:hideMark/>
          </w:tcPr>
          <w:p w14:paraId="2B46E081" w14:textId="77777777"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0.03</w:t>
            </w:r>
          </w:p>
        </w:tc>
        <w:tc>
          <w:tcPr>
            <w:tcW w:w="1587" w:type="dxa"/>
            <w:hideMark/>
          </w:tcPr>
          <w:p w14:paraId="591F77A0" w14:textId="77777777"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0.02</w:t>
            </w:r>
          </w:p>
        </w:tc>
        <w:tc>
          <w:tcPr>
            <w:tcW w:w="1587" w:type="dxa"/>
            <w:hideMark/>
          </w:tcPr>
          <w:p w14:paraId="273D08E6" w14:textId="77777777" w:rsidR="002325DF" w:rsidRPr="004020C5" w:rsidRDefault="002325D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0.03</w:t>
            </w:r>
          </w:p>
        </w:tc>
      </w:tr>
    </w:tbl>
    <w:p w14:paraId="0A24C020" w14:textId="37E7C63F" w:rsidR="002325DF" w:rsidRDefault="009C56F3" w:rsidP="00206CF2">
      <w:pPr>
        <w:pStyle w:val="TableSubheading"/>
      </w:pPr>
      <w:r>
        <w:lastRenderedPageBreak/>
        <w:t xml:space="preserve">G) </w:t>
      </w:r>
      <w:r w:rsidR="004D7D19" w:rsidRPr="004020C5">
        <w:t>Child’s sex</w:t>
      </w:r>
      <w:r w:rsidR="00CF14EF">
        <w:t xml:space="preserve">: </w:t>
      </w:r>
      <w:r w:rsidR="00CF14EF" w:rsidRPr="004020C5">
        <w:t>Unadjusted model</w:t>
      </w:r>
    </w:p>
    <w:tbl>
      <w:tblPr>
        <w:tblStyle w:val="ANROWSTable"/>
        <w:tblW w:w="10204" w:type="dxa"/>
        <w:tblLook w:val="04A0" w:firstRow="1" w:lastRow="0" w:firstColumn="1" w:lastColumn="0" w:noHBand="0" w:noVBand="1"/>
      </w:tblPr>
      <w:tblGrid>
        <w:gridCol w:w="3118"/>
        <w:gridCol w:w="1304"/>
        <w:gridCol w:w="1304"/>
        <w:gridCol w:w="1304"/>
        <w:gridCol w:w="1587"/>
        <w:gridCol w:w="1587"/>
      </w:tblGrid>
      <w:tr w:rsidR="00CF14EF" w:rsidRPr="004020C5" w14:paraId="649AB370"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hideMark/>
          </w:tcPr>
          <w:p w14:paraId="48E2864E" w14:textId="5CEE7E41" w:rsidR="00CF14EF" w:rsidRPr="004020C5" w:rsidRDefault="00CF14EF" w:rsidP="003C6F5B">
            <w:pPr>
              <w:pStyle w:val="BodySans"/>
              <w:spacing w:after="0"/>
            </w:pPr>
            <w:r>
              <w:t>Characteristics</w:t>
            </w:r>
          </w:p>
        </w:tc>
        <w:tc>
          <w:tcPr>
            <w:tcW w:w="1304" w:type="dxa"/>
            <w:hideMark/>
          </w:tcPr>
          <w:p w14:paraId="35472944" w14:textId="446E75BB" w:rsidR="00CF14EF" w:rsidRPr="004020C5" w:rsidRDefault="00CF14E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0606E1C2" w14:textId="5CA752E9" w:rsidR="00CF14EF" w:rsidRPr="004020C5" w:rsidRDefault="00CF14E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510F90F7" w14:textId="1A249588" w:rsidR="00CF14EF" w:rsidRPr="004020C5" w:rsidRDefault="00CF14E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5D392421" w14:textId="08893091" w:rsidR="00CF14EF" w:rsidRPr="004020C5" w:rsidRDefault="00CF14E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Min.</w:t>
            </w:r>
          </w:p>
        </w:tc>
        <w:tc>
          <w:tcPr>
            <w:tcW w:w="1587" w:type="dxa"/>
            <w:hideMark/>
          </w:tcPr>
          <w:p w14:paraId="742BDC01" w14:textId="1218D9F5" w:rsidR="00CF14EF" w:rsidRPr="004020C5" w:rsidRDefault="00CF14E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Max.</w:t>
            </w:r>
          </w:p>
        </w:tc>
      </w:tr>
      <w:tr w:rsidR="00CF14EF" w:rsidRPr="004020C5" w14:paraId="502B93A1"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19F6E625" w14:textId="4863DAC6" w:rsidR="00CF14EF" w:rsidRPr="004020C5" w:rsidRDefault="00CF14EF" w:rsidP="003C6F5B">
            <w:pPr>
              <w:pStyle w:val="BodySans"/>
              <w:spacing w:after="0"/>
            </w:pPr>
            <w:r w:rsidRPr="004020C5">
              <w:t>[Female]</w:t>
            </w:r>
          </w:p>
        </w:tc>
        <w:tc>
          <w:tcPr>
            <w:tcW w:w="1304" w:type="dxa"/>
          </w:tcPr>
          <w:p w14:paraId="2FE7D5FC"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6C08F564"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2EBAFD28"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568EBCE0"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3CF0B2F2"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r>
      <w:tr w:rsidR="00CF14EF" w:rsidRPr="004020C5" w14:paraId="2BAAA6B6"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1DE2C5A1" w14:textId="009F275E" w:rsidR="00CF14EF" w:rsidRPr="004020C5" w:rsidRDefault="00CF14EF" w:rsidP="003C6F5B">
            <w:pPr>
              <w:pStyle w:val="BodySans"/>
              <w:spacing w:after="0"/>
            </w:pPr>
            <w:r w:rsidRPr="004020C5">
              <w:t>Male</w:t>
            </w:r>
          </w:p>
        </w:tc>
        <w:tc>
          <w:tcPr>
            <w:tcW w:w="1304" w:type="dxa"/>
            <w:hideMark/>
          </w:tcPr>
          <w:p w14:paraId="1FC46138" w14:textId="74B5F778" w:rsidR="00CF14EF" w:rsidRPr="004020C5" w:rsidRDefault="00CF14E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-0.01</w:t>
            </w:r>
          </w:p>
        </w:tc>
        <w:tc>
          <w:tcPr>
            <w:tcW w:w="1304" w:type="dxa"/>
            <w:hideMark/>
          </w:tcPr>
          <w:p w14:paraId="4BD26FDE" w14:textId="03E3AAE3" w:rsidR="00CF14EF" w:rsidRPr="004020C5" w:rsidRDefault="00CF14E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0.03</w:t>
            </w:r>
          </w:p>
        </w:tc>
        <w:tc>
          <w:tcPr>
            <w:tcW w:w="1304" w:type="dxa"/>
            <w:hideMark/>
          </w:tcPr>
          <w:p w14:paraId="631A7F46" w14:textId="501F81E2" w:rsidR="00CF14EF" w:rsidRPr="004020C5" w:rsidRDefault="00CF14E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0.99</w:t>
            </w:r>
          </w:p>
        </w:tc>
        <w:tc>
          <w:tcPr>
            <w:tcW w:w="1587" w:type="dxa"/>
            <w:hideMark/>
          </w:tcPr>
          <w:p w14:paraId="0A91824A" w14:textId="63C69683" w:rsidR="00CF14EF" w:rsidRPr="004020C5" w:rsidRDefault="00CF14E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0.94</w:t>
            </w:r>
          </w:p>
        </w:tc>
        <w:tc>
          <w:tcPr>
            <w:tcW w:w="1587" w:type="dxa"/>
            <w:hideMark/>
          </w:tcPr>
          <w:p w14:paraId="0B400CE7" w14:textId="54891081" w:rsidR="00CF14EF" w:rsidRPr="004020C5" w:rsidRDefault="00CF14E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1.05</w:t>
            </w:r>
          </w:p>
        </w:tc>
      </w:tr>
    </w:tbl>
    <w:p w14:paraId="068E8DCC" w14:textId="71F09521" w:rsidR="004D7D19" w:rsidRDefault="009C56F3" w:rsidP="00206CF2">
      <w:pPr>
        <w:pStyle w:val="TableSubheading"/>
      </w:pPr>
      <w:r>
        <w:t xml:space="preserve">H) </w:t>
      </w:r>
      <w:r w:rsidR="00CF14EF" w:rsidRPr="004020C5">
        <w:t>Child’s sex</w:t>
      </w:r>
      <w:r w:rsidR="00CF14EF">
        <w:t>: A</w:t>
      </w:r>
      <w:r w:rsidR="00CF14EF" w:rsidRPr="004020C5">
        <w:t>djusted model</w:t>
      </w:r>
    </w:p>
    <w:tbl>
      <w:tblPr>
        <w:tblStyle w:val="ANROWSTable"/>
        <w:tblW w:w="0" w:type="auto"/>
        <w:tblLook w:val="04A0" w:firstRow="1" w:lastRow="0" w:firstColumn="1" w:lastColumn="0" w:noHBand="0" w:noVBand="1"/>
      </w:tblPr>
      <w:tblGrid>
        <w:gridCol w:w="3118"/>
        <w:gridCol w:w="1304"/>
        <w:gridCol w:w="1304"/>
        <w:gridCol w:w="1304"/>
        <w:gridCol w:w="1587"/>
        <w:gridCol w:w="1587"/>
      </w:tblGrid>
      <w:tr w:rsidR="00CF14EF" w:rsidRPr="004020C5" w14:paraId="7CF6C027"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hideMark/>
          </w:tcPr>
          <w:p w14:paraId="14BD95C9" w14:textId="77777777" w:rsidR="00CF14EF" w:rsidRPr="004020C5" w:rsidRDefault="00CF14EF" w:rsidP="003C6F5B">
            <w:pPr>
              <w:pStyle w:val="BodySans"/>
              <w:spacing w:after="0"/>
            </w:pPr>
            <w:r>
              <w:t>Characteristics</w:t>
            </w:r>
          </w:p>
        </w:tc>
        <w:tc>
          <w:tcPr>
            <w:tcW w:w="1304" w:type="dxa"/>
            <w:hideMark/>
          </w:tcPr>
          <w:p w14:paraId="04B161BE" w14:textId="386BF41B" w:rsidR="00CF14EF" w:rsidRPr="004020C5" w:rsidRDefault="00CF14E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23FF75DD" w14:textId="20808C6C" w:rsidR="00CF14EF" w:rsidRPr="004020C5" w:rsidRDefault="00CF14E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1A596FD6" w14:textId="7E97D230" w:rsidR="00CF14EF" w:rsidRPr="004020C5" w:rsidRDefault="00CF14E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74242255" w14:textId="21677C2B" w:rsidR="00CF14EF" w:rsidRPr="004020C5" w:rsidRDefault="00CF14E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Min.</w:t>
            </w:r>
          </w:p>
        </w:tc>
        <w:tc>
          <w:tcPr>
            <w:tcW w:w="1587" w:type="dxa"/>
            <w:hideMark/>
          </w:tcPr>
          <w:p w14:paraId="2945FC8F" w14:textId="1A13337F" w:rsidR="00CF14EF" w:rsidRPr="004020C5" w:rsidRDefault="00CF14EF"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Max.</w:t>
            </w:r>
          </w:p>
        </w:tc>
      </w:tr>
      <w:tr w:rsidR="00CF14EF" w:rsidRPr="004020C5" w14:paraId="0B343930"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21369FF1" w14:textId="77777777" w:rsidR="00CF14EF" w:rsidRPr="004020C5" w:rsidRDefault="00CF14EF" w:rsidP="003C6F5B">
            <w:pPr>
              <w:pStyle w:val="BodySans"/>
              <w:spacing w:after="0"/>
            </w:pPr>
            <w:r w:rsidRPr="004020C5">
              <w:t>[Female]</w:t>
            </w:r>
          </w:p>
        </w:tc>
        <w:tc>
          <w:tcPr>
            <w:tcW w:w="1304" w:type="dxa"/>
          </w:tcPr>
          <w:p w14:paraId="327FE933"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70221760"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66E7B383"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61DE8952"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3146FBBC" w14:textId="77777777" w:rsidR="00CF14EF" w:rsidRPr="004020C5" w:rsidRDefault="00CF14EF" w:rsidP="003C6F5B">
            <w:pPr>
              <w:pStyle w:val="BodySans"/>
              <w:spacing w:after="0"/>
              <w:cnfStyle w:val="000000100000" w:firstRow="0" w:lastRow="0" w:firstColumn="0" w:lastColumn="0" w:oddVBand="0" w:evenVBand="0" w:oddHBand="1" w:evenHBand="0" w:firstRowFirstColumn="0" w:firstRowLastColumn="0" w:lastRowFirstColumn="0" w:lastRowLastColumn="0"/>
            </w:pPr>
          </w:p>
        </w:tc>
      </w:tr>
      <w:tr w:rsidR="00CF14EF" w:rsidRPr="004020C5" w14:paraId="3EAF75D2"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6D828A67" w14:textId="77777777" w:rsidR="00CF14EF" w:rsidRPr="004020C5" w:rsidRDefault="00CF14EF" w:rsidP="003C6F5B">
            <w:pPr>
              <w:pStyle w:val="BodySans"/>
              <w:spacing w:after="0"/>
            </w:pPr>
            <w:r w:rsidRPr="004020C5">
              <w:t>Male</w:t>
            </w:r>
          </w:p>
        </w:tc>
        <w:tc>
          <w:tcPr>
            <w:tcW w:w="1304" w:type="dxa"/>
            <w:hideMark/>
          </w:tcPr>
          <w:p w14:paraId="469A7B46" w14:textId="77777777" w:rsidR="00CF14EF" w:rsidRPr="004020C5" w:rsidRDefault="00CF14E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-0.02</w:t>
            </w:r>
          </w:p>
        </w:tc>
        <w:tc>
          <w:tcPr>
            <w:tcW w:w="1304" w:type="dxa"/>
            <w:hideMark/>
          </w:tcPr>
          <w:p w14:paraId="2F7813D5" w14:textId="77777777" w:rsidR="00CF14EF" w:rsidRPr="004020C5" w:rsidRDefault="00CF14E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0.03</w:t>
            </w:r>
          </w:p>
        </w:tc>
        <w:tc>
          <w:tcPr>
            <w:tcW w:w="1304" w:type="dxa"/>
            <w:hideMark/>
          </w:tcPr>
          <w:p w14:paraId="2C9D9F55" w14:textId="77777777" w:rsidR="00CF14EF" w:rsidRPr="004020C5" w:rsidRDefault="00CF14E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0.98</w:t>
            </w:r>
          </w:p>
        </w:tc>
        <w:tc>
          <w:tcPr>
            <w:tcW w:w="1587" w:type="dxa"/>
            <w:hideMark/>
          </w:tcPr>
          <w:p w14:paraId="35F64843" w14:textId="77777777" w:rsidR="00CF14EF" w:rsidRPr="004020C5" w:rsidRDefault="00CF14E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0.92</w:t>
            </w:r>
          </w:p>
        </w:tc>
        <w:tc>
          <w:tcPr>
            <w:tcW w:w="1587" w:type="dxa"/>
            <w:hideMark/>
          </w:tcPr>
          <w:p w14:paraId="443EF7A6" w14:textId="77777777" w:rsidR="00CF14EF" w:rsidRPr="004020C5" w:rsidRDefault="00CF14EF"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1.05</w:t>
            </w:r>
          </w:p>
        </w:tc>
      </w:tr>
    </w:tbl>
    <w:p w14:paraId="41FB57C1" w14:textId="564AD526" w:rsidR="0038119C" w:rsidRDefault="009C56F3" w:rsidP="00206CF2">
      <w:pPr>
        <w:pStyle w:val="TableSubheading"/>
      </w:pPr>
      <w:r>
        <w:t xml:space="preserve">I) </w:t>
      </w:r>
      <w:r w:rsidR="004D7D19" w:rsidRPr="004020C5">
        <w:t>Policy reform period</w:t>
      </w:r>
      <w:r w:rsidR="003E653E">
        <w:t xml:space="preserve">: </w:t>
      </w:r>
      <w:r w:rsidR="003E653E" w:rsidRPr="004020C5">
        <w:t>Unadjusted model</w:t>
      </w:r>
    </w:p>
    <w:tbl>
      <w:tblPr>
        <w:tblStyle w:val="ANROWSTable"/>
        <w:tblW w:w="0" w:type="auto"/>
        <w:tblLook w:val="04A0" w:firstRow="1" w:lastRow="0" w:firstColumn="1" w:lastColumn="0" w:noHBand="0" w:noVBand="1"/>
      </w:tblPr>
      <w:tblGrid>
        <w:gridCol w:w="3118"/>
        <w:gridCol w:w="1304"/>
        <w:gridCol w:w="1304"/>
        <w:gridCol w:w="1304"/>
        <w:gridCol w:w="1587"/>
        <w:gridCol w:w="1587"/>
      </w:tblGrid>
      <w:tr w:rsidR="003E653E" w:rsidRPr="004020C5" w14:paraId="1E79CCC3"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E6CFB2A" w14:textId="263AF815" w:rsidR="003E653E" w:rsidRPr="004020C5" w:rsidRDefault="003E653E" w:rsidP="003C6F5B">
            <w:pPr>
              <w:pStyle w:val="BodySans"/>
              <w:spacing w:after="0"/>
            </w:pPr>
            <w:r>
              <w:t>Characteristics</w:t>
            </w:r>
          </w:p>
        </w:tc>
        <w:tc>
          <w:tcPr>
            <w:tcW w:w="1304" w:type="dxa"/>
            <w:hideMark/>
          </w:tcPr>
          <w:p w14:paraId="55EC4E2D" w14:textId="3F4C1645"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657FFEF8" w14:textId="64FF2A55"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7A655C23" w14:textId="2C07F3D8"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1D8CA813" w14:textId="48226DB3"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Min.</w:t>
            </w:r>
          </w:p>
        </w:tc>
        <w:tc>
          <w:tcPr>
            <w:tcW w:w="1587" w:type="dxa"/>
            <w:hideMark/>
          </w:tcPr>
          <w:p w14:paraId="38189008" w14:textId="6BD749C3"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Max.</w:t>
            </w:r>
          </w:p>
        </w:tc>
      </w:tr>
      <w:tr w:rsidR="003E653E" w:rsidRPr="004020C5" w14:paraId="47D5C459"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81FD93" w14:textId="4F111436" w:rsidR="003E653E" w:rsidRPr="004020C5" w:rsidRDefault="003E653E" w:rsidP="003C6F5B">
            <w:pPr>
              <w:pStyle w:val="BodySans"/>
              <w:spacing w:after="0"/>
            </w:pPr>
            <w:r w:rsidRPr="004020C5">
              <w:t>[SHFL reforms 2014 onwards]</w:t>
            </w:r>
          </w:p>
        </w:tc>
        <w:tc>
          <w:tcPr>
            <w:tcW w:w="1304" w:type="dxa"/>
          </w:tcPr>
          <w:p w14:paraId="06E9C034"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507F4F86"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3F1AB034"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7DE6A3A3"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1420A1DF"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r>
      <w:tr w:rsidR="003E653E" w:rsidRPr="004020C5" w14:paraId="1620C0BE"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B11AE6" w14:textId="3C5E1238" w:rsidR="003E653E" w:rsidRPr="004020C5" w:rsidRDefault="003E653E" w:rsidP="003C6F5B">
            <w:pPr>
              <w:pStyle w:val="BodySans"/>
              <w:spacing w:after="0"/>
            </w:pPr>
            <w:r w:rsidRPr="004020C5">
              <w:t>KTS reforms (2010 to 2014)</w:t>
            </w:r>
          </w:p>
        </w:tc>
        <w:tc>
          <w:tcPr>
            <w:tcW w:w="1304" w:type="dxa"/>
            <w:hideMark/>
          </w:tcPr>
          <w:p w14:paraId="4261BD06" w14:textId="7FEDC794"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-0.06</w:t>
            </w:r>
          </w:p>
        </w:tc>
        <w:tc>
          <w:tcPr>
            <w:tcW w:w="1304" w:type="dxa"/>
            <w:hideMark/>
          </w:tcPr>
          <w:p w14:paraId="3A9D765B" w14:textId="600E85C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0.05</w:t>
            </w:r>
          </w:p>
        </w:tc>
        <w:tc>
          <w:tcPr>
            <w:tcW w:w="1304" w:type="dxa"/>
            <w:hideMark/>
          </w:tcPr>
          <w:p w14:paraId="45D25F78" w14:textId="282F1DCD"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1.06</w:t>
            </w:r>
          </w:p>
        </w:tc>
        <w:tc>
          <w:tcPr>
            <w:tcW w:w="1587" w:type="dxa"/>
            <w:hideMark/>
          </w:tcPr>
          <w:p w14:paraId="32A55357" w14:textId="32971AA3"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0.97</w:t>
            </w:r>
          </w:p>
        </w:tc>
        <w:tc>
          <w:tcPr>
            <w:tcW w:w="1587" w:type="dxa"/>
            <w:hideMark/>
          </w:tcPr>
          <w:p w14:paraId="0B7AF4CB" w14:textId="69E5BEE5"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1.16</w:t>
            </w:r>
          </w:p>
        </w:tc>
      </w:tr>
      <w:tr w:rsidR="003E653E" w:rsidRPr="004020C5" w14:paraId="067C89B0"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8EFFFC" w14:textId="763606A9" w:rsidR="003E653E" w:rsidRPr="004020C5" w:rsidRDefault="003E653E" w:rsidP="003C6F5B">
            <w:pPr>
              <w:pStyle w:val="BodySans"/>
              <w:spacing w:after="0"/>
            </w:pPr>
            <w:r w:rsidRPr="004020C5">
              <w:t>Pre-KTS (before 2010)</w:t>
            </w:r>
          </w:p>
        </w:tc>
        <w:tc>
          <w:tcPr>
            <w:tcW w:w="1304" w:type="dxa"/>
            <w:hideMark/>
          </w:tcPr>
          <w:p w14:paraId="65FF1A8C" w14:textId="11AA6B45"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0.56****</w:t>
            </w:r>
          </w:p>
        </w:tc>
        <w:tc>
          <w:tcPr>
            <w:tcW w:w="1304" w:type="dxa"/>
            <w:hideMark/>
          </w:tcPr>
          <w:p w14:paraId="06AA48F4" w14:textId="51E202DE"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0.04</w:t>
            </w:r>
          </w:p>
        </w:tc>
        <w:tc>
          <w:tcPr>
            <w:tcW w:w="1304" w:type="dxa"/>
            <w:hideMark/>
          </w:tcPr>
          <w:p w14:paraId="4DBD5A48" w14:textId="6694DF74"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0.57</w:t>
            </w:r>
          </w:p>
        </w:tc>
        <w:tc>
          <w:tcPr>
            <w:tcW w:w="1587" w:type="dxa"/>
            <w:hideMark/>
          </w:tcPr>
          <w:p w14:paraId="743D6B59" w14:textId="784D590D"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0.53</w:t>
            </w:r>
          </w:p>
        </w:tc>
        <w:tc>
          <w:tcPr>
            <w:tcW w:w="1587" w:type="dxa"/>
            <w:hideMark/>
          </w:tcPr>
          <w:p w14:paraId="734C2473" w14:textId="4A5E47DA"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0.63</w:t>
            </w:r>
          </w:p>
        </w:tc>
      </w:tr>
    </w:tbl>
    <w:p w14:paraId="2396A007" w14:textId="75046384" w:rsidR="004D7D19" w:rsidRDefault="009C56F3" w:rsidP="003C6F5B">
      <w:pPr>
        <w:pStyle w:val="TableSubheading"/>
        <w:keepLines/>
      </w:pPr>
      <w:r>
        <w:t xml:space="preserve">J) </w:t>
      </w:r>
      <w:r w:rsidR="003E653E" w:rsidRPr="004020C5">
        <w:t>Policy reform period</w:t>
      </w:r>
      <w:r w:rsidR="003E653E">
        <w:t>: A</w:t>
      </w:r>
      <w:r w:rsidR="003E653E" w:rsidRPr="004020C5">
        <w:t>djusted model</w:t>
      </w:r>
    </w:p>
    <w:tbl>
      <w:tblPr>
        <w:tblStyle w:val="ANROWSTable"/>
        <w:tblW w:w="0" w:type="auto"/>
        <w:tblLook w:val="04A0" w:firstRow="1" w:lastRow="0" w:firstColumn="1" w:lastColumn="0" w:noHBand="0" w:noVBand="1"/>
      </w:tblPr>
      <w:tblGrid>
        <w:gridCol w:w="3118"/>
        <w:gridCol w:w="1304"/>
        <w:gridCol w:w="1304"/>
        <w:gridCol w:w="1304"/>
        <w:gridCol w:w="1587"/>
        <w:gridCol w:w="1587"/>
      </w:tblGrid>
      <w:tr w:rsidR="003E653E" w:rsidRPr="004020C5" w14:paraId="31535ABF"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BF7D84D" w14:textId="77777777" w:rsidR="003E653E" w:rsidRPr="004020C5" w:rsidRDefault="003E653E" w:rsidP="003C6F5B">
            <w:pPr>
              <w:pStyle w:val="BodySans"/>
              <w:keepNext/>
              <w:keepLines/>
              <w:spacing w:after="0"/>
            </w:pPr>
            <w:r>
              <w:t>Characteristics</w:t>
            </w:r>
          </w:p>
        </w:tc>
        <w:tc>
          <w:tcPr>
            <w:tcW w:w="1304" w:type="dxa"/>
            <w:hideMark/>
          </w:tcPr>
          <w:p w14:paraId="2747C97E" w14:textId="531A56D6" w:rsidR="003E653E" w:rsidRPr="004020C5" w:rsidRDefault="003E653E" w:rsidP="003C6F5B">
            <w:pPr>
              <w:pStyle w:val="BodySans"/>
              <w:keepNext/>
              <w:keepLine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08099F46" w14:textId="34823126" w:rsidR="003E653E" w:rsidRPr="004020C5" w:rsidRDefault="003E653E" w:rsidP="003C6F5B">
            <w:pPr>
              <w:pStyle w:val="BodySans"/>
              <w:keepNext/>
              <w:keepLine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742FF241" w14:textId="01A45DBE" w:rsidR="003E653E" w:rsidRPr="004020C5" w:rsidRDefault="003E653E" w:rsidP="003C6F5B">
            <w:pPr>
              <w:pStyle w:val="BodySans"/>
              <w:keepNext/>
              <w:keepLine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6E6D9FCC" w14:textId="19ACFAD2" w:rsidR="003E653E" w:rsidRPr="004020C5" w:rsidRDefault="003E653E" w:rsidP="003C6F5B">
            <w:pPr>
              <w:pStyle w:val="BodySans"/>
              <w:keepNext/>
              <w:keepLine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Min.</w:t>
            </w:r>
          </w:p>
        </w:tc>
        <w:tc>
          <w:tcPr>
            <w:tcW w:w="1587" w:type="dxa"/>
            <w:hideMark/>
          </w:tcPr>
          <w:p w14:paraId="7E983C6F" w14:textId="1C1F17FE" w:rsidR="003E653E" w:rsidRPr="004020C5" w:rsidRDefault="003E653E" w:rsidP="003C6F5B">
            <w:pPr>
              <w:pStyle w:val="BodySans"/>
              <w:keepNext/>
              <w:keepLine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Max.</w:t>
            </w:r>
          </w:p>
        </w:tc>
      </w:tr>
      <w:tr w:rsidR="003E653E" w:rsidRPr="004020C5" w14:paraId="4F441215"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D24EE" w14:textId="77777777" w:rsidR="003E653E" w:rsidRPr="004020C5" w:rsidRDefault="003E653E" w:rsidP="003C6F5B">
            <w:pPr>
              <w:pStyle w:val="BodySans"/>
              <w:keepNext/>
              <w:keepLines/>
              <w:spacing w:after="0"/>
            </w:pPr>
            <w:r w:rsidRPr="004020C5">
              <w:t>[SHFL reforms 2014 onwards]</w:t>
            </w:r>
          </w:p>
        </w:tc>
        <w:tc>
          <w:tcPr>
            <w:tcW w:w="1304" w:type="dxa"/>
          </w:tcPr>
          <w:p w14:paraId="1A4E53F0" w14:textId="77777777" w:rsidR="003E653E" w:rsidRPr="004020C5" w:rsidRDefault="003E653E"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49F6E19F" w14:textId="77777777" w:rsidR="003E653E" w:rsidRPr="004020C5" w:rsidRDefault="003E653E"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1F3A7CE3" w14:textId="77777777" w:rsidR="003E653E" w:rsidRPr="004020C5" w:rsidRDefault="003E653E"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21D5C810" w14:textId="77777777" w:rsidR="003E653E" w:rsidRPr="004020C5" w:rsidRDefault="003E653E"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2168DF1D" w14:textId="77777777" w:rsidR="003E653E" w:rsidRPr="004020C5" w:rsidRDefault="003E653E"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p>
        </w:tc>
      </w:tr>
      <w:tr w:rsidR="003E653E" w:rsidRPr="004020C5" w14:paraId="160A8ED6"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769277" w14:textId="77777777" w:rsidR="003E653E" w:rsidRPr="004020C5" w:rsidRDefault="003E653E" w:rsidP="003C6F5B">
            <w:pPr>
              <w:pStyle w:val="BodySans"/>
              <w:keepNext/>
              <w:keepLines/>
              <w:spacing w:after="0"/>
            </w:pPr>
            <w:r w:rsidRPr="004020C5">
              <w:t>KTS reforms (2010 to 2014)</w:t>
            </w:r>
          </w:p>
        </w:tc>
        <w:tc>
          <w:tcPr>
            <w:tcW w:w="1304" w:type="dxa"/>
            <w:hideMark/>
          </w:tcPr>
          <w:p w14:paraId="55C5F685" w14:textId="77777777" w:rsidR="003E653E" w:rsidRPr="004020C5" w:rsidRDefault="003E653E" w:rsidP="003C6F5B">
            <w:pPr>
              <w:pStyle w:val="BodySans"/>
              <w:keepNext/>
              <w:keepLines/>
              <w:spacing w:after="0"/>
              <w:cnfStyle w:val="000000010000" w:firstRow="0" w:lastRow="0" w:firstColumn="0" w:lastColumn="0" w:oddVBand="0" w:evenVBand="0" w:oddHBand="0" w:evenHBand="1" w:firstRowFirstColumn="0" w:firstRowLastColumn="0" w:lastRowFirstColumn="0" w:lastRowLastColumn="0"/>
            </w:pPr>
            <w:r w:rsidRPr="004020C5">
              <w:t>0.12*</w:t>
            </w:r>
          </w:p>
        </w:tc>
        <w:tc>
          <w:tcPr>
            <w:tcW w:w="1304" w:type="dxa"/>
            <w:hideMark/>
          </w:tcPr>
          <w:p w14:paraId="268F427B" w14:textId="77777777" w:rsidR="003E653E" w:rsidRPr="004020C5" w:rsidRDefault="003E653E" w:rsidP="003C6F5B">
            <w:pPr>
              <w:pStyle w:val="BodySans"/>
              <w:keepNext/>
              <w:keepLines/>
              <w:spacing w:after="0"/>
              <w:cnfStyle w:val="000000010000" w:firstRow="0" w:lastRow="0" w:firstColumn="0" w:lastColumn="0" w:oddVBand="0" w:evenVBand="0" w:oddHBand="0" w:evenHBand="1" w:firstRowFirstColumn="0" w:firstRowLastColumn="0" w:lastRowFirstColumn="0" w:lastRowLastColumn="0"/>
            </w:pPr>
            <w:r w:rsidRPr="004020C5">
              <w:t>0.05</w:t>
            </w:r>
          </w:p>
        </w:tc>
        <w:tc>
          <w:tcPr>
            <w:tcW w:w="1304" w:type="dxa"/>
            <w:hideMark/>
          </w:tcPr>
          <w:p w14:paraId="60F62D51" w14:textId="77777777" w:rsidR="003E653E" w:rsidRPr="004020C5" w:rsidRDefault="003E653E" w:rsidP="003C6F5B">
            <w:pPr>
              <w:pStyle w:val="BodySans"/>
              <w:keepNext/>
              <w:keepLines/>
              <w:spacing w:after="0"/>
              <w:cnfStyle w:val="000000010000" w:firstRow="0" w:lastRow="0" w:firstColumn="0" w:lastColumn="0" w:oddVBand="0" w:evenVBand="0" w:oddHBand="0" w:evenHBand="1" w:firstRowFirstColumn="0" w:firstRowLastColumn="0" w:lastRowFirstColumn="0" w:lastRowLastColumn="0"/>
            </w:pPr>
            <w:r w:rsidRPr="004020C5">
              <w:t>2.16</w:t>
            </w:r>
          </w:p>
        </w:tc>
        <w:tc>
          <w:tcPr>
            <w:tcW w:w="1587" w:type="dxa"/>
            <w:hideMark/>
          </w:tcPr>
          <w:p w14:paraId="5F3564F3" w14:textId="77777777" w:rsidR="003E653E" w:rsidRPr="004020C5" w:rsidRDefault="003E653E" w:rsidP="003C6F5B">
            <w:pPr>
              <w:pStyle w:val="BodySans"/>
              <w:keepNext/>
              <w:keepLines/>
              <w:spacing w:after="0"/>
              <w:cnfStyle w:val="000000010000" w:firstRow="0" w:lastRow="0" w:firstColumn="0" w:lastColumn="0" w:oddVBand="0" w:evenVBand="0" w:oddHBand="0" w:evenHBand="1" w:firstRowFirstColumn="0" w:firstRowLastColumn="0" w:lastRowFirstColumn="0" w:lastRowLastColumn="0"/>
            </w:pPr>
            <w:r w:rsidRPr="004020C5">
              <w:t>1.93</w:t>
            </w:r>
          </w:p>
        </w:tc>
        <w:tc>
          <w:tcPr>
            <w:tcW w:w="1587" w:type="dxa"/>
            <w:hideMark/>
          </w:tcPr>
          <w:p w14:paraId="1E6EA708" w14:textId="77777777" w:rsidR="003E653E" w:rsidRPr="004020C5" w:rsidRDefault="003E653E" w:rsidP="003C6F5B">
            <w:pPr>
              <w:pStyle w:val="BodySans"/>
              <w:keepNext/>
              <w:keepLines/>
              <w:spacing w:after="0"/>
              <w:cnfStyle w:val="000000010000" w:firstRow="0" w:lastRow="0" w:firstColumn="0" w:lastColumn="0" w:oddVBand="0" w:evenVBand="0" w:oddHBand="0" w:evenHBand="1" w:firstRowFirstColumn="0" w:firstRowLastColumn="0" w:lastRowFirstColumn="0" w:lastRowLastColumn="0"/>
            </w:pPr>
            <w:r w:rsidRPr="004020C5">
              <w:t>2.41</w:t>
            </w:r>
          </w:p>
        </w:tc>
      </w:tr>
      <w:tr w:rsidR="003E653E" w:rsidRPr="004020C5" w14:paraId="43ED82C6"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1672AC" w14:textId="77777777" w:rsidR="003E653E" w:rsidRPr="004020C5" w:rsidRDefault="003E653E" w:rsidP="003C6F5B">
            <w:pPr>
              <w:pStyle w:val="BodySans"/>
              <w:keepNext/>
              <w:keepLines/>
              <w:spacing w:after="0"/>
            </w:pPr>
            <w:r w:rsidRPr="004020C5">
              <w:t>Pre-KTS (before 2010)</w:t>
            </w:r>
          </w:p>
        </w:tc>
        <w:tc>
          <w:tcPr>
            <w:tcW w:w="1304" w:type="dxa"/>
            <w:hideMark/>
          </w:tcPr>
          <w:p w14:paraId="584F9D35" w14:textId="77777777" w:rsidR="003E653E" w:rsidRPr="004020C5" w:rsidRDefault="003E653E"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r w:rsidRPr="004020C5">
              <w:t>-0.77****</w:t>
            </w:r>
          </w:p>
        </w:tc>
        <w:tc>
          <w:tcPr>
            <w:tcW w:w="1304" w:type="dxa"/>
            <w:hideMark/>
          </w:tcPr>
          <w:p w14:paraId="014EDC27" w14:textId="77777777" w:rsidR="003E653E" w:rsidRPr="004020C5" w:rsidRDefault="003E653E"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r w:rsidRPr="004020C5">
              <w:t>0.06</w:t>
            </w:r>
          </w:p>
        </w:tc>
        <w:tc>
          <w:tcPr>
            <w:tcW w:w="1304" w:type="dxa"/>
            <w:hideMark/>
          </w:tcPr>
          <w:p w14:paraId="49607086" w14:textId="77777777" w:rsidR="003E653E" w:rsidRPr="004020C5" w:rsidRDefault="003E653E"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r w:rsidRPr="004020C5">
              <w:t>0.89</w:t>
            </w:r>
          </w:p>
        </w:tc>
        <w:tc>
          <w:tcPr>
            <w:tcW w:w="1587" w:type="dxa"/>
            <w:hideMark/>
          </w:tcPr>
          <w:p w14:paraId="13C9B2E7" w14:textId="77777777" w:rsidR="003E653E" w:rsidRPr="004020C5" w:rsidRDefault="003E653E"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r w:rsidRPr="004020C5">
              <w:t>0.81</w:t>
            </w:r>
          </w:p>
        </w:tc>
        <w:tc>
          <w:tcPr>
            <w:tcW w:w="1587" w:type="dxa"/>
            <w:hideMark/>
          </w:tcPr>
          <w:p w14:paraId="3BE10E47" w14:textId="77777777" w:rsidR="003E653E" w:rsidRPr="004020C5" w:rsidRDefault="003E653E" w:rsidP="003C6F5B">
            <w:pPr>
              <w:pStyle w:val="BodySans"/>
              <w:keepNext/>
              <w:keepLines/>
              <w:spacing w:after="0"/>
              <w:cnfStyle w:val="000000100000" w:firstRow="0" w:lastRow="0" w:firstColumn="0" w:lastColumn="0" w:oddVBand="0" w:evenVBand="0" w:oddHBand="1" w:evenHBand="0" w:firstRowFirstColumn="0" w:firstRowLastColumn="0" w:lastRowFirstColumn="0" w:lastRowLastColumn="0"/>
            </w:pPr>
            <w:r w:rsidRPr="004020C5">
              <w:t>0.98</w:t>
            </w:r>
          </w:p>
        </w:tc>
      </w:tr>
    </w:tbl>
    <w:p w14:paraId="6262533D" w14:textId="49AF2ECB" w:rsidR="0038119C" w:rsidRDefault="009C56F3" w:rsidP="00206CF2">
      <w:pPr>
        <w:pStyle w:val="TableSubheading"/>
      </w:pPr>
      <w:r>
        <w:t xml:space="preserve">K) </w:t>
      </w:r>
      <w:r w:rsidR="004D7D19" w:rsidRPr="004020C5">
        <w:t>Sibling order</w:t>
      </w:r>
      <w:r w:rsidR="003E653E">
        <w:t xml:space="preserve">: </w:t>
      </w:r>
      <w:r w:rsidR="003E653E" w:rsidRPr="004020C5">
        <w:t>Unadjusted model</w:t>
      </w:r>
    </w:p>
    <w:tbl>
      <w:tblPr>
        <w:tblStyle w:val="ANROWSTable"/>
        <w:tblW w:w="0" w:type="auto"/>
        <w:tblLook w:val="04A0" w:firstRow="1" w:lastRow="0" w:firstColumn="1" w:lastColumn="0" w:noHBand="0" w:noVBand="1"/>
      </w:tblPr>
      <w:tblGrid>
        <w:gridCol w:w="3118"/>
        <w:gridCol w:w="1304"/>
        <w:gridCol w:w="1304"/>
        <w:gridCol w:w="1304"/>
        <w:gridCol w:w="1587"/>
        <w:gridCol w:w="1587"/>
      </w:tblGrid>
      <w:tr w:rsidR="003E653E" w:rsidRPr="004020C5" w14:paraId="637D371E"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hideMark/>
          </w:tcPr>
          <w:p w14:paraId="226B46FA" w14:textId="1069B14B" w:rsidR="003E653E" w:rsidRPr="004020C5" w:rsidRDefault="003E653E" w:rsidP="003C6F5B">
            <w:pPr>
              <w:pStyle w:val="BodySans"/>
              <w:spacing w:after="0"/>
            </w:pPr>
            <w:r>
              <w:t>Characteristics</w:t>
            </w:r>
          </w:p>
        </w:tc>
        <w:tc>
          <w:tcPr>
            <w:tcW w:w="1304" w:type="dxa"/>
            <w:hideMark/>
          </w:tcPr>
          <w:p w14:paraId="088E97C6" w14:textId="41C33B40"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61614E2F" w14:textId="79C4D825"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6D01574F" w14:textId="0FA4F1BD"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677F63AA" w14:textId="45DAA186"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Min.</w:t>
            </w:r>
          </w:p>
        </w:tc>
        <w:tc>
          <w:tcPr>
            <w:tcW w:w="1587" w:type="dxa"/>
            <w:hideMark/>
          </w:tcPr>
          <w:p w14:paraId="1D1F553D" w14:textId="6F735E8E"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Max.</w:t>
            </w:r>
          </w:p>
        </w:tc>
      </w:tr>
      <w:tr w:rsidR="003E653E" w:rsidRPr="004020C5" w14:paraId="2F1B3C58"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6606EA8A" w14:textId="1AD7708F" w:rsidR="003E653E" w:rsidRPr="004020C5" w:rsidRDefault="003E653E" w:rsidP="003C6F5B">
            <w:pPr>
              <w:pStyle w:val="BodySans"/>
              <w:spacing w:after="0"/>
            </w:pPr>
            <w:r w:rsidRPr="004020C5">
              <w:t>[First]</w:t>
            </w:r>
          </w:p>
        </w:tc>
        <w:tc>
          <w:tcPr>
            <w:tcW w:w="1304" w:type="dxa"/>
          </w:tcPr>
          <w:p w14:paraId="32609703"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3E8E10A0"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6B20AF5A"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5FF3F8BE"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2D9A8457"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r>
      <w:tr w:rsidR="003E653E" w:rsidRPr="004020C5" w14:paraId="674E6307"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55B86E09" w14:textId="2271D95C" w:rsidR="003E653E" w:rsidRPr="004020C5" w:rsidRDefault="003E653E" w:rsidP="003C6F5B">
            <w:pPr>
              <w:pStyle w:val="BodySans"/>
              <w:spacing w:after="0"/>
            </w:pPr>
            <w:r w:rsidRPr="004020C5">
              <w:t>Second</w:t>
            </w:r>
          </w:p>
        </w:tc>
        <w:tc>
          <w:tcPr>
            <w:tcW w:w="1304" w:type="dxa"/>
            <w:hideMark/>
          </w:tcPr>
          <w:p w14:paraId="1F623DF1" w14:textId="04AC6336"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0.38****</w:t>
            </w:r>
          </w:p>
        </w:tc>
        <w:tc>
          <w:tcPr>
            <w:tcW w:w="1304" w:type="dxa"/>
            <w:hideMark/>
          </w:tcPr>
          <w:p w14:paraId="16EF04E5" w14:textId="6466B85A"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0.03</w:t>
            </w:r>
          </w:p>
        </w:tc>
        <w:tc>
          <w:tcPr>
            <w:tcW w:w="1304" w:type="dxa"/>
            <w:hideMark/>
          </w:tcPr>
          <w:p w14:paraId="6A9B7D76" w14:textId="53BB3534"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3.30</w:t>
            </w:r>
          </w:p>
        </w:tc>
        <w:tc>
          <w:tcPr>
            <w:tcW w:w="1587" w:type="dxa"/>
            <w:hideMark/>
          </w:tcPr>
          <w:p w14:paraId="6A290184" w14:textId="4FF4E3EE"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2.98</w:t>
            </w:r>
          </w:p>
        </w:tc>
        <w:tc>
          <w:tcPr>
            <w:tcW w:w="1587" w:type="dxa"/>
            <w:hideMark/>
          </w:tcPr>
          <w:p w14:paraId="422C0323" w14:textId="00D90BB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3.65</w:t>
            </w:r>
          </w:p>
        </w:tc>
      </w:tr>
      <w:tr w:rsidR="003E653E" w:rsidRPr="004020C5" w14:paraId="12187777"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4539E699" w14:textId="7D370BA6" w:rsidR="003E653E" w:rsidRPr="004020C5" w:rsidRDefault="003E653E" w:rsidP="003C6F5B">
            <w:pPr>
              <w:pStyle w:val="BodySans"/>
              <w:spacing w:after="0"/>
            </w:pPr>
            <w:r w:rsidRPr="004020C5">
              <w:t>Third</w:t>
            </w:r>
          </w:p>
        </w:tc>
        <w:tc>
          <w:tcPr>
            <w:tcW w:w="1304" w:type="dxa"/>
            <w:hideMark/>
          </w:tcPr>
          <w:p w14:paraId="59505A5D" w14:textId="43C6D3F8"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0.81****</w:t>
            </w:r>
          </w:p>
        </w:tc>
        <w:tc>
          <w:tcPr>
            <w:tcW w:w="1304" w:type="dxa"/>
            <w:hideMark/>
          </w:tcPr>
          <w:p w14:paraId="7AA7995E" w14:textId="3DBEA3E4"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0.04</w:t>
            </w:r>
          </w:p>
        </w:tc>
        <w:tc>
          <w:tcPr>
            <w:tcW w:w="1304" w:type="dxa"/>
            <w:hideMark/>
          </w:tcPr>
          <w:p w14:paraId="0AB3A775" w14:textId="55A230A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2.13</w:t>
            </w:r>
          </w:p>
        </w:tc>
        <w:tc>
          <w:tcPr>
            <w:tcW w:w="1587" w:type="dxa"/>
            <w:hideMark/>
          </w:tcPr>
          <w:p w14:paraId="292BF42B" w14:textId="4A3153CE"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1.92</w:t>
            </w:r>
          </w:p>
        </w:tc>
        <w:tc>
          <w:tcPr>
            <w:tcW w:w="1587" w:type="dxa"/>
            <w:hideMark/>
          </w:tcPr>
          <w:p w14:paraId="1642E619" w14:textId="6168D735"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2.37</w:t>
            </w:r>
          </w:p>
        </w:tc>
      </w:tr>
      <w:tr w:rsidR="003E653E" w:rsidRPr="004020C5" w14:paraId="3B6419BD"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4FABCCB2" w14:textId="21859EC3" w:rsidR="003E653E" w:rsidRPr="004020C5" w:rsidRDefault="003E653E" w:rsidP="003C6F5B">
            <w:pPr>
              <w:pStyle w:val="BodySans"/>
              <w:spacing w:after="0"/>
            </w:pPr>
            <w:r w:rsidRPr="004020C5">
              <w:t>Fourth or younger</w:t>
            </w:r>
          </w:p>
        </w:tc>
        <w:tc>
          <w:tcPr>
            <w:tcW w:w="1304" w:type="dxa"/>
            <w:hideMark/>
          </w:tcPr>
          <w:p w14:paraId="0CD8B8E9" w14:textId="1E287529"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1.57****</w:t>
            </w:r>
          </w:p>
        </w:tc>
        <w:tc>
          <w:tcPr>
            <w:tcW w:w="1304" w:type="dxa"/>
            <w:hideMark/>
          </w:tcPr>
          <w:p w14:paraId="713A79DD" w14:textId="112362F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0.05</w:t>
            </w:r>
          </w:p>
        </w:tc>
        <w:tc>
          <w:tcPr>
            <w:tcW w:w="1304" w:type="dxa"/>
            <w:hideMark/>
          </w:tcPr>
          <w:p w14:paraId="6B620E77" w14:textId="159852A2"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4.81</w:t>
            </w:r>
          </w:p>
        </w:tc>
        <w:tc>
          <w:tcPr>
            <w:tcW w:w="1587" w:type="dxa"/>
            <w:hideMark/>
          </w:tcPr>
          <w:p w14:paraId="2BD1DCC0" w14:textId="0FA6CD79"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4.36</w:t>
            </w:r>
          </w:p>
        </w:tc>
        <w:tc>
          <w:tcPr>
            <w:tcW w:w="1587" w:type="dxa"/>
            <w:hideMark/>
          </w:tcPr>
          <w:p w14:paraId="2D0E6C6C" w14:textId="0D254C6A"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5.31</w:t>
            </w:r>
          </w:p>
        </w:tc>
      </w:tr>
      <w:tr w:rsidR="003E653E" w:rsidRPr="004020C5" w14:paraId="2BD66D73"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0A3C39C9" w14:textId="03453D53" w:rsidR="003E653E" w:rsidRPr="004020C5" w:rsidRDefault="003E653E" w:rsidP="003C6F5B">
            <w:pPr>
              <w:pStyle w:val="BodySans"/>
              <w:spacing w:after="0"/>
            </w:pPr>
            <w:r w:rsidRPr="004020C5">
              <w:t>Total RoSH reports</w:t>
            </w:r>
          </w:p>
        </w:tc>
        <w:tc>
          <w:tcPr>
            <w:tcW w:w="1304" w:type="dxa"/>
            <w:hideMark/>
          </w:tcPr>
          <w:p w14:paraId="43818A7E" w14:textId="124E4F54"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0.38****</w:t>
            </w:r>
          </w:p>
        </w:tc>
        <w:tc>
          <w:tcPr>
            <w:tcW w:w="1304" w:type="dxa"/>
            <w:hideMark/>
          </w:tcPr>
          <w:p w14:paraId="5BAADFA2" w14:textId="61460981"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0.01</w:t>
            </w:r>
          </w:p>
        </w:tc>
        <w:tc>
          <w:tcPr>
            <w:tcW w:w="1304" w:type="dxa"/>
            <w:hideMark/>
          </w:tcPr>
          <w:p w14:paraId="45523E37" w14:textId="56E78F5A"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1.46</w:t>
            </w:r>
          </w:p>
        </w:tc>
        <w:tc>
          <w:tcPr>
            <w:tcW w:w="1587" w:type="dxa"/>
            <w:hideMark/>
          </w:tcPr>
          <w:p w14:paraId="7F29A130" w14:textId="0C734258"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1.44</w:t>
            </w:r>
          </w:p>
        </w:tc>
        <w:tc>
          <w:tcPr>
            <w:tcW w:w="1587" w:type="dxa"/>
            <w:hideMark/>
          </w:tcPr>
          <w:p w14:paraId="7B19AD23" w14:textId="3CC4EADB"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1.48</w:t>
            </w:r>
          </w:p>
        </w:tc>
      </w:tr>
      <w:tr w:rsidR="003E653E" w:rsidRPr="004020C5" w14:paraId="335DEC89" w14:textId="77777777" w:rsidTr="00CB4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5C319D75" w14:textId="70FEEDC9" w:rsidR="003E653E" w:rsidRPr="004020C5" w:rsidRDefault="003E653E" w:rsidP="003C6F5B">
            <w:pPr>
              <w:pStyle w:val="BodySans"/>
              <w:spacing w:after="0"/>
            </w:pPr>
            <w:r w:rsidRPr="004020C5">
              <w:t>Total non-RoSH reports</w:t>
            </w:r>
          </w:p>
        </w:tc>
        <w:tc>
          <w:tcPr>
            <w:tcW w:w="1304" w:type="dxa"/>
            <w:hideMark/>
          </w:tcPr>
          <w:p w14:paraId="767272AF" w14:textId="7EF52915"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0.34****</w:t>
            </w:r>
          </w:p>
        </w:tc>
        <w:tc>
          <w:tcPr>
            <w:tcW w:w="1304" w:type="dxa"/>
            <w:hideMark/>
          </w:tcPr>
          <w:p w14:paraId="1FA693F8" w14:textId="1E360E94"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0.01</w:t>
            </w:r>
          </w:p>
        </w:tc>
        <w:tc>
          <w:tcPr>
            <w:tcW w:w="1304" w:type="dxa"/>
            <w:hideMark/>
          </w:tcPr>
          <w:p w14:paraId="54875640" w14:textId="1ADA18A9"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1.41</w:t>
            </w:r>
          </w:p>
        </w:tc>
        <w:tc>
          <w:tcPr>
            <w:tcW w:w="1587" w:type="dxa"/>
            <w:hideMark/>
          </w:tcPr>
          <w:p w14:paraId="6704C830" w14:textId="3BF0DD84"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1.39</w:t>
            </w:r>
          </w:p>
        </w:tc>
        <w:tc>
          <w:tcPr>
            <w:tcW w:w="1587" w:type="dxa"/>
            <w:hideMark/>
          </w:tcPr>
          <w:p w14:paraId="3D80CBB4" w14:textId="226EEDCB"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1.44</w:t>
            </w:r>
          </w:p>
        </w:tc>
      </w:tr>
      <w:tr w:rsidR="003E653E" w:rsidRPr="004020C5" w14:paraId="3993D936" w14:textId="77777777" w:rsidTr="00CB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3548002A" w14:textId="2221EC40" w:rsidR="003E653E" w:rsidRPr="004020C5" w:rsidRDefault="003E653E" w:rsidP="003C6F5B">
            <w:pPr>
              <w:pStyle w:val="BodySans"/>
              <w:spacing w:after="0"/>
            </w:pPr>
            <w:r w:rsidRPr="004020C5">
              <w:t>Total number of siblings</w:t>
            </w:r>
          </w:p>
        </w:tc>
        <w:tc>
          <w:tcPr>
            <w:tcW w:w="1304" w:type="dxa"/>
            <w:hideMark/>
          </w:tcPr>
          <w:p w14:paraId="263B0E2C" w14:textId="0A7119FC"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0.30****</w:t>
            </w:r>
          </w:p>
        </w:tc>
        <w:tc>
          <w:tcPr>
            <w:tcW w:w="1304" w:type="dxa"/>
            <w:hideMark/>
          </w:tcPr>
          <w:p w14:paraId="429B6954" w14:textId="2FFE9E02"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0.01</w:t>
            </w:r>
          </w:p>
        </w:tc>
        <w:tc>
          <w:tcPr>
            <w:tcW w:w="1304" w:type="dxa"/>
            <w:hideMark/>
          </w:tcPr>
          <w:p w14:paraId="5F248FF5" w14:textId="560074D0"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1.35</w:t>
            </w:r>
          </w:p>
        </w:tc>
        <w:tc>
          <w:tcPr>
            <w:tcW w:w="1587" w:type="dxa"/>
            <w:hideMark/>
          </w:tcPr>
          <w:p w14:paraId="18B39F0B" w14:textId="6A8E315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1.32</w:t>
            </w:r>
          </w:p>
        </w:tc>
        <w:tc>
          <w:tcPr>
            <w:tcW w:w="1587" w:type="dxa"/>
            <w:hideMark/>
          </w:tcPr>
          <w:p w14:paraId="3DE93832" w14:textId="6C07D861"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1.38</w:t>
            </w:r>
          </w:p>
        </w:tc>
      </w:tr>
    </w:tbl>
    <w:p w14:paraId="082D7128" w14:textId="12FF902E" w:rsidR="003E653E" w:rsidRDefault="009C56F3" w:rsidP="00206CF2">
      <w:pPr>
        <w:pStyle w:val="TableSubheading"/>
      </w:pPr>
      <w:r>
        <w:lastRenderedPageBreak/>
        <w:t xml:space="preserve">L) </w:t>
      </w:r>
      <w:r w:rsidR="003E653E" w:rsidRPr="004020C5">
        <w:t>Sibling order</w:t>
      </w:r>
      <w:r w:rsidR="003E653E">
        <w:t>: A</w:t>
      </w:r>
      <w:r w:rsidR="003E653E" w:rsidRPr="004020C5">
        <w:t>djusted model</w:t>
      </w:r>
    </w:p>
    <w:tbl>
      <w:tblPr>
        <w:tblStyle w:val="ANROWSTable"/>
        <w:tblW w:w="0" w:type="auto"/>
        <w:tblLook w:val="04A0" w:firstRow="1" w:lastRow="0" w:firstColumn="1" w:lastColumn="0" w:noHBand="0" w:noVBand="1"/>
      </w:tblPr>
      <w:tblGrid>
        <w:gridCol w:w="3118"/>
        <w:gridCol w:w="1304"/>
        <w:gridCol w:w="1304"/>
        <w:gridCol w:w="1304"/>
        <w:gridCol w:w="1587"/>
        <w:gridCol w:w="1587"/>
      </w:tblGrid>
      <w:tr w:rsidR="003E653E" w:rsidRPr="004020C5" w14:paraId="1A993BAD" w14:textId="77777777" w:rsidTr="00F84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hideMark/>
          </w:tcPr>
          <w:p w14:paraId="4C923E2D" w14:textId="77777777" w:rsidR="003E653E" w:rsidRPr="004020C5" w:rsidRDefault="003E653E" w:rsidP="003C6F5B">
            <w:pPr>
              <w:pStyle w:val="BodySans"/>
              <w:spacing w:after="0"/>
            </w:pPr>
            <w:r>
              <w:t>Characteristics</w:t>
            </w:r>
          </w:p>
        </w:tc>
        <w:tc>
          <w:tcPr>
            <w:tcW w:w="1304" w:type="dxa"/>
            <w:hideMark/>
          </w:tcPr>
          <w:p w14:paraId="6046588F" w14:textId="59EF5965"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Beta estimate</w:t>
            </w:r>
          </w:p>
        </w:tc>
        <w:tc>
          <w:tcPr>
            <w:tcW w:w="1304" w:type="dxa"/>
            <w:hideMark/>
          </w:tcPr>
          <w:p w14:paraId="05C04EA1" w14:textId="4E4565FC"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Std error</w:t>
            </w:r>
          </w:p>
        </w:tc>
        <w:tc>
          <w:tcPr>
            <w:tcW w:w="1304" w:type="dxa"/>
            <w:hideMark/>
          </w:tcPr>
          <w:p w14:paraId="3D952073" w14:textId="57665CC5"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Odds ratio</w:t>
            </w:r>
          </w:p>
        </w:tc>
        <w:tc>
          <w:tcPr>
            <w:tcW w:w="1587" w:type="dxa"/>
            <w:hideMark/>
          </w:tcPr>
          <w:p w14:paraId="1D0AAAD4" w14:textId="0D01E4CF"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Min.</w:t>
            </w:r>
          </w:p>
        </w:tc>
        <w:tc>
          <w:tcPr>
            <w:tcW w:w="1587" w:type="dxa"/>
            <w:hideMark/>
          </w:tcPr>
          <w:p w14:paraId="3D4852B2" w14:textId="1CB39A9D" w:rsidR="003E653E" w:rsidRPr="004020C5" w:rsidRDefault="003E653E" w:rsidP="003C6F5B">
            <w:pPr>
              <w:pStyle w:val="BodySans"/>
              <w:spacing w:after="0"/>
              <w:cnfStyle w:val="100000000000" w:firstRow="1" w:lastRow="0" w:firstColumn="0" w:lastColumn="0" w:oddVBand="0" w:evenVBand="0" w:oddHBand="0" w:evenHBand="0" w:firstRowFirstColumn="0" w:firstRowLastColumn="0" w:lastRowFirstColumn="0" w:lastRowLastColumn="0"/>
            </w:pPr>
            <w:r w:rsidRPr="004020C5">
              <w:t>OR 95%CI</w:t>
            </w:r>
            <w:r>
              <w:t>:</w:t>
            </w:r>
            <w:r w:rsidRPr="004020C5">
              <w:t xml:space="preserve"> Max.</w:t>
            </w:r>
          </w:p>
        </w:tc>
      </w:tr>
      <w:tr w:rsidR="003E653E" w:rsidRPr="004020C5" w14:paraId="4EA5448B" w14:textId="77777777" w:rsidTr="00E5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03931A7E" w14:textId="77777777" w:rsidR="003E653E" w:rsidRPr="004020C5" w:rsidRDefault="003E653E" w:rsidP="003C6F5B">
            <w:pPr>
              <w:pStyle w:val="BodySans"/>
              <w:spacing w:after="0"/>
            </w:pPr>
            <w:r w:rsidRPr="004020C5">
              <w:t>[First]</w:t>
            </w:r>
          </w:p>
        </w:tc>
        <w:tc>
          <w:tcPr>
            <w:tcW w:w="1304" w:type="dxa"/>
          </w:tcPr>
          <w:p w14:paraId="2D1C3842"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2EA701F6"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304" w:type="dxa"/>
          </w:tcPr>
          <w:p w14:paraId="580306DE"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072B5DF3"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c>
          <w:tcPr>
            <w:tcW w:w="1587" w:type="dxa"/>
          </w:tcPr>
          <w:p w14:paraId="25BFEAF3"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p>
        </w:tc>
      </w:tr>
      <w:tr w:rsidR="003E653E" w:rsidRPr="004020C5" w14:paraId="6DDABC6A" w14:textId="77777777" w:rsidTr="00E5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35436149" w14:textId="77777777" w:rsidR="003E653E" w:rsidRPr="004020C5" w:rsidRDefault="003E653E" w:rsidP="003C6F5B">
            <w:pPr>
              <w:pStyle w:val="BodySans"/>
              <w:spacing w:after="0"/>
            </w:pPr>
            <w:r w:rsidRPr="004020C5">
              <w:t>Second</w:t>
            </w:r>
          </w:p>
        </w:tc>
        <w:tc>
          <w:tcPr>
            <w:tcW w:w="1304" w:type="dxa"/>
            <w:hideMark/>
          </w:tcPr>
          <w:p w14:paraId="746E9A71"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-0.01</w:t>
            </w:r>
          </w:p>
        </w:tc>
        <w:tc>
          <w:tcPr>
            <w:tcW w:w="1304" w:type="dxa"/>
            <w:hideMark/>
          </w:tcPr>
          <w:p w14:paraId="5227E500"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0.04</w:t>
            </w:r>
          </w:p>
        </w:tc>
        <w:tc>
          <w:tcPr>
            <w:tcW w:w="1304" w:type="dxa"/>
            <w:hideMark/>
          </w:tcPr>
          <w:p w14:paraId="5F8905E4"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0.91</w:t>
            </w:r>
          </w:p>
        </w:tc>
        <w:tc>
          <w:tcPr>
            <w:tcW w:w="1587" w:type="dxa"/>
            <w:hideMark/>
          </w:tcPr>
          <w:p w14:paraId="26B3F451"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0.79</w:t>
            </w:r>
          </w:p>
        </w:tc>
        <w:tc>
          <w:tcPr>
            <w:tcW w:w="1587" w:type="dxa"/>
            <w:hideMark/>
          </w:tcPr>
          <w:p w14:paraId="60B07DE6"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1.06</w:t>
            </w:r>
          </w:p>
        </w:tc>
      </w:tr>
      <w:tr w:rsidR="003E653E" w:rsidRPr="004020C5" w14:paraId="3AE3BC79" w14:textId="77777777" w:rsidTr="00E5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7B7B22DE" w14:textId="77777777" w:rsidR="003E653E" w:rsidRPr="004020C5" w:rsidRDefault="003E653E" w:rsidP="003C6F5B">
            <w:pPr>
              <w:pStyle w:val="BodySans"/>
              <w:spacing w:after="0"/>
            </w:pPr>
            <w:r w:rsidRPr="004020C5">
              <w:t>Third</w:t>
            </w:r>
          </w:p>
        </w:tc>
        <w:tc>
          <w:tcPr>
            <w:tcW w:w="1304" w:type="dxa"/>
            <w:hideMark/>
          </w:tcPr>
          <w:p w14:paraId="7594F9E3"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-0.08</w:t>
            </w:r>
          </w:p>
        </w:tc>
        <w:tc>
          <w:tcPr>
            <w:tcW w:w="1304" w:type="dxa"/>
            <w:hideMark/>
          </w:tcPr>
          <w:p w14:paraId="6F43759E"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0.06</w:t>
            </w:r>
          </w:p>
        </w:tc>
        <w:tc>
          <w:tcPr>
            <w:tcW w:w="1304" w:type="dxa"/>
            <w:hideMark/>
          </w:tcPr>
          <w:p w14:paraId="0A042DDB"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0.98</w:t>
            </w:r>
          </w:p>
        </w:tc>
        <w:tc>
          <w:tcPr>
            <w:tcW w:w="1587" w:type="dxa"/>
            <w:hideMark/>
          </w:tcPr>
          <w:p w14:paraId="5D5FDCFC"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0.86</w:t>
            </w:r>
          </w:p>
        </w:tc>
        <w:tc>
          <w:tcPr>
            <w:tcW w:w="1587" w:type="dxa"/>
            <w:hideMark/>
          </w:tcPr>
          <w:p w14:paraId="41AD92C1"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1.13</w:t>
            </w:r>
          </w:p>
        </w:tc>
      </w:tr>
      <w:tr w:rsidR="003E653E" w:rsidRPr="004020C5" w14:paraId="2DB046AD" w14:textId="77777777" w:rsidTr="00E5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4DC236F0" w14:textId="77777777" w:rsidR="003E653E" w:rsidRPr="004020C5" w:rsidRDefault="003E653E" w:rsidP="003C6F5B">
            <w:pPr>
              <w:pStyle w:val="BodySans"/>
              <w:spacing w:after="0"/>
            </w:pPr>
            <w:r w:rsidRPr="004020C5">
              <w:t>Fourth or younger</w:t>
            </w:r>
          </w:p>
        </w:tc>
        <w:tc>
          <w:tcPr>
            <w:tcW w:w="1304" w:type="dxa"/>
            <w:hideMark/>
          </w:tcPr>
          <w:p w14:paraId="3C2A3240"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-0.10</w:t>
            </w:r>
          </w:p>
        </w:tc>
        <w:tc>
          <w:tcPr>
            <w:tcW w:w="1304" w:type="dxa"/>
            <w:hideMark/>
          </w:tcPr>
          <w:p w14:paraId="39D6A37B"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0.08</w:t>
            </w:r>
          </w:p>
        </w:tc>
        <w:tc>
          <w:tcPr>
            <w:tcW w:w="1304" w:type="dxa"/>
            <w:hideMark/>
          </w:tcPr>
          <w:p w14:paraId="7A4A848A"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0.91</w:t>
            </w:r>
          </w:p>
        </w:tc>
        <w:tc>
          <w:tcPr>
            <w:tcW w:w="1587" w:type="dxa"/>
            <w:hideMark/>
          </w:tcPr>
          <w:p w14:paraId="17CBA0B1"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0.77</w:t>
            </w:r>
          </w:p>
        </w:tc>
        <w:tc>
          <w:tcPr>
            <w:tcW w:w="1587" w:type="dxa"/>
            <w:hideMark/>
          </w:tcPr>
          <w:p w14:paraId="79E051D5"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1.07</w:t>
            </w:r>
          </w:p>
        </w:tc>
      </w:tr>
      <w:tr w:rsidR="003E653E" w:rsidRPr="004020C5" w14:paraId="2D4EA102" w14:textId="77777777" w:rsidTr="00E5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5E941CB5" w14:textId="77777777" w:rsidR="003E653E" w:rsidRPr="004020C5" w:rsidRDefault="003E653E" w:rsidP="003C6F5B">
            <w:pPr>
              <w:pStyle w:val="BodySans"/>
              <w:spacing w:after="0"/>
            </w:pPr>
            <w:r w:rsidRPr="004020C5">
              <w:t>Total RoSH reports</w:t>
            </w:r>
          </w:p>
        </w:tc>
        <w:tc>
          <w:tcPr>
            <w:tcW w:w="1304" w:type="dxa"/>
            <w:hideMark/>
          </w:tcPr>
          <w:p w14:paraId="1BE74C36"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0.28****</w:t>
            </w:r>
          </w:p>
        </w:tc>
        <w:tc>
          <w:tcPr>
            <w:tcW w:w="1304" w:type="dxa"/>
            <w:hideMark/>
          </w:tcPr>
          <w:p w14:paraId="13637FD3"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0.01</w:t>
            </w:r>
          </w:p>
        </w:tc>
        <w:tc>
          <w:tcPr>
            <w:tcW w:w="1304" w:type="dxa"/>
            <w:hideMark/>
          </w:tcPr>
          <w:p w14:paraId="6B2B6AB6"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1.32</w:t>
            </w:r>
          </w:p>
        </w:tc>
        <w:tc>
          <w:tcPr>
            <w:tcW w:w="1587" w:type="dxa"/>
            <w:hideMark/>
          </w:tcPr>
          <w:p w14:paraId="7BA9B6A2"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1.30</w:t>
            </w:r>
          </w:p>
        </w:tc>
        <w:tc>
          <w:tcPr>
            <w:tcW w:w="1587" w:type="dxa"/>
            <w:hideMark/>
          </w:tcPr>
          <w:p w14:paraId="38D0620F"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1.34</w:t>
            </w:r>
          </w:p>
        </w:tc>
      </w:tr>
      <w:tr w:rsidR="003E653E" w:rsidRPr="004020C5" w14:paraId="381FB301" w14:textId="77777777" w:rsidTr="00E51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3C838F1C" w14:textId="77777777" w:rsidR="003E653E" w:rsidRPr="004020C5" w:rsidRDefault="003E653E" w:rsidP="003C6F5B">
            <w:pPr>
              <w:pStyle w:val="BodySans"/>
              <w:spacing w:after="0"/>
            </w:pPr>
            <w:r w:rsidRPr="004020C5">
              <w:t>Total non-RoSH reports</w:t>
            </w:r>
          </w:p>
        </w:tc>
        <w:tc>
          <w:tcPr>
            <w:tcW w:w="1304" w:type="dxa"/>
            <w:hideMark/>
          </w:tcPr>
          <w:p w14:paraId="4ECDA6FB"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0.18****</w:t>
            </w:r>
          </w:p>
        </w:tc>
        <w:tc>
          <w:tcPr>
            <w:tcW w:w="1304" w:type="dxa"/>
            <w:hideMark/>
          </w:tcPr>
          <w:p w14:paraId="428BC313"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0.01</w:t>
            </w:r>
          </w:p>
        </w:tc>
        <w:tc>
          <w:tcPr>
            <w:tcW w:w="1304" w:type="dxa"/>
            <w:hideMark/>
          </w:tcPr>
          <w:p w14:paraId="06C78C38"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1.19</w:t>
            </w:r>
          </w:p>
        </w:tc>
        <w:tc>
          <w:tcPr>
            <w:tcW w:w="1587" w:type="dxa"/>
            <w:hideMark/>
          </w:tcPr>
          <w:p w14:paraId="305AEB6E"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1.17</w:t>
            </w:r>
          </w:p>
        </w:tc>
        <w:tc>
          <w:tcPr>
            <w:tcW w:w="1587" w:type="dxa"/>
            <w:hideMark/>
          </w:tcPr>
          <w:p w14:paraId="2B069F72" w14:textId="77777777" w:rsidR="003E653E" w:rsidRPr="004020C5" w:rsidRDefault="003E653E" w:rsidP="003C6F5B">
            <w:pPr>
              <w:pStyle w:val="BodySans"/>
              <w:spacing w:after="0"/>
              <w:cnfStyle w:val="000000010000" w:firstRow="0" w:lastRow="0" w:firstColumn="0" w:lastColumn="0" w:oddVBand="0" w:evenVBand="0" w:oddHBand="0" w:evenHBand="1" w:firstRowFirstColumn="0" w:firstRowLastColumn="0" w:lastRowFirstColumn="0" w:lastRowLastColumn="0"/>
            </w:pPr>
            <w:r w:rsidRPr="004020C5">
              <w:t>1.21</w:t>
            </w:r>
          </w:p>
        </w:tc>
      </w:tr>
      <w:tr w:rsidR="003E653E" w:rsidRPr="004020C5" w14:paraId="63163E76" w14:textId="77777777" w:rsidTr="00E5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3322F7FE" w14:textId="77777777" w:rsidR="003E653E" w:rsidRPr="004020C5" w:rsidRDefault="003E653E" w:rsidP="003C6F5B">
            <w:pPr>
              <w:pStyle w:val="BodySans"/>
              <w:spacing w:after="0"/>
            </w:pPr>
            <w:r w:rsidRPr="004020C5">
              <w:t>Total number of siblings</w:t>
            </w:r>
          </w:p>
        </w:tc>
        <w:tc>
          <w:tcPr>
            <w:tcW w:w="1304" w:type="dxa"/>
            <w:hideMark/>
          </w:tcPr>
          <w:p w14:paraId="34A89CF8"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0.19****</w:t>
            </w:r>
          </w:p>
        </w:tc>
        <w:tc>
          <w:tcPr>
            <w:tcW w:w="1304" w:type="dxa"/>
            <w:hideMark/>
          </w:tcPr>
          <w:p w14:paraId="439AB148"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0.02</w:t>
            </w:r>
          </w:p>
        </w:tc>
        <w:tc>
          <w:tcPr>
            <w:tcW w:w="1304" w:type="dxa"/>
            <w:hideMark/>
          </w:tcPr>
          <w:p w14:paraId="208FF32C"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1.21</w:t>
            </w:r>
          </w:p>
        </w:tc>
        <w:tc>
          <w:tcPr>
            <w:tcW w:w="1587" w:type="dxa"/>
            <w:hideMark/>
          </w:tcPr>
          <w:p w14:paraId="4D70948F"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1.17</w:t>
            </w:r>
          </w:p>
        </w:tc>
        <w:tc>
          <w:tcPr>
            <w:tcW w:w="1587" w:type="dxa"/>
            <w:hideMark/>
          </w:tcPr>
          <w:p w14:paraId="730006EA" w14:textId="77777777" w:rsidR="003E653E" w:rsidRPr="004020C5" w:rsidRDefault="003E653E" w:rsidP="003C6F5B">
            <w:pPr>
              <w:pStyle w:val="BodySans"/>
              <w:spacing w:after="0"/>
              <w:cnfStyle w:val="000000100000" w:firstRow="0" w:lastRow="0" w:firstColumn="0" w:lastColumn="0" w:oddVBand="0" w:evenVBand="0" w:oddHBand="1" w:evenHBand="0" w:firstRowFirstColumn="0" w:firstRowLastColumn="0" w:lastRowFirstColumn="0" w:lastRowLastColumn="0"/>
            </w:pPr>
            <w:r w:rsidRPr="004020C5">
              <w:t>1.26</w:t>
            </w:r>
          </w:p>
        </w:tc>
      </w:tr>
    </w:tbl>
    <w:p w14:paraId="7800C7E0" w14:textId="525ACE84" w:rsidR="004020C5" w:rsidRPr="004020C5" w:rsidRDefault="004020C5" w:rsidP="00206CF2">
      <w:pPr>
        <w:pStyle w:val="FigureTableNote"/>
      </w:pPr>
      <w:r w:rsidRPr="004020C5">
        <w:t>Notes:</w:t>
      </w:r>
    </w:p>
    <w:p w14:paraId="5100E5B8" w14:textId="210E1FAE" w:rsidR="004020C5" w:rsidRPr="004020C5" w:rsidRDefault="004020C5" w:rsidP="00206CF2">
      <w:pPr>
        <w:pStyle w:val="FigureTableNote"/>
      </w:pPr>
      <w:r w:rsidRPr="004020C5">
        <w:t>Reference group is indicated using square brackets.</w:t>
      </w:r>
    </w:p>
    <w:p w14:paraId="2A799BBC" w14:textId="2A2AFD53" w:rsidR="004020C5" w:rsidRPr="004020C5" w:rsidRDefault="00070EFF" w:rsidP="00206CF2">
      <w:pPr>
        <w:pStyle w:val="FigureTableNote"/>
      </w:pPr>
      <w:r w:rsidRPr="00070EFF">
        <w:rPr>
          <w:rStyle w:val="Superscript"/>
        </w:rPr>
        <w:t xml:space="preserve"> </w:t>
      </w:r>
      <w:r w:rsidR="004020C5" w:rsidRPr="00070EFF">
        <w:rPr>
          <w:rStyle w:val="Superscript"/>
        </w:rPr>
        <w:t>a</w:t>
      </w:r>
      <w:r w:rsidR="004020C5" w:rsidRPr="004020C5">
        <w:t> Includes categories “outer regional”, “remote” and “very remote” due to small cell sizes.</w:t>
      </w:r>
    </w:p>
    <w:p w14:paraId="1658579D" w14:textId="3EB992A8" w:rsidR="004020C5" w:rsidRPr="004020C5" w:rsidRDefault="004020C5" w:rsidP="00206CF2">
      <w:pPr>
        <w:pStyle w:val="FigureTableNote"/>
      </w:pPr>
      <w:r w:rsidRPr="004020C5">
        <w:t>**p &lt; .01 ***p &lt; .001 **** p &lt; .0001.</w:t>
      </w:r>
    </w:p>
    <w:p w14:paraId="5625CD1E" w14:textId="5D6ABDB0" w:rsidR="004020C5" w:rsidRPr="004020C5" w:rsidRDefault="00F64884" w:rsidP="003C6F5B">
      <w:pPr>
        <w:pStyle w:val="BodySerif"/>
        <w:keepNext/>
        <w:keepLines/>
      </w:pPr>
      <w:r w:rsidRPr="004020C5">
        <w:t>In the unadjusted model, each combination of co-occurring risk factors, as well as other risk factors not related to DFV, were associated with greater odds of entering OOHC within a year of the first child concern report compared to having</w:t>
      </w:r>
      <w:r>
        <w:t xml:space="preserve"> </w:t>
      </w:r>
      <w:r w:rsidR="004020C5" w:rsidRPr="004020C5">
        <w:t>parental DFV as a risk factor in the absence of parental AOD use or MH issues. Odds of entering OOHC increased with more co-occurring risk factors related to parental AOD use and/or MH issues compared to children who experienced DFV alone: 6.6 times (</w:t>
      </w:r>
      <w:r w:rsidR="004020C5" w:rsidRPr="004020C5">
        <w:rPr>
          <w:i/>
          <w:iCs/>
        </w:rPr>
        <w:t>OR</w:t>
      </w:r>
      <w:r w:rsidR="004020C5" w:rsidRPr="004020C5">
        <w:t> = 6.58, 95%CI [5.76, 7.51]) for two risk factors (DFV-AOD/MH), and 22.2 times (</w:t>
      </w:r>
      <w:r w:rsidR="004020C5" w:rsidRPr="004020C5">
        <w:rPr>
          <w:i/>
          <w:iCs/>
        </w:rPr>
        <w:t>OR</w:t>
      </w:r>
      <w:r w:rsidR="004020C5" w:rsidRPr="004020C5">
        <w:t> =</w:t>
      </w:r>
      <w:r w:rsidR="00CA3658">
        <w:t> </w:t>
      </w:r>
      <w:r w:rsidR="004020C5" w:rsidRPr="004020C5">
        <w:t>22.16, 95%CI [18.87, 26.03]) for three risk factors (DFV-AOD-MH). Odds of entering OOHC where children experienced risk factors unrelated to DFV was 2.5 times greater (</w:t>
      </w:r>
      <w:r w:rsidR="004020C5" w:rsidRPr="004020C5">
        <w:rPr>
          <w:i/>
          <w:iCs/>
        </w:rPr>
        <w:t>OR</w:t>
      </w:r>
      <w:r w:rsidR="004020C5" w:rsidRPr="004020C5">
        <w:t> = 2.46, 95%CI [2.13, 2.85]) than for DFV alone. Other key variables in the unadjusted model were associated with entry into OOHC within a year of the first child concern report. Compared to living in metropolitan areas, there were increased odds of entering OOHC by 1.08 times or</w:t>
      </w:r>
      <w:r w:rsidR="00CA3658">
        <w:t> </w:t>
      </w:r>
      <w:r w:rsidR="004020C5" w:rsidRPr="004020C5">
        <w:t>8 per cent (</w:t>
      </w:r>
      <w:r w:rsidR="004020C5" w:rsidRPr="004020C5">
        <w:rPr>
          <w:i/>
          <w:iCs/>
        </w:rPr>
        <w:t>OR</w:t>
      </w:r>
      <w:r w:rsidR="004020C5" w:rsidRPr="004020C5">
        <w:t> = 1.08, 95%CI [0.95, 1.24]) for inner regional areas. Children had decreased odds of entering OOHC the older they were at first Helpline report when compared to children aged 0 to 1 year at first Helpline report: a</w:t>
      </w:r>
      <w:r w:rsidR="00CA3658">
        <w:t> </w:t>
      </w:r>
      <w:r w:rsidR="004020C5" w:rsidRPr="004020C5">
        <w:t>reduction of 65 per cent (</w:t>
      </w:r>
      <w:r w:rsidR="004020C5" w:rsidRPr="004020C5">
        <w:rPr>
          <w:i/>
          <w:iCs/>
        </w:rPr>
        <w:t>OR</w:t>
      </w:r>
      <w:r w:rsidR="004020C5" w:rsidRPr="004020C5">
        <w:t> = 0.35, 95%CI [0.26, 0.46]) for 2 to 5-year-olds, 14 per cent (</w:t>
      </w:r>
      <w:r w:rsidR="004020C5" w:rsidRPr="004020C5">
        <w:rPr>
          <w:i/>
          <w:iCs/>
        </w:rPr>
        <w:t>OR</w:t>
      </w:r>
      <w:r w:rsidR="004020C5" w:rsidRPr="004020C5">
        <w:t> = 0.86, 95%CI [0.64,</w:t>
      </w:r>
      <w:r w:rsidR="00CA3658">
        <w:t> </w:t>
      </w:r>
      <w:r w:rsidR="004020C5" w:rsidRPr="004020C5">
        <w:t>1.16]) for 6 to 10-year-olds, and 97 per cent (</w:t>
      </w:r>
      <w:r w:rsidR="004020C5" w:rsidRPr="004020C5">
        <w:rPr>
          <w:i/>
          <w:iCs/>
        </w:rPr>
        <w:t>OR</w:t>
      </w:r>
      <w:r w:rsidR="004020C5" w:rsidRPr="004020C5">
        <w:t> = 0.03, 95%CI [0.03, 0.04]) for 12 to 15-year-olds. When</w:t>
      </w:r>
      <w:r w:rsidR="00CA3658">
        <w:t> </w:t>
      </w:r>
      <w:r w:rsidR="004020C5" w:rsidRPr="004020C5">
        <w:t>compared to the period where SHFL came into effect (from 2014 onwards), the odds of a child entering OOHC within a</w:t>
      </w:r>
      <w:r w:rsidR="00CA3658">
        <w:t> </w:t>
      </w:r>
      <w:r w:rsidR="004020C5" w:rsidRPr="004020C5">
        <w:t>year of their first concern report was reduced by 43 per cent (</w:t>
      </w:r>
      <w:r w:rsidR="004020C5" w:rsidRPr="004020C5">
        <w:rPr>
          <w:i/>
          <w:iCs/>
        </w:rPr>
        <w:t>OR</w:t>
      </w:r>
      <w:r w:rsidR="004020C5" w:rsidRPr="004020C5">
        <w:t> = 0.57, 95%CI [0.53, 0.63]) during the period before the KTS reforms (which came into effect in 2010). Further, siblings who were born later, when compared to the oldest sibling involved in</w:t>
      </w:r>
      <w:r w:rsidR="00C57370">
        <w:t> </w:t>
      </w:r>
      <w:r w:rsidR="004020C5" w:rsidRPr="004020C5">
        <w:t>the child protection system, appeared to have greater odds of entering OOHC: 3.3 times (</w:t>
      </w:r>
      <w:r w:rsidR="004020C5" w:rsidRPr="004020C5">
        <w:rPr>
          <w:i/>
          <w:iCs/>
        </w:rPr>
        <w:t>OR</w:t>
      </w:r>
      <w:r w:rsidR="004020C5" w:rsidRPr="004020C5">
        <w:t> = 3.30, 95%CI [2.98, 3.65]) for the second oldest sibling; 2.1 times (</w:t>
      </w:r>
      <w:r w:rsidR="004020C5" w:rsidRPr="004020C5">
        <w:rPr>
          <w:i/>
          <w:iCs/>
        </w:rPr>
        <w:t>OR</w:t>
      </w:r>
      <w:r w:rsidR="004020C5" w:rsidRPr="004020C5">
        <w:t> = 2.13, 95%CI [1.92, 2.37]) for the third oldest sibling; and 4.8 times (</w:t>
      </w:r>
      <w:r w:rsidR="004020C5" w:rsidRPr="004020C5">
        <w:rPr>
          <w:i/>
          <w:iCs/>
        </w:rPr>
        <w:t>OR</w:t>
      </w:r>
      <w:r w:rsidR="004020C5" w:rsidRPr="004020C5">
        <w:t> =</w:t>
      </w:r>
      <w:r w:rsidR="00C57370">
        <w:t> </w:t>
      </w:r>
      <w:r w:rsidR="004020C5" w:rsidRPr="004020C5">
        <w:t>4.81, 95%CI [4.36, 5.31]) for the fourth oldest or younger sibling. An additional RoSH report was associated with increased odds of entering OOHC by 1.46 times or 46 per cent (</w:t>
      </w:r>
      <w:r w:rsidR="004020C5" w:rsidRPr="004020C5">
        <w:rPr>
          <w:i/>
          <w:iCs/>
        </w:rPr>
        <w:t>OR</w:t>
      </w:r>
      <w:r w:rsidR="004020C5" w:rsidRPr="004020C5">
        <w:t> = 1.46, 95%CI [1.44, 1.1.48]), and</w:t>
      </w:r>
      <w:r w:rsidR="00CA3658">
        <w:t> </w:t>
      </w:r>
      <w:r w:rsidR="004020C5" w:rsidRPr="004020C5">
        <w:t>each additional sibling was associated with an increased odds of entering OOHC by 1.35 times or 35 per cent (</w:t>
      </w:r>
      <w:r w:rsidR="004020C5" w:rsidRPr="004020C5">
        <w:rPr>
          <w:i/>
          <w:iCs/>
        </w:rPr>
        <w:t>OR</w:t>
      </w:r>
      <w:r w:rsidR="004020C5" w:rsidRPr="004020C5">
        <w:t> =</w:t>
      </w:r>
      <w:r w:rsidR="00CA3658">
        <w:t> </w:t>
      </w:r>
      <w:r w:rsidR="004020C5" w:rsidRPr="004020C5">
        <w:t>1.35, 95%CI [1.32,</w:t>
      </w:r>
      <w:r w:rsidR="00C57370">
        <w:t> </w:t>
      </w:r>
      <w:r w:rsidR="004020C5" w:rsidRPr="004020C5">
        <w:t>1.38]).</w:t>
      </w:r>
    </w:p>
    <w:p w14:paraId="033AE2C0" w14:textId="690D680B" w:rsidR="004020C5" w:rsidRPr="004020C5" w:rsidRDefault="004020C5" w:rsidP="004020C5">
      <w:pPr>
        <w:pStyle w:val="BodySerif"/>
      </w:pPr>
      <w:r w:rsidRPr="004020C5">
        <w:t>In focusing on the key variable of interest, the results of the adjusted regression model suggest that when all other variables are held constant, the co-occurrence of risk factors was associated with the odds of entering OOHC in the 12</w:t>
      </w:r>
      <w:r w:rsidR="00C57370">
        <w:t> </w:t>
      </w:r>
      <w:r w:rsidRPr="004020C5">
        <w:t>months after the first child concern report when compared to children who experienced DFV alone: a decrease of</w:t>
      </w:r>
      <w:r w:rsidR="00C57370">
        <w:t> </w:t>
      </w:r>
      <w:r w:rsidRPr="004020C5">
        <w:t>0.53</w:t>
      </w:r>
      <w:r w:rsidR="00C57370">
        <w:t> </w:t>
      </w:r>
      <w:r w:rsidRPr="004020C5">
        <w:t>times (</w:t>
      </w:r>
      <w:r w:rsidRPr="004020C5">
        <w:rPr>
          <w:i/>
          <w:iCs/>
        </w:rPr>
        <w:t>OR</w:t>
      </w:r>
      <w:r w:rsidRPr="004020C5">
        <w:t> = 0.53, 95%CI [0.43, 0.65]) for DFV-AOD/MH, and an increase by 2.1 times (</w:t>
      </w:r>
      <w:r w:rsidRPr="004020C5">
        <w:rPr>
          <w:i/>
          <w:iCs/>
        </w:rPr>
        <w:t>OR</w:t>
      </w:r>
      <w:r w:rsidRPr="004020C5">
        <w:t> = 2.13, 95%CI [1.70, 2.66]) for DFV-AOD-MH. Odds of entering OOHC where children experienced risk factors unrelated to DFV decreased by 0.89 times or 11 per cent (</w:t>
      </w:r>
      <w:r w:rsidRPr="004020C5">
        <w:rPr>
          <w:i/>
          <w:iCs/>
        </w:rPr>
        <w:t>OR</w:t>
      </w:r>
      <w:r w:rsidRPr="004020C5">
        <w:t> = 0.89, 95%CI [0.73, 1.09]) than for DFV alone. Although the odds ratios were attenuated in the adjusted model, associations with entry to OOHC within a year of the first child concern report for</w:t>
      </w:r>
      <w:r w:rsidR="00C57370">
        <w:t> </w:t>
      </w:r>
      <w:r w:rsidRPr="004020C5">
        <w:t>the other variables remained statistically significant, with the exception of sibling order.</w:t>
      </w:r>
    </w:p>
    <w:p w14:paraId="051993FB" w14:textId="506DE81E" w:rsidR="004020C5" w:rsidRPr="004020C5" w:rsidRDefault="004020C5" w:rsidP="004020C5">
      <w:pPr>
        <w:pStyle w:val="H2SectionTitle"/>
      </w:pPr>
      <w:bookmarkStart w:id="32" w:name="_Toc191286657"/>
      <w:r w:rsidRPr="004020C5">
        <w:lastRenderedPageBreak/>
        <w:t>Discussion</w:t>
      </w:r>
      <w:bookmarkEnd w:id="32"/>
    </w:p>
    <w:p w14:paraId="414EA874" w14:textId="10192B51" w:rsidR="004020C5" w:rsidRPr="004020C5" w:rsidRDefault="004020C5" w:rsidP="004020C5">
      <w:pPr>
        <w:pStyle w:val="BodySerif"/>
      </w:pPr>
      <w:r w:rsidRPr="004020C5">
        <w:t>While there has long been recognition that families who come to the attention of the child protection system have complex needs that include DFV, AOD use and MH issues, this study is the first in the Australian context to quantify the</w:t>
      </w:r>
      <w:r w:rsidR="00C57370">
        <w:t> </w:t>
      </w:r>
      <w:r w:rsidRPr="004020C5">
        <w:t>prevalence of these factors for children reported for child protection concerns. For the children included in this study,</w:t>
      </w:r>
      <w:r w:rsidR="00511B3B">
        <w:t> </w:t>
      </w:r>
      <w:r w:rsidRPr="004020C5">
        <w:t>33</w:t>
      </w:r>
      <w:r w:rsidR="0094215D">
        <w:t> </w:t>
      </w:r>
      <w:r w:rsidRPr="004020C5">
        <w:t>per cent had child concern reports indicating the presence of parental DFV on its own or in combination with</w:t>
      </w:r>
      <w:r w:rsidR="00511B3B">
        <w:t> </w:t>
      </w:r>
      <w:r w:rsidRPr="004020C5">
        <w:t>parental</w:t>
      </w:r>
      <w:r w:rsidR="00511B3B">
        <w:t> </w:t>
      </w:r>
      <w:r w:rsidRPr="004020C5">
        <w:t>AOD use and MH issues. This is likely to be an undercount due to limitations in the way that data were collected, and,</w:t>
      </w:r>
      <w:r w:rsidR="0094215D">
        <w:t> </w:t>
      </w:r>
      <w:r w:rsidRPr="004020C5">
        <w:t>as</w:t>
      </w:r>
      <w:r w:rsidR="0094215D">
        <w:t> </w:t>
      </w:r>
      <w:r w:rsidRPr="004020C5">
        <w:t>suggested, by instances where parents had interacted with police, mental health or hospitals but there</w:t>
      </w:r>
      <w:r w:rsidR="00511B3B">
        <w:t> </w:t>
      </w:r>
      <w:r w:rsidRPr="004020C5">
        <w:t>was no</w:t>
      </w:r>
      <w:r w:rsidR="00C57370">
        <w:t> </w:t>
      </w:r>
      <w:r w:rsidRPr="004020C5">
        <w:t>record of</w:t>
      </w:r>
      <w:r w:rsidR="0094215D">
        <w:t> </w:t>
      </w:r>
      <w:r w:rsidRPr="004020C5">
        <w:t>concerns related to DFV, AOD use and MH issues in their child’s Helpline reports. However,</w:t>
      </w:r>
      <w:r w:rsidR="00C57370">
        <w:t> </w:t>
      </w:r>
      <w:r w:rsidRPr="004020C5">
        <w:t>data</w:t>
      </w:r>
      <w:r w:rsidR="00C57370">
        <w:t> </w:t>
      </w:r>
      <w:r w:rsidRPr="004020C5">
        <w:t>on</w:t>
      </w:r>
      <w:r w:rsidR="00C57370">
        <w:t> </w:t>
      </w:r>
      <w:r w:rsidRPr="004020C5">
        <w:t>parents’ interactions with services also reinforce the Helpline information with over 40 per cent of</w:t>
      </w:r>
      <w:r w:rsidR="00C57370">
        <w:t> </w:t>
      </w:r>
      <w:r w:rsidRPr="004020C5">
        <w:t>children who have parental DFV (either alone or in conjunction with parental AOD use and/or MH issues) flagged</w:t>
      </w:r>
      <w:r w:rsidR="00511B3B">
        <w:t> </w:t>
      </w:r>
      <w:r w:rsidRPr="004020C5">
        <w:t>in</w:t>
      </w:r>
      <w:r w:rsidR="00C57370">
        <w:t> </w:t>
      </w:r>
      <w:r w:rsidRPr="004020C5">
        <w:t>child concern reports having at</w:t>
      </w:r>
      <w:r w:rsidR="0094215D">
        <w:t> </w:t>
      </w:r>
      <w:r w:rsidRPr="004020C5">
        <w:t>least one parent, predominantly a mother, who is recorded in police reports</w:t>
      </w:r>
      <w:r w:rsidR="00511B3B">
        <w:t> </w:t>
      </w:r>
      <w:r w:rsidRPr="004020C5">
        <w:t>as</w:t>
      </w:r>
      <w:r w:rsidR="00511B3B">
        <w:t> </w:t>
      </w:r>
      <w:r w:rsidRPr="004020C5">
        <w:t>a</w:t>
      </w:r>
      <w:r w:rsidR="00511B3B">
        <w:t> </w:t>
      </w:r>
      <w:r w:rsidRPr="004020C5">
        <w:t>victim</w:t>
      </w:r>
      <w:r w:rsidR="00511B3B">
        <w:t> </w:t>
      </w:r>
      <w:r w:rsidRPr="004020C5">
        <w:t>of</w:t>
      </w:r>
      <w:r w:rsidR="00C57370">
        <w:t> </w:t>
      </w:r>
      <w:r w:rsidRPr="004020C5">
        <w:t>a DFV incident prior to the children’s first Helpline report.</w:t>
      </w:r>
    </w:p>
    <w:p w14:paraId="01A13151" w14:textId="666A1F80" w:rsidR="004020C5" w:rsidRPr="004020C5" w:rsidRDefault="004020C5" w:rsidP="004020C5">
      <w:pPr>
        <w:pStyle w:val="BodySerif"/>
      </w:pPr>
      <w:r w:rsidRPr="004020C5">
        <w:t>In alignment with the cumulative risk framework (Raviv et al., 2010), there are strong associations between the presence of parental DFV and its co-occurrence with parental AOD use and/or MH issues and child protection involvement as</w:t>
      </w:r>
      <w:r w:rsidR="0094215D">
        <w:t> </w:t>
      </w:r>
      <w:r w:rsidRPr="004020C5">
        <w:t>well as the use of other services. Children who had a child concern report related to DFV only or in combination with parental AOD use and/or MH issues were younger when the first report was made to the Helpline than children for whom these concerns were not reported. The presence of parental AOD use and/or MH issues alongside DFV is</w:t>
      </w:r>
      <w:r w:rsidR="0094215D">
        <w:t> </w:t>
      </w:r>
      <w:r w:rsidRPr="004020C5">
        <w:t>associated with increased numbers of reports – more than three times as many reports when two risk factors were identified and more than four times as many reports when all three factors were reported. Likewise, the presence of</w:t>
      </w:r>
      <w:r w:rsidR="0094215D">
        <w:t> </w:t>
      </w:r>
      <w:r w:rsidRPr="004020C5">
        <w:t>parental AOD use or MH issues with DFV is associated with almost three times the rate of RoSH reports as DFV alone and this increases to more than six times when all three factors are reported. As indicated by the cumulative risk framework (Raviv et al., 2010), the number or combination of risks facing the child’s caregiver is associated with child protection involvement, rather than the presence of a specific risk factor.</w:t>
      </w:r>
    </w:p>
    <w:p w14:paraId="1FEDAA0C" w14:textId="0445A192" w:rsidR="004020C5" w:rsidRPr="004020C5" w:rsidRDefault="004020C5" w:rsidP="004020C5">
      <w:pPr>
        <w:pStyle w:val="BodySerif"/>
      </w:pPr>
      <w:r w:rsidRPr="004020C5">
        <w:t>These findings align with current safety and risk assessment practice in DCJ which recognises the associations of DFV, MH issues and AOD use with children’s safety. DCJ use a suite of Structured Decision Making (SDM) tools to support decisions and assessments made surrounding the safety and risk of children living with a household member subject to</w:t>
      </w:r>
      <w:r w:rsidR="0094215D">
        <w:t> </w:t>
      </w:r>
      <w:r w:rsidRPr="004020C5">
        <w:t>a</w:t>
      </w:r>
      <w:r w:rsidR="0094215D">
        <w:t> </w:t>
      </w:r>
      <w:r w:rsidRPr="004020C5">
        <w:t>RoSH report in NSW. SARA is the acronym for “safety and risk assessment” and encompasses “safety assessments” that support decisions concerning the child’s safety in the household and the need for a safety plan, and</w:t>
      </w:r>
      <w:r w:rsidR="0094215D">
        <w:t> </w:t>
      </w:r>
      <w:r w:rsidRPr="004020C5">
        <w:t>“risk</w:t>
      </w:r>
      <w:r w:rsidR="0094215D">
        <w:t> </w:t>
      </w:r>
      <w:r w:rsidRPr="004020C5">
        <w:t>assessments” that guide the practitioner in deciding whether a case requires ongoing services or may be closed (Curijo,</w:t>
      </w:r>
      <w:r w:rsidR="0094215D">
        <w:t> </w:t>
      </w:r>
      <w:r w:rsidRPr="004020C5">
        <w:t>2021). Criteria that inform a safety assessment include, among others, “drug use impairing parenting”, “domestic/family violence”, “psychological harm”, and “parent unable to provide care”. Ultimately, this model of risk assessment is designed to elicit professional judgement to guide decision making and classifies families according to the likelihood of subsequent or ongoing child maltreatment (Curijo, 2021).</w:t>
      </w:r>
    </w:p>
    <w:p w14:paraId="7BA15BFC" w14:textId="628A0D28" w:rsidR="004020C5" w:rsidRPr="004020C5" w:rsidRDefault="004020C5" w:rsidP="004020C5">
      <w:pPr>
        <w:pStyle w:val="BodySerif"/>
      </w:pPr>
      <w:r w:rsidRPr="004020C5">
        <w:t>This association is also observed in entries to OOHC. Controlling for other factors, additional risk factors were associated with odds of entry relative to having only experienced DFV alone: by 0.53 times for parental DFV alongside AOD use or MH issues and by 2.1 times for co-occurring DFV, AOD use and MH issues. This suggests that children are more likely to enter OOHC within the year after their first child concern report when they were experiencing all three co</w:t>
      </w:r>
      <w:r w:rsidR="0094215D">
        <w:noBreakHyphen/>
      </w:r>
      <w:r w:rsidRPr="004020C5">
        <w:t>occurring risk factors of parental DFV, AOD use and MH issues. An association between co-occurring risk factors flagged in child concern reports is also observed in service data, with more risk factors associated with, on average, more</w:t>
      </w:r>
      <w:r w:rsidR="0094215D">
        <w:t> </w:t>
      </w:r>
      <w:r w:rsidRPr="004020C5">
        <w:t>court appearances, police victim reports for DFV incidents, use of mental health services, and hospitalisations for AOD use or MH issues. NSW legislation introduced in 2018 specifies that the Children’s Court must assess whether there is</w:t>
      </w:r>
      <w:r w:rsidR="0094215D">
        <w:t> </w:t>
      </w:r>
      <w:r w:rsidRPr="004020C5">
        <w:t>a</w:t>
      </w:r>
      <w:r w:rsidR="0094215D">
        <w:t> </w:t>
      </w:r>
      <w:r w:rsidRPr="004020C5">
        <w:t>realistic possibility of restoration to parental care (also called reunification) within “a reasonable period” (within</w:t>
      </w:r>
      <w:r w:rsidR="0094215D">
        <w:t> </w:t>
      </w:r>
      <w:r w:rsidRPr="004020C5">
        <w:t>24</w:t>
      </w:r>
      <w:r w:rsidR="0094215D">
        <w:t> </w:t>
      </w:r>
      <w:r w:rsidRPr="004020C5">
        <w:t>months), as the preferred goal for children who enter OOHC (</w:t>
      </w:r>
      <w:r w:rsidRPr="004020C5">
        <w:rPr>
          <w:i/>
          <w:iCs/>
        </w:rPr>
        <w:t>Children and Young Persons [Care and Protection] Amendment Act 2018</w:t>
      </w:r>
      <w:r w:rsidRPr="004020C5">
        <w:t> [NSW]). Previous Australian research has found that reunification is less likely when parents experience substance abuse, serious mental health problems and DFV as individual and joint risk factors (Fernandez &amp; Lee, 2011), with substance abuse standing out as a key factor (Delfabbro et al., 2015). The introduction of</w:t>
      </w:r>
      <w:r w:rsidR="0094215D">
        <w:t> </w:t>
      </w:r>
      <w:r w:rsidRPr="004020C5">
        <w:t>specified timeframes for reunification places significant pressure on families experiencing complex needs, who need access to often scarce mental health, AOD and DFV services, and intensive case management.</w:t>
      </w:r>
    </w:p>
    <w:p w14:paraId="7852BEC7" w14:textId="32606BAD" w:rsidR="004020C5" w:rsidRPr="004020C5" w:rsidRDefault="004020C5" w:rsidP="00CA3658">
      <w:pPr>
        <w:pStyle w:val="BodySerif"/>
        <w:keepNext/>
        <w:keepLines/>
      </w:pPr>
      <w:r w:rsidRPr="004020C5">
        <w:lastRenderedPageBreak/>
        <w:t>Children whose families experienced DFV in combination with AOD use and MH issues showed greater likelihood of</w:t>
      </w:r>
      <w:r w:rsidR="0094215D">
        <w:t> </w:t>
      </w:r>
      <w:r w:rsidRPr="004020C5">
        <w:t>entering OOHC. It is important to recognise the potential for early intervention to support families in need. For</w:t>
      </w:r>
      <w:r w:rsidR="0094215D">
        <w:t> </w:t>
      </w:r>
      <w:r w:rsidRPr="004020C5">
        <w:t>a</w:t>
      </w:r>
      <w:r w:rsidR="0094215D">
        <w:t> </w:t>
      </w:r>
      <w:r w:rsidRPr="004020C5">
        <w:t>subsample of children, the study identified geographic areas in NSW where families experiencing DFV only and DFV in combination with AOD use and MH issues are more likely to be reported to child protection. These identified areas should be familiar to policymakers and practitioners aware of the geography of disadvantage in NSW, with nearly four-fifths (79%) of the SA2 regions represented in the top quartile of co-occurring risk factors having a SEIFA decile of</w:t>
      </w:r>
      <w:r w:rsidR="0094215D">
        <w:t> </w:t>
      </w:r>
      <w:r w:rsidRPr="004020C5">
        <w:t>4 or lower.</w:t>
      </w:r>
      <w:r w:rsidR="00511B3B">
        <w:rPr>
          <w:rStyle w:val="FootnoteReference"/>
        </w:rPr>
        <w:footnoteReference w:id="7"/>
      </w:r>
      <w:r w:rsidRPr="004020C5">
        <w:t> The geographic distribution of families experiencing parental DFV alone and in combination with parental AOD use and MH issues in rural and remote as well as regional and urban areas highlights the importance of</w:t>
      </w:r>
      <w:r w:rsidR="0094215D">
        <w:t> </w:t>
      </w:r>
      <w:r w:rsidRPr="004020C5">
        <w:t>service access and pathways that are responsive to place-based needs and reach families before they are in crisis.</w:t>
      </w:r>
    </w:p>
    <w:p w14:paraId="196DD401" w14:textId="5BC52020" w:rsidR="004020C5" w:rsidRPr="004020C5" w:rsidRDefault="004020C5" w:rsidP="004020C5">
      <w:pPr>
        <w:pStyle w:val="BodySerif"/>
      </w:pPr>
      <w:r w:rsidRPr="004020C5">
        <w:t>The location-based findings need to be interpreted with caution. Investigations into policing practices suggest that some communities, including Aboriginal and Torres Strait Islander communities, are disproportionately surveilled by police (Law Enforcement Conduct Commission, 2020; Redfern Legal Centre, 2023), which could inflate the number of records in areas where these communities live. There is also limited health and police access in some rural and remote regions, which may reduce the likelihood of reports to child protection. It is also crucial to note that areas of high socio-economic disadvantage often have less access to services and resources that promote wellbeing and could help families and communities break cycles of ill health and violence (Australian Institute of Health and Welfare [AIHW], 2022b). In</w:t>
      </w:r>
      <w:r w:rsidR="0094215D">
        <w:t> </w:t>
      </w:r>
      <w:r w:rsidRPr="004020C5">
        <w:t>addition, there are associations between the effects of trauma and socio-economic wellbeing (AIHW, 2022c; Abedzadeh-Kalahroudi et al., 2018; Brattström et al., 2015). Individuals who have experienced trauma are more likely to</w:t>
      </w:r>
      <w:r w:rsidR="0094215D">
        <w:t> </w:t>
      </w:r>
      <w:r w:rsidRPr="004020C5">
        <w:t>face socio-economic challenges due to disruptions to education and employment opportunities. Combined with cumulative stress and the limited access to resources to assist, this may then further exacerbate socio-economic disparities. Overall, the relationships between child protection involvement with factors such as geographic location, socio-economic disadvantage, health care, policing resources and housing are complex and multi-faceted. Parental DFV, AOD use and MH issues are a serious problem in communities across NSW; the findings are intended to highlight areas in NSW which would benefit from additional DFV, AOD and MH services – areas where health, social and psychological support services for families may have been under-resourced until now.</w:t>
      </w:r>
    </w:p>
    <w:p w14:paraId="256AD9A5" w14:textId="1257D0C1" w:rsidR="004020C5" w:rsidRPr="004020C5" w:rsidRDefault="004020C5" w:rsidP="004020C5">
      <w:pPr>
        <w:pStyle w:val="BodySerif"/>
      </w:pPr>
      <w:r w:rsidRPr="004020C5">
        <w:t>This study also found relatively low participation in the voluntary Brighter Futures program with only a small fraction</w:t>
      </w:r>
      <w:r w:rsidR="0094215D">
        <w:t> </w:t>
      </w:r>
      <w:r w:rsidRPr="004020C5">
        <w:t>of</w:t>
      </w:r>
      <w:r w:rsidR="0094215D">
        <w:t> </w:t>
      </w:r>
      <w:r w:rsidRPr="004020C5">
        <w:t>parents (10% of mothers and 4% of “other” parents) of children aged under 9 participating in the program. While</w:t>
      </w:r>
      <w:r w:rsidR="0094215D">
        <w:t> </w:t>
      </w:r>
      <w:r w:rsidRPr="004020C5">
        <w:t>the</w:t>
      </w:r>
      <w:r w:rsidR="0094215D">
        <w:t> </w:t>
      </w:r>
      <w:r w:rsidRPr="004020C5">
        <w:t>Brighter Futures program is targeted to families who experience DFV, MH issues and AOD use where the number of</w:t>
      </w:r>
      <w:r w:rsidR="0094215D">
        <w:t> </w:t>
      </w:r>
      <w:r w:rsidRPr="004020C5">
        <w:t>RoSH reports is not high and for whom restoration is the likely case plan goal, the low uptake suggests that there may be</w:t>
      </w:r>
      <w:r w:rsidR="0094215D">
        <w:t> </w:t>
      </w:r>
      <w:r w:rsidRPr="004020C5">
        <w:t>selection bias in which only certain families accept the offer, or it may reflect current risk thresholds or</w:t>
      </w:r>
      <w:r w:rsidR="0094215D">
        <w:t> </w:t>
      </w:r>
      <w:r w:rsidRPr="004020C5">
        <w:t>issues with referral processes, service availability or capacity. It is difficult to examine the associations between parent</w:t>
      </w:r>
      <w:r w:rsidR="0094215D">
        <w:t> </w:t>
      </w:r>
      <w:r w:rsidRPr="004020C5">
        <w:t>participation in the Brighter Futures program and entry to OOHC for their children using available data. Such</w:t>
      </w:r>
      <w:r w:rsidR="0094215D">
        <w:t> </w:t>
      </w:r>
      <w:r w:rsidRPr="004020C5">
        <w:t>an</w:t>
      </w:r>
      <w:r w:rsidR="0094215D">
        <w:t> </w:t>
      </w:r>
      <w:r w:rsidRPr="004020C5">
        <w:t>examination would require further investigations and better data collection mechanisms to unpack the role of</w:t>
      </w:r>
      <w:r w:rsidR="0094215D">
        <w:t> </w:t>
      </w:r>
      <w:r w:rsidRPr="004020C5">
        <w:t>early intervention programs for families experiencing multiple risk factors.</w:t>
      </w:r>
    </w:p>
    <w:p w14:paraId="0F2C5A06" w14:textId="11BAACE7" w:rsidR="004020C5" w:rsidRPr="004020C5" w:rsidRDefault="004020C5" w:rsidP="004020C5">
      <w:pPr>
        <w:pStyle w:val="BodySerif"/>
      </w:pPr>
      <w:r w:rsidRPr="004020C5">
        <w:t>This study adds to the body of evidence on families with complex needs including parental DFV, AOD use and/or MH issues and their interactions with child protection systems. As noted in the introduction, there has been little empirical research exploring these issues using administrative data in the Australian context, and, with the previous studies conducted in Queensland, Western Australia (Orr et al., 2019; O’Leary et al., 2020) and an unnamed Australian jurisdiction (Meikans et al., 2021), this is the first study reporting on NSW. Unlike the studies reported in the introduction, this study contributes to the literature by tracking prevalence in the co-occurrence of DFV, AOD use or</w:t>
      </w:r>
      <w:r w:rsidR="0094215D">
        <w:t> </w:t>
      </w:r>
      <w:r w:rsidRPr="004020C5">
        <w:t>MH issues in families over time and associations with rates of entry into OOHC. The findings reinforce other research, including from the STACY project (Humphreys et al., 2020; Heward-Belle et al., 2020), on the overlapping experiences of DFV, AOD use and MH issues in the lives of families who come to the attention of child protection and the exacerbation of child protection concerns leading to entry to care in the absence of early intervention.</w:t>
      </w:r>
    </w:p>
    <w:p w14:paraId="33864BCE" w14:textId="0085CDD7" w:rsidR="004020C5" w:rsidRPr="004020C5" w:rsidRDefault="004020C5" w:rsidP="00CA3658">
      <w:pPr>
        <w:pStyle w:val="H3"/>
        <w:keepLines/>
      </w:pPr>
      <w:bookmarkStart w:id="33" w:name="_Toc191286658"/>
      <w:r w:rsidRPr="004020C5">
        <w:lastRenderedPageBreak/>
        <w:t>Strengths and limitations</w:t>
      </w:r>
      <w:bookmarkEnd w:id="33"/>
    </w:p>
    <w:p w14:paraId="4216FD72" w14:textId="2836706C" w:rsidR="004020C5" w:rsidRPr="004020C5" w:rsidRDefault="004020C5" w:rsidP="00CA3658">
      <w:pPr>
        <w:pStyle w:val="BodySerif"/>
        <w:keepNext/>
        <w:keepLines/>
      </w:pPr>
      <w:r w:rsidRPr="004020C5">
        <w:t>As noted in the background section of this report, there is very little research literature that has empirically examined the co-occurrence of DFV, AOD use and MH issues with child protection involvement for families in Australia. For the first time, this study has generated population-level statistics on the co-occurrence of DFV, AOD use and MH issues with child protection involvement in NSW.</w:t>
      </w:r>
    </w:p>
    <w:p w14:paraId="0705CF91" w14:textId="21562D2E" w:rsidR="004020C5" w:rsidRPr="004020C5" w:rsidRDefault="004020C5" w:rsidP="00CA3658">
      <w:pPr>
        <w:pStyle w:val="BodySerif"/>
        <w:keepNext/>
        <w:keepLines/>
      </w:pPr>
      <w:r w:rsidRPr="004020C5">
        <w:t>The strengths of the study highlight the value of linked administrative data. First, there is a line of sight that is not available through other data sources. The study used data collected across different service systems rather than relying exclusively on administrative data compiled by child protection workers. This allows for confirmation of the presence of</w:t>
      </w:r>
      <w:r w:rsidR="0094215D">
        <w:t> </w:t>
      </w:r>
      <w:r w:rsidRPr="004020C5">
        <w:t>risk factors in other data sources (e.g. whether DFV reported in police data emerges in child protection data), and the ability to uncover risk factors that may be otherwise unknown and undercounted (e.g. where DFV emerges in police data but not child protection data). Second, the whole population of children involved with child protection is included in the study, not a sample that has self-nominated to take part in research. This minimises sampling bias and the bias that can come from missing data if participants are lost to follow-up or withdraw from a study. However, it should be noted that there were issues in this study where the sample was reduced due to an inability to link parent records to all children in</w:t>
      </w:r>
      <w:r w:rsidR="0094215D">
        <w:t> </w:t>
      </w:r>
      <w:r w:rsidRPr="004020C5">
        <w:t>the child protection dataset. Third, there is also the advantage of being able to measure trajectories over long periods of time. In this case, it is possible to observe the nature of child concern reports and association with subsequent entry to</w:t>
      </w:r>
      <w:r w:rsidR="0094215D">
        <w:t> </w:t>
      </w:r>
      <w:r w:rsidRPr="004020C5">
        <w:t>care.</w:t>
      </w:r>
    </w:p>
    <w:p w14:paraId="04F8964A" w14:textId="4222570B" w:rsidR="004020C5" w:rsidRPr="004020C5" w:rsidRDefault="004020C5" w:rsidP="004020C5">
      <w:pPr>
        <w:pStyle w:val="BodySerif"/>
      </w:pPr>
      <w:r w:rsidRPr="004020C5">
        <w:t>There are also limitations in the use of administrative data for research in the context of child protection. First,</w:t>
      </w:r>
      <w:r w:rsidR="0094215D">
        <w:t> </w:t>
      </w:r>
      <w:r w:rsidRPr="004020C5">
        <w:t>since</w:t>
      </w:r>
      <w:r w:rsidR="0094215D">
        <w:t> </w:t>
      </w:r>
      <w:r w:rsidRPr="004020C5">
        <w:t>administrative data are not collected for research purposes, key variables are sometimes not documented in</w:t>
      </w:r>
      <w:r w:rsidR="0094215D">
        <w:t> </w:t>
      </w:r>
      <w:r w:rsidRPr="004020C5">
        <w:t>the dataset. Similarly, the depth and quality of information recorded in the dataset may be insufficient for research purposes. That is, administrative data may not capture information that offers a complete picture of individual, familial and environmental factors and circumstances that are relevant for research purposes. For example, cultural background is</w:t>
      </w:r>
      <w:r w:rsidR="0094215D">
        <w:t> </w:t>
      </w:r>
      <w:r w:rsidRPr="004020C5">
        <w:t>not consistently recorded, and it was not possible to calculate the number of siblings each child had at their first child concern report due to data quality and availability issues. However, linked administrative data can overcome some of</w:t>
      </w:r>
      <w:r w:rsidR="0094215D">
        <w:t> </w:t>
      </w:r>
      <w:r w:rsidRPr="004020C5">
        <w:t>these limitations by including data collected across multiple and different service systems with clear indications of</w:t>
      </w:r>
      <w:r w:rsidR="0094215D">
        <w:t> </w:t>
      </w:r>
      <w:r w:rsidRPr="004020C5">
        <w:t>the</w:t>
      </w:r>
      <w:r w:rsidR="0094215D">
        <w:t> </w:t>
      </w:r>
      <w:r w:rsidRPr="004020C5">
        <w:t>timing for each interaction or event.</w:t>
      </w:r>
    </w:p>
    <w:p w14:paraId="4FAA5997" w14:textId="66016E9D" w:rsidR="004020C5" w:rsidRPr="004020C5" w:rsidRDefault="004020C5" w:rsidP="004020C5">
      <w:pPr>
        <w:pStyle w:val="BodySerif"/>
      </w:pPr>
      <w:r w:rsidRPr="004020C5">
        <w:t>Second, under-reporting or under-recording can lead to a biased understanding of the incidence of particular risk factors or outcomes. For example, there may be a bias towards reporting physical violence and under-reporting of other forms of</w:t>
      </w:r>
      <w:r w:rsidR="0094215D">
        <w:t> </w:t>
      </w:r>
      <w:r w:rsidRPr="004020C5">
        <w:t>violence. In addition, lack of available data for particularly hard-to-reach cohorts may impact the generalisability of</w:t>
      </w:r>
      <w:r w:rsidR="0094215D">
        <w:t> </w:t>
      </w:r>
      <w:r w:rsidRPr="004020C5">
        <w:t>results across a population. For example, data about fathers is often not routinely captured by child protection services but is captured about mothers. This can result in correlations being made about maternal characteristics and child protection involvement that may be misleading and that do not accurately convey the influence of fathers’ behaviours on</w:t>
      </w:r>
      <w:r w:rsidR="0094215D">
        <w:t> </w:t>
      </w:r>
      <w:r w:rsidRPr="004020C5">
        <w:t>child safety and wellbeing. Understanding paternal characteristics and child protection involvement is particularly salient in this context given that perpetrators of DFV are predominantly fathers. Yet little data is collected about them hence it is difficult to develop and implement policy to redress the risks they pose to children and their mothers. Enhancing perpetrator accountability is a cornerstone of national policy to reduce violence against women and children. Making fathers who use domestic violence more visible within systems – including data management systems – is key to</w:t>
      </w:r>
      <w:r w:rsidR="0094215D">
        <w:t> </w:t>
      </w:r>
      <w:r w:rsidRPr="004020C5">
        <w:t>collecting accurate epidemiological data to develop meaningful policy. Issues with data linkage resulted in about 44</w:t>
      </w:r>
      <w:r w:rsidR="00BE5324">
        <w:t> </w:t>
      </w:r>
      <w:r w:rsidRPr="004020C5">
        <w:t>per cent of children unable to be linked to a parent. As the RBDM dataset used for linkage comprised only records of</w:t>
      </w:r>
      <w:r w:rsidR="00CA3658">
        <w:t> </w:t>
      </w:r>
      <w:r w:rsidRPr="004020C5">
        <w:t>children whose births were registered in NSW, there may be a degree of bias in the estimates of co-occurring risk factors and parental service interactions as the linked data excludes children born interstate or overseas. Based on the analysis conducted in this report, it appears that those children who could be linked with their parents tended to have more co</w:t>
      </w:r>
      <w:r w:rsidR="0094215D">
        <w:noBreakHyphen/>
      </w:r>
      <w:r w:rsidRPr="004020C5">
        <w:t>occurring risk factors related to parental DFV, AOD use and MH issues and more interactions with the child protection and OOHC system than those who could not be linked. There were also limitations around using the location information recorded in RBDM data as it may not reliably reflect the family’s location at first child concern report. Further studies using alternative datasets for parent-child linkage such as those held by DCJ would be able to address this</w:t>
      </w:r>
      <w:r w:rsidR="0094215D">
        <w:t> </w:t>
      </w:r>
      <w:r w:rsidRPr="004020C5">
        <w:t>limitation of the study.</w:t>
      </w:r>
    </w:p>
    <w:p w14:paraId="553BE559" w14:textId="531166EE" w:rsidR="004020C5" w:rsidRPr="004020C5" w:rsidRDefault="004020C5" w:rsidP="00CA3658">
      <w:pPr>
        <w:pStyle w:val="BodySerif"/>
        <w:keepNext/>
        <w:keepLines/>
      </w:pPr>
      <w:r w:rsidRPr="004020C5">
        <w:lastRenderedPageBreak/>
        <w:t>There are also limitations based on issues of data quality and availability due to changes in administrative data systems over time in response to legislative, policy and practice reforms precipitated by major inquiries or reviews. For example, the outcome of the Wood Special Commission of Inquiry into Child Protection Services in NSW conducted in 2008 was the KTS reforms introduced in 2009 (DCJ, 2020). With these reforms came the introduction of SDM, a comprehensive case management system that structures decisions at several key points in case processing using assessment tools (Wood,</w:t>
      </w:r>
      <w:r w:rsidR="0094215D">
        <w:t> </w:t>
      </w:r>
      <w:r w:rsidRPr="004020C5">
        <w:t>2008). As noted in the “Methods” section, NSW child protection administrative data also changed in 2003 and again in 2017. It is difficult to tease apart whether families have become more complex over time or whether there is</w:t>
      </w:r>
      <w:r w:rsidR="0058769B">
        <w:t> </w:t>
      </w:r>
      <w:r w:rsidRPr="004020C5">
        <w:t>simply more information about these families. Further, increases or reductions in types of maltreatment may not only reflect changes in family behaviours but also changes in the actions and decisions of practitioners and their managers. While the analysis attempted to account for changes in policy over time, more research is needed to unpack how different child protection and OOHC policy reforms introduced in the last decade have influenced risk categorisation and</w:t>
      </w:r>
      <w:r w:rsidR="00CA3658">
        <w:t> </w:t>
      </w:r>
      <w:r w:rsidRPr="004020C5">
        <w:t>assessment.</w:t>
      </w:r>
    </w:p>
    <w:p w14:paraId="75DA6BF5" w14:textId="5BD1FE10" w:rsidR="004020C5" w:rsidRPr="004020C5" w:rsidRDefault="004020C5" w:rsidP="004020C5">
      <w:pPr>
        <w:pStyle w:val="BodySerif"/>
      </w:pPr>
      <w:r w:rsidRPr="004020C5">
        <w:t>Data on parental service usage is also limited. For example, more data collection is needed around interventions for high</w:t>
      </w:r>
      <w:r w:rsidR="0058769B">
        <w:noBreakHyphen/>
      </w:r>
      <w:r w:rsidRPr="004020C5">
        <w:t>risk families as the present study was not able to examine engagement in intensive family preservation programs (e.g. IFS-IFP) given its limited timeframe of available data. Further, no data are available in the HSDS on use and effectiveness of DFV services. Similarly, there is limited information on AOD treatments other than from hospital admissions. As mentioned in “Methods”, the diagnostic criteria used to categorise parental hospitalisation for AOD issues may overestimate actual incidence because the variable also captures non-AOD reasons for hospitalisation, such as injury and allergic reactions. It would be valuable to utilise other types of diagnostic criteria in future studies to</w:t>
      </w:r>
      <w:r w:rsidR="0058769B">
        <w:t> </w:t>
      </w:r>
      <w:r w:rsidRPr="004020C5">
        <w:t>provide a better indicator of AOD hospitalisations, such as the International Classification of Diseases (ICD), Australian Classification of Health Interventions (ACHI) or Australian Refined Diagnosis Related Group (AR-DRG) codes. In addition, while not available to the investigators or necessarily in alignment with the time period used in this study, alternative datasets on AOD use, such as the Alcohol and Other Drug Treatment Services National Minimum Data Set (AODTS NMDS) and Non-Admitted Patient (NAP) Data Collection, may be useful for future explorations. The</w:t>
      </w:r>
      <w:r w:rsidR="0058769B">
        <w:t> </w:t>
      </w:r>
      <w:r w:rsidRPr="004020C5">
        <w:t>NAP captures valuable information about domestic and family violence support provided by NSW Health and enables an</w:t>
      </w:r>
      <w:r w:rsidR="0058769B">
        <w:t> </w:t>
      </w:r>
      <w:r w:rsidRPr="004020C5">
        <w:t>additional perspective on engagement with family support services.</w:t>
      </w:r>
    </w:p>
    <w:p w14:paraId="576C9408" w14:textId="2478309E" w:rsidR="004020C5" w:rsidRPr="004020C5" w:rsidRDefault="004020C5" w:rsidP="004020C5">
      <w:pPr>
        <w:pStyle w:val="BodySerif"/>
      </w:pPr>
      <w:r w:rsidRPr="004020C5">
        <w:t>It is also noted that the study is limited in its focus on specific initiatives within government agencies that involve design</w:t>
      </w:r>
      <w:r w:rsidR="0058769B">
        <w:t> </w:t>
      </w:r>
      <w:r w:rsidRPr="004020C5">
        <w:t>and implementation of programs and services to address the intersection of parental DFV, AOD use and MH issues because these data were not available within the HSDS. For instance, NSW Health has made significant progress under strategic direction set out in their Violence, Abuse and Neglect Redesign Program and Integrated Prevention and Response to Violence, Abuse and Neglect Framework (NSW Ministry of Health, 2019). Specific programs in NSW Health targeted to children and families include: the Domestic Violence Routine Screening Program that mandates domestic violence routine screening in AOD and MH settings; specialist services such as Whole Family Teams that provide in-home and community-based interventions for children and families with complex MH and AOD issues where</w:t>
      </w:r>
      <w:r w:rsidR="0058769B">
        <w:t> </w:t>
      </w:r>
      <w:r w:rsidRPr="004020C5">
        <w:t>one or more children have a substantiated RoSH report; the Child Wellbeing Unit, an early intervention model that supports health care, education and NSW Police frontline staff with responding to intersections of parental DFV, AOD</w:t>
      </w:r>
      <w:r w:rsidR="0058769B">
        <w:t> </w:t>
      </w:r>
      <w:r w:rsidRPr="004020C5">
        <w:t>use and MH issues; and the SAFE START model that focuses on early identification of psychosocial risk and depressive symptoms and timely access to appropriate interventions for pregnant women and families with infants up</w:t>
      </w:r>
      <w:r w:rsidR="0058769B">
        <w:t> </w:t>
      </w:r>
      <w:r w:rsidRPr="004020C5">
        <w:t>to</w:t>
      </w:r>
      <w:r w:rsidR="0058769B">
        <w:t> </w:t>
      </w:r>
      <w:r w:rsidRPr="004020C5">
        <w:t>two years of age and is delivered in each local health district. The significance of such programs in the service landscape underscores the need for routine data collection and sharing of data by agencies to provide a complete picture</w:t>
      </w:r>
      <w:r w:rsidR="0058769B">
        <w:t> </w:t>
      </w:r>
      <w:r w:rsidRPr="004020C5">
        <w:t>of child and family needs and engagement.</w:t>
      </w:r>
    </w:p>
    <w:p w14:paraId="7B77E4D3" w14:textId="0E64112B" w:rsidR="004020C5" w:rsidRPr="004020C5" w:rsidRDefault="004020C5" w:rsidP="004020C5">
      <w:pPr>
        <w:pStyle w:val="BodySerif"/>
      </w:pPr>
      <w:r w:rsidRPr="004020C5">
        <w:t>Finally, and most importantly for families, risk factors exist on a continuum in relation to their impact on children. However, the available data for this study do not capture these nuances. Instead, the research could only capture these as</w:t>
      </w:r>
      <w:r w:rsidR="0058769B">
        <w:t> </w:t>
      </w:r>
      <w:r w:rsidRPr="004020C5">
        <w:t>the presence or absence of risk factors as an all or nothing phenomenon based upon the imperfect proxies of child concern reports and service usage records. These limited data do not allow for discernment of the degrees to which these risk factors interfere with caregiving ability. Future research that included scoring from actuarial risk tools, like the SDM tool, could shed light on the degree to which these risk factors impact upon parenting.</w:t>
      </w:r>
    </w:p>
    <w:p w14:paraId="41925E66" w14:textId="1A64EB81" w:rsidR="004020C5" w:rsidRPr="004020C5" w:rsidRDefault="004020C5" w:rsidP="00CA3658">
      <w:pPr>
        <w:pStyle w:val="H3"/>
        <w:keepLines/>
      </w:pPr>
      <w:bookmarkStart w:id="34" w:name="_Toc191286659"/>
      <w:r w:rsidRPr="004020C5">
        <w:lastRenderedPageBreak/>
        <w:t>Directions for future research</w:t>
      </w:r>
      <w:bookmarkEnd w:id="34"/>
    </w:p>
    <w:p w14:paraId="273C50B0" w14:textId="6F82D47A" w:rsidR="004020C5" w:rsidRPr="004020C5" w:rsidRDefault="004020C5" w:rsidP="00CA3658">
      <w:pPr>
        <w:pStyle w:val="BodySerif"/>
        <w:keepNext/>
        <w:keepLines/>
      </w:pPr>
      <w:r w:rsidRPr="004020C5">
        <w:t>Future research can delve more deeply into these data and more comprehensively explore the experiences of families with intersecting DFV, AOD use and MH issues. For instance, future studies could construct “profiles” of these families based on incidence, combinations of risk factors and likely outcomes. Event history analysis methods, such as survival analysis, could also be used to account for differences in follow-up time to further explore the influence of co-occurring risk factors on entry into OOHC. In addition, there could be a further unpacking of the concentration and distribution of</w:t>
      </w:r>
      <w:r w:rsidR="0058769B">
        <w:t> </w:t>
      </w:r>
      <w:r w:rsidRPr="004020C5">
        <w:t>child concern reports for children throughout their involvement with the child protection system. For example, future</w:t>
      </w:r>
      <w:r w:rsidR="00CA3658">
        <w:t> </w:t>
      </w:r>
      <w:r w:rsidRPr="004020C5">
        <w:t>analyses could explore whether child concern reports are clustered around certain periods of events or are sporadic and spaced apart over time as well as the contribution of having siblings reported together or already in the child protection system, which could suggest different types of family dynamics or characteristics. This would include an</w:t>
      </w:r>
      <w:r w:rsidR="00CA3658">
        <w:t> </w:t>
      </w:r>
      <w:r w:rsidRPr="004020C5">
        <w:t>examination of</w:t>
      </w:r>
      <w:r w:rsidR="0058769B">
        <w:t> </w:t>
      </w:r>
      <w:r w:rsidRPr="004020C5">
        <w:t>issues recorded at phases beyond the Helpline stage including those recorded in risk and field assessments. According</w:t>
      </w:r>
      <w:r w:rsidR="0058769B">
        <w:t> </w:t>
      </w:r>
      <w:r w:rsidRPr="004020C5">
        <w:t>to the Australian Institute of Health and Welfare (2022a), only about a third of notifications are investigated. The RoSH indicator used in the current study only captures risks for children at Helpline which may be less precise than face-to-face assessments. Future studies can distinguish between recording of co-occurring risk factors of</w:t>
      </w:r>
      <w:r w:rsidR="00CA3658">
        <w:t> </w:t>
      </w:r>
      <w:r w:rsidRPr="004020C5">
        <w:t>DFV, AOD</w:t>
      </w:r>
      <w:r w:rsidR="0058769B">
        <w:t> </w:t>
      </w:r>
      <w:r w:rsidRPr="004020C5">
        <w:t>use and MH issues at Helpline compared to subsequent assessments and whether there are differences in</w:t>
      </w:r>
      <w:r w:rsidR="0058769B">
        <w:t> </w:t>
      </w:r>
      <w:r w:rsidRPr="004020C5">
        <w:t>reporting</w:t>
      </w:r>
      <w:r w:rsidR="0058769B">
        <w:t> </w:t>
      </w:r>
      <w:r w:rsidRPr="004020C5">
        <w:t>and risk assessment across geographic regions.</w:t>
      </w:r>
    </w:p>
    <w:p w14:paraId="4FF03D6A" w14:textId="6BBEA096" w:rsidR="004020C5" w:rsidRPr="00CA3658" w:rsidRDefault="004020C5" w:rsidP="00CA3658">
      <w:pPr>
        <w:pStyle w:val="BodySerif"/>
        <w:spacing w:before="220" w:after="0" w:afterAutospacing="0"/>
      </w:pPr>
      <w:r w:rsidRPr="00CA3658">
        <w:t>Further exploration of the type of reporters who contact the Helpline would assist in determining whether reports are driven by professionals in health and law enforcement or whether reports are themselves driving interactions with systems outside of child protection. This could also help discern whether initial reports are centred on DFV with the emergence of later co</w:t>
      </w:r>
      <w:r w:rsidR="00CA3658" w:rsidRPr="00CA3658">
        <w:noBreakHyphen/>
      </w:r>
      <w:r w:rsidRPr="00CA3658">
        <w:t>occurring issues of AOD use and/or MH issues, or whether these issues are co-occurring from the start of child protection involvement. Future research utilising administrative data could also examine other challenges facing families including disability, homelessness, poverty, factors associated with the impact of historic and ongoing colonisation, intergenerational trauma, and other indicators of drug use or treatment such as the Controlled Drugs Data Collection (CoDDaC).</w:t>
      </w:r>
    </w:p>
    <w:p w14:paraId="4E70DE4E" w14:textId="63F0FA4B" w:rsidR="004020C5" w:rsidRPr="004020C5" w:rsidRDefault="004020C5" w:rsidP="00CA3658">
      <w:pPr>
        <w:pStyle w:val="BodySerif"/>
        <w:spacing w:before="220" w:after="0" w:afterAutospacing="0"/>
      </w:pPr>
      <w:r w:rsidRPr="004020C5">
        <w:t>An exploration of protective factors that mitigate the likelihood of children entering the child protection system would complement this study’s focus on risk. For instance, future analyses could approach the data from a different perspective: by first considering parents’ records of interactions with specific services (i.e. police victim reports, court records, mental health service use, and hospitalisations for MH issues and/or AOD use), and then examining whether their children have a child concern report in the child protection system. Moreover, future research must explore the adequacy of policy and practice in relation to the extent to which it is “domestic violence informed” and targeted at ensuring that women survivors and their children are assisted to remain “safe and together”. Moreover, future research must explore the extent to which efforts are made to hold perpetrators of domestic violence accountable and, where appropriate, invite them to engage in behavioural change. Future research should also seek to understand what efforts are made to help children heal from their experiences and the extent to which they are seen as individual survivors who have their own unique needs which are commonly overlooked.</w:t>
      </w:r>
    </w:p>
    <w:p w14:paraId="5B0D2529" w14:textId="187E1180" w:rsidR="004020C5" w:rsidRPr="004020C5" w:rsidRDefault="004020C5" w:rsidP="00CA3658">
      <w:pPr>
        <w:pStyle w:val="BodySerif"/>
        <w:spacing w:before="220" w:after="0" w:afterAutospacing="0"/>
      </w:pPr>
      <w:r w:rsidRPr="004020C5">
        <w:t>There is an overrepresentation of Aboriginal and Torres Strait Islander children in the OOHC system. This study did not</w:t>
      </w:r>
      <w:r w:rsidR="0058769B">
        <w:t> </w:t>
      </w:r>
      <w:r w:rsidRPr="004020C5">
        <w:t>specifically focus on Aboriginal and Torres Strait Islander children, and the research team does not include Aboriginal</w:t>
      </w:r>
      <w:r w:rsidR="0058769B">
        <w:t> </w:t>
      </w:r>
      <w:r w:rsidRPr="004020C5">
        <w:t>or</w:t>
      </w:r>
      <w:r w:rsidR="0058769B">
        <w:t> </w:t>
      </w:r>
      <w:r w:rsidRPr="004020C5">
        <w:t>Torres Strait Islander researchers. These factors limit the capacity of this report to make practice and policy recommendations in relation to Aboriginal and Torres Strait Islander families. Future analyses are needed to</w:t>
      </w:r>
      <w:r w:rsidR="0058769B">
        <w:t> </w:t>
      </w:r>
      <w:r w:rsidRPr="004020C5">
        <w:t>distinguish the prevalence and co-occurrence of risk factors and parental service interactions for Aboriginal and Torres Strait Islander children and families, for which current whole-of-population services may not be effective nor</w:t>
      </w:r>
      <w:r w:rsidR="0058769B">
        <w:t> </w:t>
      </w:r>
      <w:r w:rsidRPr="004020C5">
        <w:t>culturally safe. The sensitivity of this topic necessitates significant engagement with Aboriginal and/or Torres</w:t>
      </w:r>
      <w:r w:rsidR="0058769B">
        <w:t> </w:t>
      </w:r>
      <w:r w:rsidRPr="004020C5">
        <w:t>Strait</w:t>
      </w:r>
      <w:r w:rsidR="0058769B">
        <w:t> </w:t>
      </w:r>
      <w:r w:rsidRPr="004020C5">
        <w:t>Islander organisations and communities.</w:t>
      </w:r>
    </w:p>
    <w:p w14:paraId="22577308" w14:textId="16149FF7" w:rsidR="004020C5" w:rsidRPr="004020C5" w:rsidRDefault="004020C5" w:rsidP="00CA3658">
      <w:pPr>
        <w:pStyle w:val="BodySerif"/>
        <w:spacing w:before="220" w:after="0" w:afterAutospacing="0"/>
      </w:pPr>
      <w:r w:rsidRPr="004020C5">
        <w:t>While this study focused on parental DFV and co-occurring parental AOD use and/or MH issues, it does not preclude the potential to understand how other types of maltreatment (i.e. physical abuse, emotional abuse, sexual abuse and neglect) are tied into the complexity of issues experienced by children and families. This is important because research has identified a strong association between DFV and all maltreatment types (e.g. Devaney, 2008; Victor et al., 2019). Finally, since the analysis in the current study focused on children’s “first” entry into OOHC for pragmatic purposes, further explorations of children’s trajectories after entry into OOHC would be useful. For example, a better understanding of what happens “after</w:t>
      </w:r>
      <w:r w:rsidRPr="004020C5">
        <w:rPr>
          <w:i/>
          <w:iCs/>
        </w:rPr>
        <w:t>”</w:t>
      </w:r>
      <w:r w:rsidRPr="004020C5">
        <w:t> children enter OOHC following these co-occurring risk factors would aid in</w:t>
      </w:r>
      <w:r w:rsidR="0058769B">
        <w:t> </w:t>
      </w:r>
      <w:r w:rsidRPr="004020C5">
        <w:t>identifying possible supports and services. This includes strengthening our knowledge of how long children stay in</w:t>
      </w:r>
      <w:r w:rsidR="0058769B">
        <w:t> </w:t>
      </w:r>
      <w:r w:rsidRPr="004020C5">
        <w:t>OOHC after first entry, how many placements they have, whether they exit care through reunification or through guardianship or adoption, or re-enter care, and whether children continue to experience or be exposed to the same co</w:t>
      </w:r>
      <w:r w:rsidR="0058769B">
        <w:noBreakHyphen/>
      </w:r>
      <w:r w:rsidRPr="004020C5">
        <w:t>occurring risk factors present prior to their entry into OOHC.</w:t>
      </w:r>
    </w:p>
    <w:p w14:paraId="0FE4CB48" w14:textId="3D3AFBA7" w:rsidR="004020C5" w:rsidRPr="004020C5" w:rsidRDefault="004020C5" w:rsidP="004020C5">
      <w:pPr>
        <w:pStyle w:val="BodySerif"/>
      </w:pPr>
      <w:r w:rsidRPr="004020C5">
        <w:lastRenderedPageBreak/>
        <w:t>In building upon the findings from analysis of administrative data, futures studies should engage in a deep dive through case file data or interviews with service providers and workers to better understand the nuances of practice and data that are collected during assessment phases in relation to the co-occurrence of DFV, AOD use and MH issues.</w:t>
      </w:r>
    </w:p>
    <w:p w14:paraId="575746AC" w14:textId="1AD5198D" w:rsidR="004020C5" w:rsidRPr="004020C5" w:rsidRDefault="004020C5" w:rsidP="004020C5">
      <w:pPr>
        <w:pStyle w:val="H3"/>
      </w:pPr>
      <w:bookmarkStart w:id="35" w:name="_Toc191286660"/>
      <w:r w:rsidRPr="004020C5">
        <w:t>Implications and recommendations for policy and practice</w:t>
      </w:r>
      <w:bookmarkEnd w:id="35"/>
    </w:p>
    <w:p w14:paraId="4A3F1332" w14:textId="7C41EE91" w:rsidR="004020C5" w:rsidRPr="004020C5" w:rsidRDefault="004020C5" w:rsidP="004020C5">
      <w:pPr>
        <w:pStyle w:val="BodySerif"/>
      </w:pPr>
      <w:r w:rsidRPr="004020C5">
        <w:t>There are important policy and practice implications for early intervention. The evidence suggests that risk to children escalates in the presence of co-occurring factors by way of increased number of child concern reports, increased numbers of reports that met the RoSH threshold and a greater likelihood of entering OOHC. Models of care that integrate mental health and AOD services and therapies to address comorbidities are critical for parents experiencing these issues (Mental Health and Drug and Alcohol Office, 2015; Marel et al., 2022), as well as evidence-based trauma-specific and trauma-informed early intervention approaches for children in these contexts.</w:t>
      </w:r>
    </w:p>
    <w:p w14:paraId="70D02F6A" w14:textId="5E0767EA" w:rsidR="004020C5" w:rsidRPr="004020C5" w:rsidRDefault="004020C5" w:rsidP="004020C5">
      <w:pPr>
        <w:pStyle w:val="BodySerif"/>
      </w:pPr>
      <w:r w:rsidRPr="004020C5">
        <w:t>Few families are accessing Brighter Futures which suggests a missed opportunity for early intervention to avert child</w:t>
      </w:r>
      <w:r w:rsidR="0058769B">
        <w:t> </w:t>
      </w:r>
      <w:r w:rsidRPr="004020C5">
        <w:t>protection involvement. The Brighter Futures program is specifically targeted to families who experience DFV, MH</w:t>
      </w:r>
      <w:r w:rsidR="0058769B">
        <w:t> </w:t>
      </w:r>
      <w:r w:rsidRPr="004020C5">
        <w:t>issues and AOD use, yet the rates of engagement among these families are low. Referrals to the program are accepted from community agencies, with the family’s permission, and via the DCJ Helpline. To maximise engagement with families experiencing these co-occurring needs, DCJ should examine referrals to the program and promote the program among DFV, MH and AOD services to build referral pathways, as well as ensure that referrals are made by the Helpline for families where these issues are indicated. The low rates of engagement may also suggest capacity issues. The</w:t>
      </w:r>
      <w:r w:rsidR="0058769B">
        <w:t> </w:t>
      </w:r>
      <w:r w:rsidRPr="004020C5">
        <w:t>analyses have also indicated that preventative services should be particularly targeted in NSW to geographic areas where there is a high incidence of families experiencing the co-occurrence of factors. This speaks to the value of</w:t>
      </w:r>
      <w:r w:rsidR="0058769B">
        <w:t> </w:t>
      </w:r>
      <w:r w:rsidRPr="004020C5">
        <w:t>improving the recording of geographical location in routinely collected datasets to assist with targeting services where</w:t>
      </w:r>
      <w:r w:rsidR="0058769B">
        <w:t> </w:t>
      </w:r>
      <w:r w:rsidRPr="004020C5">
        <w:t>they are most needed.</w:t>
      </w:r>
    </w:p>
    <w:p w14:paraId="7DB7F5EE" w14:textId="09C9AA68" w:rsidR="004020C5" w:rsidRPr="004020C5" w:rsidRDefault="004020C5" w:rsidP="004020C5">
      <w:pPr>
        <w:pStyle w:val="BodySerif"/>
      </w:pPr>
      <w:r w:rsidRPr="004020C5">
        <w:t>It is important that the high prevalence and co-occurrence of parental DFV, AOD use and MH issues is considered across all service systems. NSW mental health and AOD services consistently report that the majority (70–90%) of their patients have a history of violence, abuse and neglect (NSW Ministry of Health, 2019). These frontline service providers need ongoing staff training and professional development focused on working with families experiencing the intersection of DFV, MH issues and AOD use and making appropriate referrals to early intervention programs like Brighter Futures. The NSW Ministry of Health and participating Local Health Districts have been involved in training and supervision in</w:t>
      </w:r>
      <w:r w:rsidR="0058769B">
        <w:t> </w:t>
      </w:r>
      <w:r w:rsidRPr="004020C5">
        <w:t>the STACY project and this type of specialist training needs to be ongoing to ensure that services and practitioners are</w:t>
      </w:r>
      <w:r w:rsidR="0058769B">
        <w:t> </w:t>
      </w:r>
      <w:r w:rsidRPr="004020C5">
        <w:t>equipped to respond to multiple and interlocking issues experienced by families. Workforce development is a key component of addressing the intersection of parental DFV, AOD use and MH issues. NSW Health’s Education Centre Against Violence provides a suite of staff training and professional development for relevant workers (NSW Ministry of</w:t>
      </w:r>
      <w:r w:rsidR="0058769B">
        <w:t> </w:t>
      </w:r>
      <w:r w:rsidRPr="004020C5">
        <w:t>Health, 2019). More research is needed to assess the capacity of frontline workers to meet the needs of families with complex needs, as well as better and routine data collection of current programs, including Brighter Futures, to evaluate the effectiveness of programs in supporting children, parents and families.</w:t>
      </w:r>
    </w:p>
    <w:p w14:paraId="1562B88E" w14:textId="6EAC3027" w:rsidR="004020C5" w:rsidRPr="004020C5" w:rsidRDefault="004020C5" w:rsidP="009346DE">
      <w:pPr>
        <w:pStyle w:val="BodySerif"/>
      </w:pPr>
      <w:r w:rsidRPr="004020C5">
        <w:t>Understanding how these risk factors, both separately and in conjunction, affect the odds of children’s entry into OOHC</w:t>
      </w:r>
      <w:r w:rsidR="0058769B">
        <w:t> </w:t>
      </w:r>
      <w:r w:rsidRPr="004020C5">
        <w:t>should inform primary and secondary prevention and intervention services that address DFV, AOD use and MH issues through an integrated approach. The findings support the need for services that are integrated and holistic rather than siloed, as is typical in many parts of the current service system. For example, AOD services rarely engage in</w:t>
      </w:r>
      <w:r w:rsidR="009346DE">
        <w:t> </w:t>
      </w:r>
      <w:r w:rsidRPr="004020C5">
        <w:t>addressing DFV although most clients have experienced trauma that includes violence and abuse. These services often respond in</w:t>
      </w:r>
      <w:r w:rsidR="0058769B">
        <w:t> </w:t>
      </w:r>
      <w:r w:rsidRPr="004020C5">
        <w:t>an</w:t>
      </w:r>
      <w:r w:rsidR="0058769B">
        <w:t> </w:t>
      </w:r>
      <w:r w:rsidRPr="004020C5">
        <w:t>adult-centric way that does not recognise the specificity of lived experiences of children, and the same can be said for mental health services (Heward-Belle et al., 2020). By contrast, a more integrated approach would assess the experiences and impacts of AOD use and MH issues where DFV is present and use this to guide interventions within services and across service providers. Indeed, existing efforts in the NSW service delivery landscape to provide an</w:t>
      </w:r>
      <w:r w:rsidR="0058769B">
        <w:t> </w:t>
      </w:r>
      <w:r w:rsidRPr="004020C5">
        <w:t>integrated approach to the intersections of DFV, AOD use and MH issues (e.g. by NSW Health) need to continue to</w:t>
      </w:r>
      <w:r w:rsidR="0058769B">
        <w:t> </w:t>
      </w:r>
      <w:r w:rsidRPr="004020C5">
        <w:t>be bolstered. It is critical that child protection workers pay attention to the behaviours of men who use violence and</w:t>
      </w:r>
      <w:r w:rsidR="0058769B">
        <w:t> </w:t>
      </w:r>
      <w:r w:rsidRPr="004020C5">
        <w:t>the associated impacts. This includes the ways that perpetrators can use their MH issues and AOD use as tactics of</w:t>
      </w:r>
      <w:r w:rsidR="0058769B">
        <w:t> </w:t>
      </w:r>
      <w:r w:rsidRPr="004020C5">
        <w:t>coercive control (Humphreys et al., 2022). The strength and resilience of mothers and children must also be</w:t>
      </w:r>
      <w:r w:rsidR="0058769B">
        <w:t> </w:t>
      </w:r>
      <w:r w:rsidRPr="004020C5">
        <w:t>recognised; for example, recognising and reframing protective behaviours, such as a non-offending parent sensing</w:t>
      </w:r>
      <w:r w:rsidR="0058769B">
        <w:t> </w:t>
      </w:r>
      <w:r w:rsidRPr="004020C5">
        <w:t>escalating DFV and disconnecting from services, rather than viewing this behaviour without context (Humphreys</w:t>
      </w:r>
      <w:r w:rsidR="0058769B">
        <w:t> </w:t>
      </w:r>
      <w:r w:rsidRPr="004020C5">
        <w:t>et</w:t>
      </w:r>
      <w:r w:rsidR="0058769B">
        <w:t> </w:t>
      </w:r>
      <w:r w:rsidRPr="004020C5">
        <w:t>al.,</w:t>
      </w:r>
      <w:r w:rsidR="0058769B">
        <w:t> </w:t>
      </w:r>
      <w:r w:rsidRPr="004020C5">
        <w:t>2022).</w:t>
      </w:r>
    </w:p>
    <w:p w14:paraId="71E1B2AF" w14:textId="0C2837B7" w:rsidR="004020C5" w:rsidRPr="004020C5" w:rsidRDefault="004020C5" w:rsidP="004020C5">
      <w:pPr>
        <w:pStyle w:val="H2SectionTitle"/>
      </w:pPr>
      <w:bookmarkStart w:id="36" w:name="_Toc191286661"/>
      <w:r w:rsidRPr="004020C5">
        <w:lastRenderedPageBreak/>
        <w:t>Conclusion</w:t>
      </w:r>
      <w:bookmarkEnd w:id="36"/>
    </w:p>
    <w:p w14:paraId="7A90DE3B" w14:textId="7DEE10D6" w:rsidR="004020C5" w:rsidRPr="004020C5" w:rsidRDefault="004020C5" w:rsidP="004020C5">
      <w:pPr>
        <w:pStyle w:val="BodySerif"/>
      </w:pPr>
      <w:r w:rsidRPr="004020C5">
        <w:t>This report adds to the current knowledge base by identifying the prevalence of co-occurring DFV, AOD use or MH issues in families in the NSW child protection system and the associations with entry into OOHC. Combined with information on where families are geographically concentrated, these new findings can inform the development of more effective local early intervention systems for families, and improved collaborations between child and family services and adult-focused services in DFV, AOD and MH, aimed at preventing child maltreatment and strengthening families experiencing complex needs.</w:t>
      </w:r>
    </w:p>
    <w:p w14:paraId="22AA649D" w14:textId="3108EC23" w:rsidR="004020C5" w:rsidRPr="004020C5" w:rsidRDefault="004020C5" w:rsidP="00E41FF6">
      <w:pPr>
        <w:pStyle w:val="H2SectionTitle"/>
        <w:pageBreakBefore w:val="0"/>
      </w:pPr>
      <w:bookmarkStart w:id="37" w:name="_Toc191286662"/>
      <w:r w:rsidRPr="004020C5">
        <w:t>Author contributions</w:t>
      </w:r>
      <w:bookmarkEnd w:id="37"/>
    </w:p>
    <w:p w14:paraId="7DE29327" w14:textId="3E57C113" w:rsidR="004020C5" w:rsidRPr="004020C5" w:rsidRDefault="004020C5" w:rsidP="004020C5">
      <w:pPr>
        <w:pStyle w:val="BodySerif"/>
      </w:pPr>
      <w:r w:rsidRPr="004020C5">
        <w:t>The authors confirm contribution to the paper as follows: study conception and design – Wright; analysis and interpretation of results – Luu; advice on analysis – Schurer; draft manuscript preparation – Luu, Wright, Heward-Belle, Collings, Barrett, Metcalfe. All authors reviewed the results and approved the final version of the manuscript.</w:t>
      </w:r>
    </w:p>
    <w:p w14:paraId="7834413E" w14:textId="4796BEE2" w:rsidR="004020C5" w:rsidRPr="004020C5" w:rsidRDefault="004020C5" w:rsidP="004020C5">
      <w:pPr>
        <w:pStyle w:val="H2SectionTitle"/>
      </w:pPr>
      <w:bookmarkStart w:id="38" w:name="_Toc191286663"/>
      <w:r w:rsidRPr="004020C5">
        <w:lastRenderedPageBreak/>
        <w:t>References</w:t>
      </w:r>
      <w:bookmarkEnd w:id="38"/>
    </w:p>
    <w:p w14:paraId="07B7CDF4" w14:textId="00CDD04B" w:rsidR="004020C5" w:rsidRPr="00F57A8C" w:rsidRDefault="004020C5" w:rsidP="004020C5">
      <w:pPr>
        <w:pStyle w:val="Reference"/>
      </w:pPr>
      <w:r w:rsidRPr="00F57A8C">
        <w:t>Abedzadeh-Kalahroudi, M., Razi, E., &amp; Sehat, M. (2018). The relationship between socioeconomic status and trauma outcomes. </w:t>
      </w:r>
      <w:r w:rsidRPr="00F57A8C">
        <w:rPr>
          <w:i/>
          <w:iCs/>
        </w:rPr>
        <w:t>Journal of Public Health, 40</w:t>
      </w:r>
      <w:r w:rsidRPr="00F57A8C">
        <w:t xml:space="preserve">(4), e431–e439. </w:t>
      </w:r>
      <w:hyperlink r:id="rId32" w:history="1">
        <w:r w:rsidR="009346DE" w:rsidRPr="00AD639A">
          <w:rPr>
            <w:rStyle w:val="Hyperlink"/>
          </w:rPr>
          <w:t>https://doi.org/10.1093/pubmed/fdy033</w:t>
        </w:r>
      </w:hyperlink>
    </w:p>
    <w:p w14:paraId="3164C8CE" w14:textId="6A9E8EF2" w:rsidR="004020C5" w:rsidRPr="00F57A8C" w:rsidRDefault="004020C5" w:rsidP="004020C5">
      <w:pPr>
        <w:pStyle w:val="Reference"/>
      </w:pPr>
      <w:r w:rsidRPr="00F57A8C">
        <w:t>Austin, A. E., Gottfredson, N. C., Marshall, S. W., Halpern, C. T., Zolotor, A. J., Parrish, J. W., &amp; Shanahan, M. E. (2020). Heterogeneity in risk and protection among Alaska Native/American Indian and non-native children. </w:t>
      </w:r>
      <w:r w:rsidRPr="00F57A8C">
        <w:rPr>
          <w:i/>
          <w:iCs/>
        </w:rPr>
        <w:t>Prevention Science</w:t>
      </w:r>
      <w:r w:rsidRPr="00F57A8C">
        <w:t xml:space="preserve">, 21, 86–97. </w:t>
      </w:r>
      <w:hyperlink r:id="rId33" w:history="1">
        <w:r w:rsidR="009346DE" w:rsidRPr="00AD639A">
          <w:rPr>
            <w:rStyle w:val="Hyperlink"/>
          </w:rPr>
          <w:t>https://doi.org/10.1007/s11121-019-01052-y</w:t>
        </w:r>
      </w:hyperlink>
    </w:p>
    <w:p w14:paraId="02786566" w14:textId="5361823E" w:rsidR="004020C5" w:rsidRPr="00F57A8C" w:rsidRDefault="004020C5" w:rsidP="004020C5">
      <w:pPr>
        <w:pStyle w:val="Reference"/>
      </w:pPr>
      <w:r w:rsidRPr="00F57A8C">
        <w:t>Australian Bureau of Statistics. (2016a). </w:t>
      </w:r>
      <w:r w:rsidRPr="000139EC">
        <w:rPr>
          <w:i/>
          <w:iCs/>
        </w:rPr>
        <w:t>Australian Statistical Geography Standard (ASGS): Volume 1 – Main Structure and Greater Capital City Statistical Areas, July 2016</w:t>
      </w:r>
      <w:r w:rsidRPr="00F57A8C">
        <w:t xml:space="preserve"> (ABS Catalogue no. 1270.0.55.001). ABS. </w:t>
      </w:r>
      <w:hyperlink r:id="rId34" w:history="1">
        <w:r w:rsidR="009346DE" w:rsidRPr="00AD639A">
          <w:rPr>
            <w:rStyle w:val="Hyperlink"/>
          </w:rPr>
          <w:t>https://www.abs.gov.au/ausstats/abs@.nsf/mf/1270.0.55.001</w:t>
        </w:r>
      </w:hyperlink>
    </w:p>
    <w:p w14:paraId="5FD6B65F" w14:textId="1B3C749B" w:rsidR="004020C5" w:rsidRPr="00F57A8C" w:rsidRDefault="004020C5" w:rsidP="004020C5">
      <w:pPr>
        <w:pStyle w:val="Reference"/>
      </w:pPr>
      <w:r w:rsidRPr="00F57A8C">
        <w:t>Australian Bureau of Statistics. (2016b). </w:t>
      </w:r>
      <w:r w:rsidRPr="00F57A8C">
        <w:rPr>
          <w:i/>
          <w:iCs/>
        </w:rPr>
        <w:t>ASGS Geographic Correspondences</w:t>
      </w:r>
      <w:r w:rsidRPr="00F57A8C">
        <w:t xml:space="preserve">. ABS Geospatial Solutions. </w:t>
      </w:r>
      <w:hyperlink r:id="rId35" w:history="1">
        <w:r w:rsidR="009346DE" w:rsidRPr="00AD639A">
          <w:rPr>
            <w:rStyle w:val="Hyperlink"/>
          </w:rPr>
          <w:t>https://data.gov.au/dataset/ds-dga-23fe168c-09a7-42d2-a2f9-fd08fbd0a4ce/details</w:t>
        </w:r>
      </w:hyperlink>
    </w:p>
    <w:p w14:paraId="4B1F3CD2" w14:textId="620FF575" w:rsidR="004020C5" w:rsidRPr="00F57A8C" w:rsidRDefault="004020C5" w:rsidP="004020C5">
      <w:pPr>
        <w:pStyle w:val="Reference"/>
      </w:pPr>
      <w:r w:rsidRPr="00F57A8C">
        <w:t>Australian Bureau of Statistics. (2018). </w:t>
      </w:r>
      <w:r w:rsidRPr="00F57A8C">
        <w:rPr>
          <w:i/>
          <w:iCs/>
        </w:rPr>
        <w:t>Socio-Economic Indexes for Areas (SEIFA) 2016</w:t>
      </w:r>
      <w:r w:rsidRPr="00F57A8C">
        <w:t xml:space="preserve"> (ABS Catalogue no. 2033.0.55.001). ABS. </w:t>
      </w:r>
      <w:hyperlink r:id="rId36" w:history="1">
        <w:r w:rsidR="009346DE" w:rsidRPr="00AD639A">
          <w:rPr>
            <w:rStyle w:val="Hyperlink"/>
          </w:rPr>
          <w:t>https://www.abs.gov.au/AUSSTATS/abs@.nsf/Lookup/2033.0.55.001Main+Features12016?OpenDocument</w:t>
        </w:r>
      </w:hyperlink>
    </w:p>
    <w:p w14:paraId="086D1AC3" w14:textId="2EF10C67" w:rsidR="004020C5" w:rsidRPr="00F57A8C" w:rsidRDefault="004020C5" w:rsidP="004020C5">
      <w:pPr>
        <w:pStyle w:val="Reference"/>
      </w:pPr>
      <w:r w:rsidRPr="00F57A8C">
        <w:t>Australian Institute of Health and Welfare. (2022a). </w:t>
      </w:r>
      <w:r w:rsidRPr="00F57A8C">
        <w:rPr>
          <w:i/>
          <w:iCs/>
        </w:rPr>
        <w:t>Child protection Australia 2020–21</w:t>
      </w:r>
      <w:r w:rsidRPr="00F57A8C">
        <w:t xml:space="preserve">. AIHW. </w:t>
      </w:r>
      <w:hyperlink r:id="rId37" w:history="1">
        <w:r w:rsidR="009346DE" w:rsidRPr="00AD639A">
          <w:rPr>
            <w:rStyle w:val="Hyperlink"/>
          </w:rPr>
          <w:t>https://www.aihw.gov.au/reports/child-protection/child-protection-australia-2020-21/contents/about</w:t>
        </w:r>
      </w:hyperlink>
    </w:p>
    <w:p w14:paraId="5CA84F7A" w14:textId="0ADF7B29" w:rsidR="004020C5" w:rsidRPr="00F57A8C" w:rsidRDefault="004020C5" w:rsidP="004020C5">
      <w:pPr>
        <w:pStyle w:val="Reference"/>
      </w:pPr>
      <w:r w:rsidRPr="00F57A8C">
        <w:t>Australian Institute of Health and Welfare. (2022b). </w:t>
      </w:r>
      <w:r w:rsidRPr="00F57A8C">
        <w:rPr>
          <w:i/>
          <w:iCs/>
        </w:rPr>
        <w:t>Social determinants of health</w:t>
      </w:r>
      <w:r w:rsidRPr="00F57A8C">
        <w:t xml:space="preserve">. AIHW. </w:t>
      </w:r>
      <w:hyperlink r:id="rId38" w:history="1">
        <w:r w:rsidR="009346DE" w:rsidRPr="00AD639A">
          <w:rPr>
            <w:rStyle w:val="Hyperlink"/>
          </w:rPr>
          <w:t>https://www.aihw.gov.au/reports/australias-health/social-determinants-of-health</w:t>
        </w:r>
      </w:hyperlink>
    </w:p>
    <w:p w14:paraId="3FFDF4B4" w14:textId="0CB7C94B" w:rsidR="004020C5" w:rsidRPr="00F57A8C" w:rsidRDefault="004020C5" w:rsidP="004020C5">
      <w:pPr>
        <w:pStyle w:val="Reference"/>
      </w:pPr>
      <w:r w:rsidRPr="00F57A8C">
        <w:t>Australian Institute of Health and Welfare. (2022c). </w:t>
      </w:r>
      <w:r w:rsidRPr="00F57A8C">
        <w:rPr>
          <w:i/>
          <w:iCs/>
        </w:rPr>
        <w:t>Mental health services in Australia: Stress and trauma</w:t>
      </w:r>
      <w:r w:rsidRPr="00F57A8C">
        <w:t xml:space="preserve">. AIHW. </w:t>
      </w:r>
      <w:hyperlink r:id="rId39" w:history="1">
        <w:r w:rsidR="009346DE" w:rsidRPr="00AD639A">
          <w:rPr>
            <w:rStyle w:val="Hyperlink"/>
          </w:rPr>
          <w:t>https://www.aihw.gov.au/reports/mental-health/stress-and-trauma</w:t>
        </w:r>
      </w:hyperlink>
    </w:p>
    <w:p w14:paraId="0CA18120" w14:textId="2278B846" w:rsidR="004020C5" w:rsidRPr="00F57A8C" w:rsidRDefault="004020C5" w:rsidP="004020C5">
      <w:pPr>
        <w:pStyle w:val="Reference"/>
      </w:pPr>
      <w:r w:rsidRPr="00F57A8C">
        <w:t>Ayer, L., Woldetsadik, M. A., Malsberger, R., Burgette, L. F., &amp; Kohl, P. L. (2016). Who are the men caring for maltreated youth? Male primary caregivers in the child welfare system. </w:t>
      </w:r>
      <w:r w:rsidRPr="00F57A8C">
        <w:rPr>
          <w:i/>
          <w:iCs/>
        </w:rPr>
        <w:t>Child Maltreatment, 21</w:t>
      </w:r>
      <w:r w:rsidRPr="00F57A8C">
        <w:t xml:space="preserve">(4), 278–287. </w:t>
      </w:r>
      <w:hyperlink r:id="rId40" w:history="1">
        <w:r w:rsidR="009346DE" w:rsidRPr="00AD639A">
          <w:rPr>
            <w:rStyle w:val="Hyperlink"/>
          </w:rPr>
          <w:t>https://doi.org/10.1177/1077559516664985</w:t>
        </w:r>
      </w:hyperlink>
    </w:p>
    <w:p w14:paraId="2AE35309" w14:textId="4720DA69" w:rsidR="004020C5" w:rsidRPr="00F57A8C" w:rsidRDefault="004020C5" w:rsidP="004020C5">
      <w:pPr>
        <w:pStyle w:val="Reference"/>
      </w:pPr>
      <w:r w:rsidRPr="00F57A8C">
        <w:t>Baldwin, H., Biehal, N., Allgar, V., Cusworth, L., &amp; Pickett, K. (2020). Antenatal risk factors for child maltreatment: Linkage of data from a birth cohort study to child welfare records. </w:t>
      </w:r>
      <w:r w:rsidRPr="00F57A8C">
        <w:rPr>
          <w:i/>
          <w:iCs/>
        </w:rPr>
        <w:t>Child Abuse &amp; Neglect, 107</w:t>
      </w:r>
      <w:r w:rsidRPr="00F57A8C">
        <w:t xml:space="preserve">, Article 104605. </w:t>
      </w:r>
      <w:hyperlink r:id="rId41" w:history="1">
        <w:r w:rsidR="009346DE" w:rsidRPr="00AD639A">
          <w:rPr>
            <w:rStyle w:val="Hyperlink"/>
          </w:rPr>
          <w:t>https://doi.org/10.1016/j.chiabu.2020.104605</w:t>
        </w:r>
      </w:hyperlink>
    </w:p>
    <w:p w14:paraId="6DF552C3" w14:textId="5F833D7A" w:rsidR="004020C5" w:rsidRPr="00F57A8C" w:rsidRDefault="004020C5" w:rsidP="004020C5">
      <w:pPr>
        <w:pStyle w:val="Reference"/>
      </w:pPr>
      <w:r w:rsidRPr="00F57A8C">
        <w:t>Brattström, O., Eriksson, M., Larsson, E., &amp; Oldner, A. (2015). Socio-economic status and co-morbidity as risk factors for trauma. </w:t>
      </w:r>
      <w:r w:rsidRPr="00F57A8C">
        <w:rPr>
          <w:i/>
          <w:iCs/>
        </w:rPr>
        <w:t>European Journal of Epidemiology, 30</w:t>
      </w:r>
      <w:r w:rsidRPr="00F57A8C">
        <w:t xml:space="preserve">(2), 151–157. </w:t>
      </w:r>
      <w:hyperlink r:id="rId42" w:history="1">
        <w:r w:rsidR="009346DE" w:rsidRPr="00AD639A">
          <w:rPr>
            <w:rStyle w:val="Hyperlink"/>
          </w:rPr>
          <w:t>https://doi.org/10.1007/s10654-014-9969-1</w:t>
        </w:r>
      </w:hyperlink>
    </w:p>
    <w:p w14:paraId="77750284" w14:textId="57475CCB" w:rsidR="004020C5" w:rsidRPr="00F57A8C" w:rsidRDefault="004020C5" w:rsidP="004020C5">
      <w:pPr>
        <w:pStyle w:val="Reference"/>
      </w:pPr>
      <w:r w:rsidRPr="00F57A8C">
        <w:t>Chikwava, F., Cordier, R., Ferrante, A., O’Donnell, M., Speyer, R., &amp; Parsons, L. (2021). Research using population-based administration data integrated with longitudinal data in child protection settings: A systematic review. </w:t>
      </w:r>
      <w:r w:rsidRPr="00F57A8C">
        <w:rPr>
          <w:i/>
          <w:iCs/>
        </w:rPr>
        <w:t>PLoS ONE, 16</w:t>
      </w:r>
      <w:r w:rsidRPr="00F57A8C">
        <w:t xml:space="preserve">(3), Article e0249088. </w:t>
      </w:r>
      <w:hyperlink r:id="rId43" w:history="1">
        <w:r w:rsidR="009346DE" w:rsidRPr="00AD639A">
          <w:rPr>
            <w:rStyle w:val="Hyperlink"/>
          </w:rPr>
          <w:t>https://doi.org/10.1371/journal.pone.0249088</w:t>
        </w:r>
      </w:hyperlink>
    </w:p>
    <w:p w14:paraId="5EEE6F92" w14:textId="40E42F77" w:rsidR="004020C5" w:rsidRPr="00F57A8C" w:rsidRDefault="004020C5" w:rsidP="004020C5">
      <w:pPr>
        <w:pStyle w:val="Reference"/>
      </w:pPr>
      <w:r w:rsidRPr="000139EC">
        <w:rPr>
          <w:i/>
          <w:iCs/>
        </w:rPr>
        <w:t>Children and Young Persons (Care and Protection) Amendment Act 2018</w:t>
      </w:r>
      <w:r w:rsidRPr="00F57A8C">
        <w:t> (NSW).</w:t>
      </w:r>
    </w:p>
    <w:p w14:paraId="7C3B2A59" w14:textId="3DD17D13" w:rsidR="004020C5" w:rsidRPr="00F57A8C" w:rsidRDefault="004020C5" w:rsidP="004020C5">
      <w:pPr>
        <w:pStyle w:val="Reference"/>
      </w:pPr>
      <w:r w:rsidRPr="00F57A8C">
        <w:t>Council of Australian Governments. (2010). </w:t>
      </w:r>
      <w:r w:rsidRPr="00F57A8C">
        <w:rPr>
          <w:i/>
          <w:iCs/>
        </w:rPr>
        <w:t>National Plan to Reduce Violence against Women and their Children 2010–2022</w:t>
      </w:r>
      <w:r w:rsidRPr="00F57A8C">
        <w:t xml:space="preserve">. Commonwealth of Australia. </w:t>
      </w:r>
      <w:hyperlink r:id="rId44" w:history="1">
        <w:r w:rsidR="000D1E5C" w:rsidRPr="00AD639A">
          <w:rPr>
            <w:rStyle w:val="Hyperlink"/>
          </w:rPr>
          <w:t>https://www.dss.gov.au/women/programs-services/reducing-violence/the-national-plan-to-reduce-violence-against-women-and-their-children-2010-2022</w:t>
        </w:r>
      </w:hyperlink>
    </w:p>
    <w:p w14:paraId="04D49145" w14:textId="4E81B38A" w:rsidR="004020C5" w:rsidRPr="00F57A8C" w:rsidRDefault="004020C5" w:rsidP="004020C5">
      <w:pPr>
        <w:pStyle w:val="Reference"/>
      </w:pPr>
      <w:r w:rsidRPr="00F57A8C">
        <w:t>Crenshaw, K. (1991). Mapping the margins: Intersectionality, identity politics, and violence against women of</w:t>
      </w:r>
      <w:r w:rsidR="00BE5324">
        <w:t> </w:t>
      </w:r>
      <w:r w:rsidRPr="00F57A8C">
        <w:t>color. </w:t>
      </w:r>
      <w:r w:rsidRPr="00F57A8C">
        <w:rPr>
          <w:i/>
          <w:iCs/>
        </w:rPr>
        <w:t>Stanford Law Review, 43</w:t>
      </w:r>
      <w:r w:rsidRPr="00F57A8C">
        <w:t xml:space="preserve">(6), 1241–1299. </w:t>
      </w:r>
      <w:hyperlink r:id="rId45" w:history="1">
        <w:r w:rsidR="000D1E5C" w:rsidRPr="00AD639A">
          <w:rPr>
            <w:rStyle w:val="Hyperlink"/>
          </w:rPr>
          <w:t>https://doi.org/10.2307/1229039</w:t>
        </w:r>
      </w:hyperlink>
    </w:p>
    <w:p w14:paraId="69D5BE22" w14:textId="5D89CC06" w:rsidR="004020C5" w:rsidRPr="00F57A8C" w:rsidRDefault="004020C5" w:rsidP="004020C5">
      <w:pPr>
        <w:pStyle w:val="Reference"/>
      </w:pPr>
      <w:r w:rsidRPr="00F57A8C">
        <w:lastRenderedPageBreak/>
        <w:t>Curijo. (2021). </w:t>
      </w:r>
      <w:r w:rsidRPr="00F57A8C">
        <w:rPr>
          <w:i/>
          <w:iCs/>
        </w:rPr>
        <w:t>SDM® Safety and Risk Assessments</w:t>
      </w:r>
      <w:r w:rsidRPr="00F57A8C">
        <w:t xml:space="preserve">. PSP Learning Hub. </w:t>
      </w:r>
      <w:hyperlink r:id="rId46" w:history="1">
        <w:r w:rsidR="000D1E5C" w:rsidRPr="00AD639A">
          <w:rPr>
            <w:rStyle w:val="Hyperlink"/>
          </w:rPr>
          <w:t>https://psplearninghub.com.au/wp-content/uploads/SDM%C2%AE-Safety-and-Risk-Assessments.pdf</w:t>
        </w:r>
      </w:hyperlink>
    </w:p>
    <w:p w14:paraId="47EC15C9" w14:textId="6F7DA284" w:rsidR="004020C5" w:rsidRPr="00F57A8C" w:rsidRDefault="004020C5" w:rsidP="004020C5">
      <w:pPr>
        <w:pStyle w:val="Reference"/>
      </w:pPr>
      <w:r w:rsidRPr="00F57A8C">
        <w:t>De Simone, T., &amp; Heward-Belle, S. (2020). Evidencing better child protection practice: Why representations of domestic violence matter. </w:t>
      </w:r>
      <w:r w:rsidRPr="00F57A8C">
        <w:rPr>
          <w:i/>
          <w:iCs/>
        </w:rPr>
        <w:t>Current Issues in Criminal Justice</w:t>
      </w:r>
      <w:r w:rsidRPr="00F57A8C">
        <w:t xml:space="preserve">, 32(4), 403–419. </w:t>
      </w:r>
      <w:hyperlink r:id="rId47" w:history="1">
        <w:r w:rsidR="000D1E5C" w:rsidRPr="00AD639A">
          <w:rPr>
            <w:rStyle w:val="Hyperlink"/>
          </w:rPr>
          <w:t>https://doi.org/10.1080/10345329.2020.1840957</w:t>
        </w:r>
      </w:hyperlink>
    </w:p>
    <w:p w14:paraId="470CAE64" w14:textId="656E7F85" w:rsidR="004020C5" w:rsidRPr="00F57A8C" w:rsidRDefault="004020C5" w:rsidP="004020C5">
      <w:pPr>
        <w:pStyle w:val="Reference"/>
      </w:pPr>
      <w:r w:rsidRPr="00F57A8C">
        <w:t>Delfabbro, P., Fernandez, E., McCormick, J., &amp; Ketter, L. (2015). An analysis of reunification from out-of-home care in</w:t>
      </w:r>
      <w:r w:rsidR="000D1E5C">
        <w:t> </w:t>
      </w:r>
      <w:r w:rsidRPr="00F57A8C">
        <w:t>three Australian states. </w:t>
      </w:r>
      <w:r w:rsidRPr="00F57A8C">
        <w:rPr>
          <w:i/>
          <w:iCs/>
        </w:rPr>
        <w:t>Child Indicators Research, 8</w:t>
      </w:r>
      <w:r w:rsidRPr="00F57A8C">
        <w:t xml:space="preserve">(2), 359–373. </w:t>
      </w:r>
      <w:hyperlink r:id="rId48" w:history="1">
        <w:r w:rsidR="000D1E5C" w:rsidRPr="00AD639A">
          <w:rPr>
            <w:rStyle w:val="Hyperlink"/>
          </w:rPr>
          <w:t>https://doi.org/10.1007/s12187-014-9238-6</w:t>
        </w:r>
      </w:hyperlink>
    </w:p>
    <w:p w14:paraId="4C8AFB28" w14:textId="0520400B" w:rsidR="004020C5" w:rsidRPr="00F57A8C" w:rsidRDefault="004020C5" w:rsidP="004020C5">
      <w:pPr>
        <w:pStyle w:val="Reference"/>
      </w:pPr>
      <w:r w:rsidRPr="00F57A8C">
        <w:t>Department of Communities and Justice. (2019a). </w:t>
      </w:r>
      <w:r w:rsidRPr="00F57A8C">
        <w:rPr>
          <w:i/>
          <w:iCs/>
        </w:rPr>
        <w:t>Types of out-of-home care</w:t>
      </w:r>
      <w:r w:rsidRPr="00F57A8C">
        <w:t xml:space="preserve">. NSW Government. </w:t>
      </w:r>
      <w:hyperlink r:id="rId49" w:history="1">
        <w:r w:rsidR="000D1E5C" w:rsidRPr="00AD639A">
          <w:rPr>
            <w:rStyle w:val="Hyperlink"/>
          </w:rPr>
          <w:t>https://www.facs.nsw.gov.au/families/out-of-home-care/about-out-of-home-care/care-types</w:t>
        </w:r>
      </w:hyperlink>
    </w:p>
    <w:p w14:paraId="0AD21CA7" w14:textId="2B3D829E" w:rsidR="004020C5" w:rsidRPr="00F57A8C" w:rsidRDefault="004020C5" w:rsidP="004020C5">
      <w:pPr>
        <w:pStyle w:val="Reference"/>
      </w:pPr>
      <w:r w:rsidRPr="00F57A8C">
        <w:t>Department of Communities and Justice. (2019b). </w:t>
      </w:r>
      <w:r w:rsidRPr="00F57A8C">
        <w:rPr>
          <w:i/>
          <w:iCs/>
        </w:rPr>
        <w:t>Should I call to report a child at risk?</w:t>
      </w:r>
      <w:r w:rsidRPr="00F57A8C">
        <w:t xml:space="preserve"> NSW Government. </w:t>
      </w:r>
      <w:hyperlink r:id="rId50" w:history="1">
        <w:r w:rsidR="000D1E5C" w:rsidRPr="00AD639A">
          <w:rPr>
            <w:rStyle w:val="Hyperlink"/>
          </w:rPr>
          <w:t>https://www.facs.nsw.gov.au/families/Protecting-kids/reporting-child-at-risk/should-i-call</w:t>
        </w:r>
      </w:hyperlink>
    </w:p>
    <w:p w14:paraId="39A1F475" w14:textId="498A314B" w:rsidR="004020C5" w:rsidRPr="00F57A8C" w:rsidRDefault="004020C5" w:rsidP="004020C5">
      <w:pPr>
        <w:pStyle w:val="Reference"/>
      </w:pPr>
      <w:r w:rsidRPr="00F57A8C">
        <w:t>Department of Communities and Justice. (2019c). </w:t>
      </w:r>
      <w:r w:rsidRPr="00F57A8C">
        <w:rPr>
          <w:i/>
          <w:iCs/>
        </w:rPr>
        <w:t>Brighter futures</w:t>
      </w:r>
      <w:r w:rsidRPr="00F57A8C">
        <w:t xml:space="preserve">. NSW Government. </w:t>
      </w:r>
      <w:hyperlink r:id="rId51" w:history="1">
        <w:r w:rsidR="000D1E5C" w:rsidRPr="00AD639A">
          <w:rPr>
            <w:rStyle w:val="Hyperlink"/>
          </w:rPr>
          <w:t>https://www.facs.nsw.gov.au/families/support-programs/all-families/brighter-futures</w:t>
        </w:r>
      </w:hyperlink>
    </w:p>
    <w:p w14:paraId="152BF26A" w14:textId="472F2F77" w:rsidR="004020C5" w:rsidRPr="00F57A8C" w:rsidRDefault="004020C5" w:rsidP="004020C5">
      <w:pPr>
        <w:pStyle w:val="Reference"/>
      </w:pPr>
      <w:r w:rsidRPr="00F57A8C">
        <w:t>Department of Communities and Justice. (2019d). </w:t>
      </w:r>
      <w:r w:rsidRPr="00F57A8C">
        <w:rPr>
          <w:i/>
          <w:iCs/>
        </w:rPr>
        <w:t>About relative and kinship care</w:t>
      </w:r>
      <w:r w:rsidRPr="00F57A8C">
        <w:t xml:space="preserve">. NSW Government. </w:t>
      </w:r>
      <w:hyperlink r:id="rId52" w:history="1">
        <w:r w:rsidR="000D1E5C" w:rsidRPr="00AD639A">
          <w:rPr>
            <w:rStyle w:val="Hyperlink"/>
          </w:rPr>
          <w:t>https://www.facs.nsw.gov.au/families/carers/about-relative-and-kinship-care</w:t>
        </w:r>
      </w:hyperlink>
    </w:p>
    <w:p w14:paraId="51FF920A" w14:textId="72B11543" w:rsidR="004020C5" w:rsidRPr="00F57A8C" w:rsidRDefault="004020C5" w:rsidP="004020C5">
      <w:pPr>
        <w:pStyle w:val="Reference"/>
      </w:pPr>
      <w:r w:rsidRPr="00F57A8C">
        <w:t>Department of Communities and Justice. (2020). </w:t>
      </w:r>
      <w:r w:rsidRPr="000139EC">
        <w:rPr>
          <w:i/>
          <w:iCs/>
        </w:rPr>
        <w:t>Out-of-home policy context – 2010–2018: Wave 1–4 data collection period. Pathways of care longitudinal study: Outcomes of children and young people in out-of-home care</w:t>
      </w:r>
      <w:r w:rsidR="00BE5324">
        <w:t xml:space="preserve"> </w:t>
      </w:r>
      <w:r w:rsidRPr="00F57A8C">
        <w:t>(Technical</w:t>
      </w:r>
      <w:r w:rsidR="00BE5324">
        <w:t> </w:t>
      </w:r>
      <w:r w:rsidRPr="00F57A8C">
        <w:t xml:space="preserve">report no. 17). NSW Government. </w:t>
      </w:r>
      <w:hyperlink r:id="rId53" w:history="1">
        <w:r w:rsidR="000D1E5C" w:rsidRPr="00AD639A">
          <w:rPr>
            <w:rStyle w:val="Hyperlink"/>
          </w:rPr>
          <w:t>https://www.facs.nsw.gov.au/__data/assets/pdf_file/0009/778734/OOHC-policy-context-during-the-POCLS-data-collection.pdf</w:t>
        </w:r>
      </w:hyperlink>
    </w:p>
    <w:p w14:paraId="5492790D" w14:textId="2CA0FD80" w:rsidR="004020C5" w:rsidRPr="00F57A8C" w:rsidRDefault="004020C5" w:rsidP="004020C5">
      <w:pPr>
        <w:pStyle w:val="Reference"/>
      </w:pPr>
      <w:r w:rsidRPr="00F57A8C">
        <w:t>Department of Communities and Justice. (2023). </w:t>
      </w:r>
      <w:r w:rsidRPr="00F57A8C">
        <w:rPr>
          <w:i/>
          <w:iCs/>
        </w:rPr>
        <w:t>What is ChildStory?</w:t>
      </w:r>
      <w:r w:rsidRPr="00F57A8C">
        <w:t xml:space="preserve"> NSW Government. </w:t>
      </w:r>
      <w:hyperlink r:id="rId54" w:history="1">
        <w:r w:rsidR="000D1E5C" w:rsidRPr="00AD639A">
          <w:rPr>
            <w:rStyle w:val="Hyperlink"/>
          </w:rPr>
          <w:t>https://www.facs.nsw.gov.au/families/childstory/what-is-childstory</w:t>
        </w:r>
      </w:hyperlink>
    </w:p>
    <w:p w14:paraId="123AC563" w14:textId="307143D2" w:rsidR="004020C5" w:rsidRPr="00F57A8C" w:rsidRDefault="004020C5" w:rsidP="004020C5">
      <w:pPr>
        <w:pStyle w:val="Reference"/>
      </w:pPr>
      <w:r w:rsidRPr="00F57A8C">
        <w:t>Department of Health and Human Services. (2020). </w:t>
      </w:r>
      <w:r w:rsidRPr="00F57A8C">
        <w:rPr>
          <w:i/>
          <w:iCs/>
        </w:rPr>
        <w:t>Child Protection Decision Support Tool</w:t>
      </w:r>
      <w:r w:rsidRPr="00F57A8C">
        <w:t>. State Government of</w:t>
      </w:r>
      <w:r w:rsidR="00BE5324">
        <w:t> </w:t>
      </w:r>
      <w:r w:rsidRPr="00F57A8C">
        <w:t xml:space="preserve">Victoria. </w:t>
      </w:r>
      <w:hyperlink r:id="rId55" w:history="1">
        <w:r w:rsidR="000D1E5C" w:rsidRPr="00AD639A">
          <w:rPr>
            <w:rStyle w:val="Hyperlink"/>
          </w:rPr>
          <w:t>https://www.health.vic.gov.au/maternal-child-health/child-development-information-system</w:t>
        </w:r>
      </w:hyperlink>
    </w:p>
    <w:p w14:paraId="73B31C63" w14:textId="58350D93" w:rsidR="004020C5" w:rsidRPr="00F57A8C" w:rsidRDefault="004020C5" w:rsidP="004020C5">
      <w:pPr>
        <w:pStyle w:val="Reference"/>
      </w:pPr>
      <w:r w:rsidRPr="00F57A8C">
        <w:t>Department of Social Services. (2021). </w:t>
      </w:r>
      <w:r w:rsidRPr="00F57A8C">
        <w:rPr>
          <w:i/>
          <w:iCs/>
        </w:rPr>
        <w:t>Safe and Supported: The National Framework for Protecting Australia’s Children 2021–2031</w:t>
      </w:r>
      <w:r w:rsidRPr="00F57A8C">
        <w:t xml:space="preserve">. Commonwealth of Australia. </w:t>
      </w:r>
      <w:hyperlink r:id="rId56" w:history="1">
        <w:r w:rsidR="000D1E5C" w:rsidRPr="00AD639A">
          <w:rPr>
            <w:rStyle w:val="Hyperlink"/>
          </w:rPr>
          <w:t>https://www.dss.gov.au/sites/default/files/documents/12_2021/dess5016-national-framework-protecting-childrenaccessible.pdf</w:t>
        </w:r>
      </w:hyperlink>
    </w:p>
    <w:p w14:paraId="3954EF5C" w14:textId="14446E62" w:rsidR="004020C5" w:rsidRPr="00F57A8C" w:rsidRDefault="004020C5" w:rsidP="004020C5">
      <w:pPr>
        <w:pStyle w:val="Reference"/>
      </w:pPr>
      <w:r w:rsidRPr="00F57A8C">
        <w:t>Department of Social Services. (2022). </w:t>
      </w:r>
      <w:r w:rsidRPr="00F57A8C">
        <w:rPr>
          <w:i/>
          <w:iCs/>
        </w:rPr>
        <w:t>National Plan to End Violence against Women and Children 2022–2032</w:t>
      </w:r>
      <w:r w:rsidRPr="00F57A8C">
        <w:t xml:space="preserve">. Commonwealth of Australia. </w:t>
      </w:r>
      <w:hyperlink r:id="rId57" w:history="1">
        <w:r w:rsidR="000D1E5C" w:rsidRPr="00AD639A">
          <w:rPr>
            <w:rStyle w:val="Hyperlink"/>
          </w:rPr>
          <w:t>https://www.dss.gov.au/the-national-plan-to-end-violence-against-women-and-children/the-national-plan-to-end-violence-against-women-and-children-2022-2032</w:t>
        </w:r>
      </w:hyperlink>
    </w:p>
    <w:p w14:paraId="0A6F7DC2" w14:textId="74878C06" w:rsidR="004020C5" w:rsidRPr="00F57A8C" w:rsidRDefault="004020C5" w:rsidP="004020C5">
      <w:pPr>
        <w:pStyle w:val="Reference"/>
      </w:pPr>
      <w:r w:rsidRPr="00F57A8C">
        <w:t>Devaney, J. (2008). Chronic child abuse and domestic violence: Children and families with long‐term and complex needs. </w:t>
      </w:r>
      <w:r w:rsidRPr="00F57A8C">
        <w:rPr>
          <w:i/>
          <w:iCs/>
        </w:rPr>
        <w:t>Child &amp; Family Social Work, 13</w:t>
      </w:r>
      <w:r w:rsidRPr="00F57A8C">
        <w:t xml:space="preserve">(4), 443–453. </w:t>
      </w:r>
      <w:hyperlink r:id="rId58" w:history="1">
        <w:r w:rsidR="000D1E5C" w:rsidRPr="00AD639A">
          <w:rPr>
            <w:rStyle w:val="Hyperlink"/>
          </w:rPr>
          <w:t>https://doi.org/10.1111/j.1365-2206.2008.00559.x</w:t>
        </w:r>
      </w:hyperlink>
    </w:p>
    <w:p w14:paraId="72382D14" w14:textId="47715A80" w:rsidR="004020C5" w:rsidRPr="00F57A8C" w:rsidRDefault="004020C5" w:rsidP="004020C5">
      <w:pPr>
        <w:pStyle w:val="Reference"/>
      </w:pPr>
      <w:r w:rsidRPr="00F57A8C">
        <w:t>Douglas, L., Wenitong, M., Cox, D., Muir, W., Martin-Pederson, M., Masterton, G., Mosby, E., Ah Kit, C., Dowling, C., Taylor, H., Ngahere, J., Ricky, P., Wells, S., Salmon, M., Hovane, V., Bassani, M., Martin, C., Rosengrave, J., Frawley, P., … Huggins, J. (2018, May 15–17). </w:t>
      </w:r>
      <w:r w:rsidRPr="00F57A8C">
        <w:rPr>
          <w:i/>
          <w:iCs/>
        </w:rPr>
        <w:t>Warawarni-gu Guma Statement </w:t>
      </w:r>
      <w:r w:rsidRPr="00F57A8C">
        <w:t xml:space="preserve">[Conference presentation]. ANROWS 2nd National Research Conference on Violence against Women, Sydney, NSW, Australia. </w:t>
      </w:r>
      <w:hyperlink r:id="rId59" w:history="1">
        <w:r w:rsidR="000D1E5C" w:rsidRPr="00AD639A">
          <w:rPr>
            <w:rStyle w:val="Hyperlink"/>
          </w:rPr>
          <w:t>https://www.anrows.org.au/warawarni-gu-guma-statement/</w:t>
        </w:r>
      </w:hyperlink>
    </w:p>
    <w:p w14:paraId="70263B8B" w14:textId="22EE7DD5" w:rsidR="004020C5" w:rsidRPr="00F57A8C" w:rsidRDefault="004020C5" w:rsidP="004020C5">
      <w:pPr>
        <w:pStyle w:val="Reference"/>
      </w:pPr>
      <w:r w:rsidRPr="00F57A8C">
        <w:t>FACSIAR. (2020). </w:t>
      </w:r>
      <w:r w:rsidRPr="000139EC">
        <w:rPr>
          <w:i/>
          <w:iCs/>
        </w:rPr>
        <w:t>Out-of-home care overtime 2018–19: Documentation and data dictionary</w:t>
      </w:r>
      <w:r w:rsidRPr="00F57A8C">
        <w:t>. FACSIAR.</w:t>
      </w:r>
    </w:p>
    <w:p w14:paraId="05C73744" w14:textId="744DBA09" w:rsidR="004020C5" w:rsidRPr="00F57A8C" w:rsidRDefault="004020C5" w:rsidP="004020C5">
      <w:pPr>
        <w:pStyle w:val="Reference"/>
      </w:pPr>
      <w:r w:rsidRPr="00F57A8C">
        <w:t>Family and Community Services. (2017). </w:t>
      </w:r>
      <w:r w:rsidRPr="00F57A8C">
        <w:rPr>
          <w:i/>
          <w:iCs/>
        </w:rPr>
        <w:t>Brighter Futures service provision guidelines</w:t>
      </w:r>
      <w:r w:rsidRPr="00F57A8C">
        <w:t xml:space="preserve">. NSW Government. </w:t>
      </w:r>
      <w:hyperlink r:id="rId60" w:history="1">
        <w:r w:rsidR="000D1E5C" w:rsidRPr="00AD639A">
          <w:rPr>
            <w:rStyle w:val="Hyperlink"/>
          </w:rPr>
          <w:t>https://www.facs.nsw.gov.au/__data/assets/file/0007/419218/Brighter_Futures_Service_Provision_Guidelines_2017_Ver0717.pdf</w:t>
        </w:r>
      </w:hyperlink>
    </w:p>
    <w:p w14:paraId="469FD13E" w14:textId="70CAEA3D" w:rsidR="004020C5" w:rsidRPr="00F57A8C" w:rsidRDefault="004020C5" w:rsidP="004020C5">
      <w:pPr>
        <w:pStyle w:val="Reference"/>
      </w:pPr>
      <w:r w:rsidRPr="00F57A8C">
        <w:lastRenderedPageBreak/>
        <w:t>Fernandez, E., &amp; Lee, J. S. (2011). Returning children in care to their families: Factors associated with the speed of</w:t>
      </w:r>
      <w:r w:rsidR="000D1E5C">
        <w:t> </w:t>
      </w:r>
      <w:r w:rsidRPr="00F57A8C">
        <w:t>reunification. </w:t>
      </w:r>
      <w:r w:rsidRPr="00F57A8C">
        <w:rPr>
          <w:i/>
          <w:iCs/>
        </w:rPr>
        <w:t>Child Indicators Research, 4</w:t>
      </w:r>
      <w:r w:rsidRPr="00F57A8C">
        <w:t xml:space="preserve">(4), 749–765. </w:t>
      </w:r>
      <w:hyperlink r:id="rId61" w:history="1">
        <w:r w:rsidR="000D1E5C" w:rsidRPr="00AD639A">
          <w:rPr>
            <w:rStyle w:val="Hyperlink"/>
          </w:rPr>
          <w:t>https://doi.org/10.1007/s12187-011-9121-7</w:t>
        </w:r>
      </w:hyperlink>
    </w:p>
    <w:p w14:paraId="7C2B116F" w14:textId="702ED53A" w:rsidR="004020C5" w:rsidRPr="00F57A8C" w:rsidRDefault="004020C5" w:rsidP="004020C5">
      <w:pPr>
        <w:pStyle w:val="Reference"/>
      </w:pPr>
      <w:r w:rsidRPr="00F57A8C">
        <w:t>Freisthler, B. (2004). A spatial analysis of social disorganization, alcohol access, and rates of child maltreatment in</w:t>
      </w:r>
      <w:r w:rsidR="000D1E5C">
        <w:t> </w:t>
      </w:r>
      <w:r w:rsidRPr="00F57A8C">
        <w:t>neighborhoods. </w:t>
      </w:r>
      <w:r w:rsidRPr="00F57A8C">
        <w:rPr>
          <w:i/>
          <w:iCs/>
        </w:rPr>
        <w:t>Children and Youth Services Review, 26</w:t>
      </w:r>
      <w:r w:rsidRPr="00F57A8C">
        <w:t xml:space="preserve">(9), 803–819. </w:t>
      </w:r>
      <w:hyperlink r:id="rId62" w:history="1">
        <w:r w:rsidR="000D1E5C" w:rsidRPr="00AD639A">
          <w:rPr>
            <w:rStyle w:val="Hyperlink"/>
          </w:rPr>
          <w:t>https://doi.org/10.1016/j.childyouth.2004.02.022</w:t>
        </w:r>
      </w:hyperlink>
    </w:p>
    <w:p w14:paraId="1B48CE55" w14:textId="1D177628" w:rsidR="004020C5" w:rsidRPr="00F57A8C" w:rsidRDefault="004020C5" w:rsidP="004020C5">
      <w:pPr>
        <w:pStyle w:val="Reference"/>
      </w:pPr>
      <w:r w:rsidRPr="00F57A8C">
        <w:t>Healey, L., Heward-Belle, S. Humphreys, C., Isobe, J., Tsantefski, M., &amp; Young, A. (2020). </w:t>
      </w:r>
      <w:r w:rsidRPr="000139EC">
        <w:rPr>
          <w:i/>
          <w:iCs/>
        </w:rPr>
        <w:t>Final report: Working at the intersections of domestic and family violence, parental substance misuse and/or mental health issues</w:t>
      </w:r>
      <w:r w:rsidRPr="00F57A8C">
        <w:t>. </w:t>
      </w:r>
      <w:hyperlink r:id="rId63" w:history="1">
        <w:r w:rsidR="000D1E5C" w:rsidRPr="00AD639A">
          <w:rPr>
            <w:rStyle w:val="Hyperlink"/>
          </w:rPr>
          <w:t>https://vawc.com.au/wp-content/uploads/2020/10/STACY-working-with-complexity-Final-Report.pdf</w:t>
        </w:r>
      </w:hyperlink>
    </w:p>
    <w:p w14:paraId="532041DC" w14:textId="7EA72272" w:rsidR="004020C5" w:rsidRPr="00F57A8C" w:rsidRDefault="004020C5" w:rsidP="004020C5">
      <w:pPr>
        <w:pStyle w:val="Reference"/>
      </w:pPr>
      <w:r w:rsidRPr="000139EC">
        <w:rPr>
          <w:i/>
          <w:iCs/>
        </w:rPr>
        <w:t>Health Records and Information Privacy Act 2002</w:t>
      </w:r>
      <w:r w:rsidRPr="00F57A8C">
        <w:t> (NSW).</w:t>
      </w:r>
    </w:p>
    <w:p w14:paraId="178B6A7E" w14:textId="0BDDB686" w:rsidR="004020C5" w:rsidRPr="00F57A8C" w:rsidRDefault="004020C5" w:rsidP="004020C5">
      <w:pPr>
        <w:pStyle w:val="Reference"/>
      </w:pPr>
      <w:r w:rsidRPr="00F57A8C">
        <w:t>Heward-Belle, S., Healey, L., Isobe, J., Roumeliotis, A., Links, Erin, Mandel, D., Tsantfski, M., Young, A., &amp; Humphreys, C. (2020). </w:t>
      </w:r>
      <w:r w:rsidRPr="00F57A8C">
        <w:rPr>
          <w:i/>
          <w:iCs/>
        </w:rPr>
        <w:t>Practice guide: Working at the intersections of domestic and family violence, parental substance misuse and/or mental health issues. </w:t>
      </w:r>
      <w:hyperlink r:id="rId64" w:history="1">
        <w:r w:rsidR="000D1E5C" w:rsidRPr="00AD639A">
          <w:rPr>
            <w:rStyle w:val="Hyperlink"/>
          </w:rPr>
          <w:t>https://vawc.com.au/wp-content/uploads/2020/10/STACY-Practice-Guide-Working-with-Complexity.pdf</w:t>
        </w:r>
      </w:hyperlink>
    </w:p>
    <w:p w14:paraId="5A8127E2" w14:textId="7241F8EB" w:rsidR="004020C5" w:rsidRPr="00F57A8C" w:rsidRDefault="004020C5" w:rsidP="004020C5">
      <w:pPr>
        <w:pStyle w:val="Reference"/>
      </w:pPr>
      <w:r w:rsidRPr="00F57A8C">
        <w:t>Heward-Belle, S., Humphreys, C., Healey, L., Toivonen, C., &amp; Tsantefski, M. (2019). Invisible practices: Interventions</w:t>
      </w:r>
      <w:r w:rsidR="000D1E5C">
        <w:t> </w:t>
      </w:r>
      <w:r w:rsidRPr="00F57A8C">
        <w:t>with men who use violence and control. </w:t>
      </w:r>
      <w:r w:rsidRPr="00F57A8C">
        <w:rPr>
          <w:i/>
          <w:iCs/>
        </w:rPr>
        <w:t>Affilia: Feminist Inquiry in Social Work, 34</w:t>
      </w:r>
      <w:r w:rsidRPr="00F57A8C">
        <w:t xml:space="preserve">(3), 369–382. </w:t>
      </w:r>
      <w:hyperlink r:id="rId65" w:history="1">
        <w:r w:rsidR="000D1E5C" w:rsidRPr="00AD639A">
          <w:rPr>
            <w:rStyle w:val="Hyperlink"/>
          </w:rPr>
          <w:t>https://doi.org/10.1177/0886109919848750</w:t>
        </w:r>
      </w:hyperlink>
    </w:p>
    <w:p w14:paraId="27E3E737" w14:textId="1AD80C29" w:rsidR="004020C5" w:rsidRPr="00F57A8C" w:rsidRDefault="004020C5" w:rsidP="004020C5">
      <w:pPr>
        <w:pStyle w:val="Reference"/>
      </w:pPr>
      <w:r w:rsidRPr="00F57A8C">
        <w:t>Holly, J., &amp; Horvath, M. A. H. (2012). A question of commitment – improving practitioner responses to domestic and sexual violence, problematic substance use and mental ill-health. </w:t>
      </w:r>
      <w:r w:rsidRPr="00F57A8C">
        <w:rPr>
          <w:i/>
          <w:iCs/>
        </w:rPr>
        <w:t>Advances in Dual Diagnoses, 5</w:t>
      </w:r>
      <w:r w:rsidRPr="00F57A8C">
        <w:t xml:space="preserve">(2), 59–67. </w:t>
      </w:r>
      <w:hyperlink r:id="rId66" w:history="1">
        <w:r w:rsidR="000D1E5C" w:rsidRPr="00AD639A">
          <w:rPr>
            <w:rStyle w:val="Hyperlink"/>
          </w:rPr>
          <w:t>https://doi.org/10.1108/17570971211241912</w:t>
        </w:r>
      </w:hyperlink>
    </w:p>
    <w:p w14:paraId="6D29E1D9" w14:textId="5479C70E" w:rsidR="004020C5" w:rsidRPr="00F57A8C" w:rsidRDefault="004020C5" w:rsidP="004020C5">
      <w:pPr>
        <w:pStyle w:val="Reference"/>
      </w:pPr>
      <w:r w:rsidRPr="00F57A8C">
        <w:t>Humphreys, C., &amp; Healey, L. (2017). </w:t>
      </w:r>
      <w:r w:rsidRPr="000139EC">
        <w:rPr>
          <w:i/>
          <w:iCs/>
        </w:rPr>
        <w:t>PAThways and Research Into Collaborative Inter-Agency practice: Collaborative work across the child protection and specialist domestic and family violence interface: Final report</w:t>
      </w:r>
      <w:r w:rsidRPr="00F57A8C">
        <w:t xml:space="preserve"> (ANROWS Horizons, 03/2017). ANROWS. </w:t>
      </w:r>
      <w:hyperlink r:id="rId67" w:history="1">
        <w:r w:rsidR="000D1E5C" w:rsidRPr="00AD639A">
          <w:rPr>
            <w:rStyle w:val="Hyperlink"/>
          </w:rPr>
          <w:t>https://www.anrows.org.au/publication/pathways-and-research-into-collaborative-inter-agency-practice-collaborative-work-across-the-child-protection-and-specialist-domestic-and-family-violence-interface-the-patricia-project-final-report/</w:t>
        </w:r>
      </w:hyperlink>
    </w:p>
    <w:p w14:paraId="7ACA3CDC" w14:textId="7191EB52" w:rsidR="004020C5" w:rsidRPr="00F57A8C" w:rsidRDefault="004020C5" w:rsidP="004020C5">
      <w:pPr>
        <w:pStyle w:val="Reference"/>
      </w:pPr>
      <w:r w:rsidRPr="00F57A8C">
        <w:t>Humphreys, C., Healey, L., &amp; Mandel, D. (2018). Case reading as a practice and training intervention in domestic violence and child protection. </w:t>
      </w:r>
      <w:r w:rsidRPr="00F57A8C">
        <w:rPr>
          <w:i/>
          <w:iCs/>
        </w:rPr>
        <w:t>Australian Social Work, 71</w:t>
      </w:r>
      <w:r w:rsidRPr="00F57A8C">
        <w:t xml:space="preserve">(3), 277–291. </w:t>
      </w:r>
      <w:hyperlink r:id="rId68" w:history="1">
        <w:r w:rsidR="000D1E5C" w:rsidRPr="00AD639A">
          <w:rPr>
            <w:rStyle w:val="Hyperlink"/>
          </w:rPr>
          <w:t>https://doi.org/10.1080/0312407X.2017.1413666</w:t>
        </w:r>
      </w:hyperlink>
    </w:p>
    <w:p w14:paraId="3B8DCE04" w14:textId="697CC2D2" w:rsidR="004020C5" w:rsidRPr="00F57A8C" w:rsidRDefault="004020C5" w:rsidP="004020C5">
      <w:pPr>
        <w:pStyle w:val="Reference"/>
      </w:pPr>
      <w:r w:rsidRPr="00F57A8C">
        <w:t>Humphreys, C., Heward‐Belle, S., Tsantefski, M., Isobe, J., &amp; Healey, L. (2022). Beyond co‐occurrence: Addressing the intersections of domestic violence, mental health and substance misuse. </w:t>
      </w:r>
      <w:r w:rsidRPr="00F57A8C">
        <w:rPr>
          <w:i/>
          <w:iCs/>
        </w:rPr>
        <w:t>Child &amp; Family Social Work, 27</w:t>
      </w:r>
      <w:r w:rsidRPr="00F57A8C">
        <w:t xml:space="preserve">(2), 299–310. </w:t>
      </w:r>
      <w:hyperlink r:id="rId69" w:history="1">
        <w:r w:rsidR="000D1E5C" w:rsidRPr="00AD639A">
          <w:rPr>
            <w:rStyle w:val="Hyperlink"/>
          </w:rPr>
          <w:t>https://doi.org/10.1111/cfs.12885</w:t>
        </w:r>
      </w:hyperlink>
    </w:p>
    <w:p w14:paraId="4A25404D" w14:textId="541ADF22" w:rsidR="004020C5" w:rsidRPr="00F57A8C" w:rsidRDefault="004020C5" w:rsidP="004020C5">
      <w:pPr>
        <w:pStyle w:val="Reference"/>
      </w:pPr>
      <w:r w:rsidRPr="00F57A8C">
        <w:t>Humphreys, C., Kertesz, M., Parolini, A., Isobe, J., Heward-Belle, S., Tsantefski, M., O’Leary, P., Tan, W. W., Jeffreys, C., Bornemisza, A., Young, A., Fogden, L., &amp; Healey, L. (2020). </w:t>
      </w:r>
      <w:r w:rsidRPr="00F57A8C">
        <w:rPr>
          <w:i/>
          <w:iCs/>
        </w:rPr>
        <w:t>Safe &amp; Together Addressing ComplexitY for Children (STACY for Children)</w:t>
      </w:r>
      <w:r w:rsidRPr="00F57A8C">
        <w:t xml:space="preserve"> (Research report, 22/20). ANROWS. </w:t>
      </w:r>
      <w:hyperlink r:id="rId70" w:history="1">
        <w:r w:rsidR="000D1E5C" w:rsidRPr="00AD639A">
          <w:rPr>
            <w:rStyle w:val="Hyperlink"/>
          </w:rPr>
          <w:t>https://www.anrows.org.au/publication/safe-together-addressing-complexity-for-children-stacy-for-children/</w:t>
        </w:r>
      </w:hyperlink>
    </w:p>
    <w:p w14:paraId="1220A371" w14:textId="7F29183B" w:rsidR="004020C5" w:rsidRPr="00F57A8C" w:rsidRDefault="004020C5" w:rsidP="004020C5">
      <w:pPr>
        <w:pStyle w:val="Reference"/>
      </w:pPr>
      <w:r w:rsidRPr="00F57A8C">
        <w:t>Kohl, P. L., Jonson-Reid, M., &amp; Drake, B. (2011). Maternal mental illness and the safety and stability of maltreated children. </w:t>
      </w:r>
      <w:r w:rsidRPr="00F57A8C">
        <w:rPr>
          <w:i/>
          <w:iCs/>
        </w:rPr>
        <w:t>Child Abuse &amp; Neglect, 35</w:t>
      </w:r>
      <w:r w:rsidRPr="00F57A8C">
        <w:t xml:space="preserve">(5), 309–318. </w:t>
      </w:r>
      <w:hyperlink r:id="rId71" w:history="1">
        <w:r w:rsidR="000D1E5C" w:rsidRPr="00AD639A">
          <w:rPr>
            <w:rStyle w:val="Hyperlink"/>
          </w:rPr>
          <w:t>https://doi.org/10.1016/j.chiabu.2011.01.006</w:t>
        </w:r>
      </w:hyperlink>
    </w:p>
    <w:p w14:paraId="092AD4E2" w14:textId="1DE9F53C" w:rsidR="004020C5" w:rsidRPr="00F57A8C" w:rsidRDefault="004020C5" w:rsidP="004020C5">
      <w:pPr>
        <w:pStyle w:val="Reference"/>
      </w:pPr>
      <w:r w:rsidRPr="00F57A8C">
        <w:t>Krakouer, J., Tan, W. W., &amp; Parolini, A. (2021). Who is analysing what? The opportunities, risks and implications of</w:t>
      </w:r>
      <w:r w:rsidR="00BE5324">
        <w:t> </w:t>
      </w:r>
      <w:r w:rsidRPr="00F57A8C">
        <w:t>using predictive risk modelling with Indigenous Australians in child protection: A scoping review. </w:t>
      </w:r>
      <w:r w:rsidRPr="00F57A8C">
        <w:rPr>
          <w:i/>
          <w:iCs/>
        </w:rPr>
        <w:t>Australian Journal of Social Issues, 56</w:t>
      </w:r>
      <w:r w:rsidRPr="00F57A8C">
        <w:t xml:space="preserve">(2), 173–197. </w:t>
      </w:r>
      <w:hyperlink r:id="rId72" w:history="1">
        <w:r w:rsidR="000D1E5C" w:rsidRPr="00AD639A">
          <w:rPr>
            <w:rStyle w:val="Hyperlink"/>
          </w:rPr>
          <w:t>https://doi.org/10.1002/ajs4.155</w:t>
        </w:r>
      </w:hyperlink>
    </w:p>
    <w:p w14:paraId="4B35A9BC" w14:textId="4837957B" w:rsidR="004020C5" w:rsidRPr="00F57A8C" w:rsidRDefault="004020C5" w:rsidP="004020C5">
      <w:pPr>
        <w:pStyle w:val="Reference"/>
      </w:pPr>
      <w:r w:rsidRPr="00F57A8C">
        <w:t>Law Enforcement Conduct Commission. (2020). </w:t>
      </w:r>
      <w:r w:rsidRPr="000139EC">
        <w:rPr>
          <w:i/>
          <w:iCs/>
        </w:rPr>
        <w:t>An investigation into the formulation and use of the NSW Police Force Suspect Targeting Management Plan on children and young people: Operation Tepito, Interim Report pursuant to Part 6 LECC Act</w:t>
      </w:r>
      <w:r w:rsidRPr="00F57A8C">
        <w:t xml:space="preserve">. State of New South Wales. </w:t>
      </w:r>
      <w:hyperlink r:id="rId73" w:history="1">
        <w:r w:rsidR="000D1E5C" w:rsidRPr="00AD639A">
          <w:rPr>
            <w:rStyle w:val="Hyperlink"/>
          </w:rPr>
          <w:t>https://media.opengov.nsw.gov.au/pairtree_root/00/d7/3b/2e/75/50/4f/9f/ab/55/ef/48/4a/d3/9c/3f/obj/operation_tepito_interim_report_january_2020.pdf</w:t>
        </w:r>
      </w:hyperlink>
    </w:p>
    <w:p w14:paraId="64BD5DA6" w14:textId="0F6B4B7E" w:rsidR="004020C5" w:rsidRPr="00F57A8C" w:rsidRDefault="004020C5" w:rsidP="004020C5">
      <w:pPr>
        <w:pStyle w:val="Reference"/>
      </w:pPr>
      <w:r w:rsidRPr="00F57A8C">
        <w:lastRenderedPageBreak/>
        <w:t>Lucenko, B. A., Sharkova, I. V., Huber, A., Jemelka, R., &amp; Mancuso, D. (2015). Childhood adversity and behavioural health outcomes for youth: An investigation using state administrative data. </w:t>
      </w:r>
      <w:r w:rsidRPr="00F57A8C">
        <w:rPr>
          <w:i/>
          <w:iCs/>
        </w:rPr>
        <w:t>Child Abuse &amp; Neglect, 47</w:t>
      </w:r>
      <w:r w:rsidRPr="00F57A8C">
        <w:t xml:space="preserve">, 48–58. </w:t>
      </w:r>
      <w:hyperlink r:id="rId74" w:history="1">
        <w:r w:rsidR="000D1E5C" w:rsidRPr="00AD639A">
          <w:rPr>
            <w:rStyle w:val="Hyperlink"/>
          </w:rPr>
          <w:t>https://doi.org/10.1016/j.chiabu.2015.07.006</w:t>
        </w:r>
      </w:hyperlink>
    </w:p>
    <w:p w14:paraId="4FBE86AA" w14:textId="7BE7029A" w:rsidR="004020C5" w:rsidRPr="00F57A8C" w:rsidRDefault="004020C5" w:rsidP="004020C5">
      <w:pPr>
        <w:pStyle w:val="Reference"/>
      </w:pPr>
      <w:r w:rsidRPr="00F57A8C">
        <w:t>Marel, C., Siedlecka, E., Fisher, A., Gournay, K., Deady, M., Baker, A., Kay-Lambkin, F., Teesson, M., Baillie, A., &amp;</w:t>
      </w:r>
      <w:r w:rsidR="000D1E5C">
        <w:t> </w:t>
      </w:r>
      <w:r w:rsidRPr="00F57A8C">
        <w:t>Mills K. L. (2022). </w:t>
      </w:r>
      <w:r w:rsidRPr="00F57A8C">
        <w:rPr>
          <w:i/>
          <w:iCs/>
        </w:rPr>
        <w:t>Guidelines on the management of co-occurring alcohol and other drug and mental health conditions in alcohol and other drug treatment settings.</w:t>
      </w:r>
      <w:r w:rsidRPr="00F57A8C">
        <w:t xml:space="preserve"> The Matilda Centre for Research in Mental Health and Substance Use, University of Sydney. </w:t>
      </w:r>
      <w:hyperlink r:id="rId75" w:history="1">
        <w:r w:rsidR="000D1E5C" w:rsidRPr="00AD639A">
          <w:rPr>
            <w:rStyle w:val="Hyperlink"/>
          </w:rPr>
          <w:t>https://comorbidityguidelines.org.au/pdf/comorbidity-guideline.pdf</w:t>
        </w:r>
      </w:hyperlink>
    </w:p>
    <w:p w14:paraId="5B410E09" w14:textId="7FAB7F9D" w:rsidR="004020C5" w:rsidRPr="00F57A8C" w:rsidRDefault="004020C5" w:rsidP="004020C5">
      <w:pPr>
        <w:pStyle w:val="Reference"/>
      </w:pPr>
      <w:r w:rsidRPr="00F57A8C">
        <w:t>Meiksans, J., Arney, F., Flaherty, R., Octoman, O., Chong, A., Ward, F., &amp; Taylor, C. (2021). Risk factors identified in</w:t>
      </w:r>
      <w:r w:rsidR="000D1E5C">
        <w:t> </w:t>
      </w:r>
      <w:r w:rsidRPr="00F57A8C">
        <w:t>prenatal child protection reports. </w:t>
      </w:r>
      <w:r w:rsidRPr="00F57A8C">
        <w:rPr>
          <w:i/>
          <w:iCs/>
        </w:rPr>
        <w:t>Children and Youth Services Review, 122</w:t>
      </w:r>
      <w:r w:rsidRPr="00F57A8C">
        <w:t xml:space="preserve">, Article 105905. </w:t>
      </w:r>
      <w:hyperlink r:id="rId76" w:history="1">
        <w:r w:rsidR="000D1E5C" w:rsidRPr="00AD639A">
          <w:rPr>
            <w:rStyle w:val="Hyperlink"/>
          </w:rPr>
          <w:t>https://doi.org/10.1016/j.childyouth.2020.105905</w:t>
        </w:r>
      </w:hyperlink>
    </w:p>
    <w:p w14:paraId="69C446C9" w14:textId="32941D97" w:rsidR="004020C5" w:rsidRPr="00F57A8C" w:rsidRDefault="004020C5" w:rsidP="004020C5">
      <w:pPr>
        <w:pStyle w:val="Reference"/>
      </w:pPr>
      <w:r w:rsidRPr="00F57A8C">
        <w:t>Mental Health and Drug and Alcohol Office. (2015). </w:t>
      </w:r>
      <w:r w:rsidRPr="00F57A8C">
        <w:rPr>
          <w:i/>
          <w:iCs/>
        </w:rPr>
        <w:t>Effective models of care for comorbid mental illness and illicit substance use: Evidence check review</w:t>
      </w:r>
      <w:r w:rsidRPr="00F57A8C">
        <w:t xml:space="preserve">. NSW Ministry of Health. </w:t>
      </w:r>
      <w:hyperlink r:id="rId77" w:history="1">
        <w:r w:rsidR="000D1E5C" w:rsidRPr="00AD639A">
          <w:rPr>
            <w:rStyle w:val="Hyperlink"/>
          </w:rPr>
          <w:t>https://www.health.nsw.gov.au/mentalhealth/resources/Publications/comorbid-mental-care-review.pdf</w:t>
        </w:r>
      </w:hyperlink>
    </w:p>
    <w:p w14:paraId="29DC6CDB" w14:textId="3CF498C2" w:rsidR="004020C5" w:rsidRPr="00F57A8C" w:rsidRDefault="004020C5" w:rsidP="004020C5">
      <w:pPr>
        <w:pStyle w:val="Reference"/>
      </w:pPr>
      <w:r w:rsidRPr="00F57A8C">
        <w:t>Morton, C. M., Simmel, C., &amp; Peterson, N. A. (2014). Neighborhood alcohol outlet density and rates of child abuse and neglect: Moderating effects of access to substance abuse services. </w:t>
      </w:r>
      <w:r w:rsidRPr="00F57A8C">
        <w:rPr>
          <w:i/>
          <w:iCs/>
        </w:rPr>
        <w:t>Child Abuse &amp; Neglect, 38</w:t>
      </w:r>
      <w:r w:rsidRPr="00F57A8C">
        <w:t xml:space="preserve">(5), 952–961. </w:t>
      </w:r>
      <w:hyperlink r:id="rId78" w:history="1">
        <w:r w:rsidR="000D1E5C" w:rsidRPr="00AD639A">
          <w:rPr>
            <w:rStyle w:val="Hyperlink"/>
          </w:rPr>
          <w:t>https://doi.org/10.1016/j.chiabu.2014.01.002</w:t>
        </w:r>
      </w:hyperlink>
    </w:p>
    <w:p w14:paraId="0848CD40" w14:textId="1B876458" w:rsidR="004020C5" w:rsidRPr="00F57A8C" w:rsidRDefault="004020C5" w:rsidP="004020C5">
      <w:pPr>
        <w:pStyle w:val="Reference"/>
      </w:pPr>
      <w:r w:rsidRPr="00F57A8C">
        <w:t>NSW Ministry of Health. (2019). </w:t>
      </w:r>
      <w:r w:rsidRPr="00F57A8C">
        <w:rPr>
          <w:i/>
          <w:iCs/>
        </w:rPr>
        <w:t>Integrated prevention and response to violence, abuse and neglect framework</w:t>
      </w:r>
      <w:r w:rsidRPr="00F57A8C">
        <w:t xml:space="preserve">. NSW Ministry of Health. </w:t>
      </w:r>
      <w:hyperlink r:id="rId79" w:history="1">
        <w:r w:rsidR="000D1E5C" w:rsidRPr="00AD639A">
          <w:rPr>
            <w:rStyle w:val="Hyperlink"/>
          </w:rPr>
          <w:t>https://www.health.nsw.gov.au/parvan/Publications/iparvan-framework.pdf</w:t>
        </w:r>
      </w:hyperlink>
    </w:p>
    <w:p w14:paraId="6BF6D2DC" w14:textId="087BF682" w:rsidR="004020C5" w:rsidRPr="00F57A8C" w:rsidRDefault="004020C5" w:rsidP="004020C5">
      <w:pPr>
        <w:pStyle w:val="Reference"/>
      </w:pPr>
      <w:r w:rsidRPr="00F57A8C">
        <w:t>NSW Ministry of Health. (2020). </w:t>
      </w:r>
      <w:r w:rsidRPr="00F57A8C">
        <w:rPr>
          <w:i/>
          <w:iCs/>
        </w:rPr>
        <w:t>Data dictionaries: NSW</w:t>
      </w:r>
      <w:r w:rsidRPr="00F57A8C">
        <w:t> </w:t>
      </w:r>
      <w:r w:rsidRPr="00F57A8C">
        <w:rPr>
          <w:i/>
          <w:iCs/>
        </w:rPr>
        <w:t>Admitted Patient Data Collection (APDC)</w:t>
      </w:r>
      <w:r w:rsidRPr="00F57A8C">
        <w:t>. NSW Ministry of</w:t>
      </w:r>
      <w:r w:rsidR="000D1E5C">
        <w:t> </w:t>
      </w:r>
      <w:r w:rsidRPr="00F57A8C">
        <w:t xml:space="preserve">Health. </w:t>
      </w:r>
      <w:hyperlink r:id="rId80" w:history="1">
        <w:r w:rsidR="000D1E5C" w:rsidRPr="00AD639A">
          <w:rPr>
            <w:rStyle w:val="Hyperlink"/>
          </w:rPr>
          <w:t>https://www.cherel.org.au/datasets</w:t>
        </w:r>
      </w:hyperlink>
    </w:p>
    <w:p w14:paraId="77042E1E" w14:textId="290E87E3" w:rsidR="004020C5" w:rsidRPr="00F57A8C" w:rsidRDefault="004020C5" w:rsidP="004020C5">
      <w:pPr>
        <w:pStyle w:val="Reference"/>
      </w:pPr>
      <w:r w:rsidRPr="00F57A8C">
        <w:t>Octoman, O., Arney, F., Meiksans, J., Flaherty, R., Chong, A., Ward, F., &amp; Taylor, C. (2023). Subsequent child protection contact for a cohort of children reported to child protection prenatally in one Australian jurisdiction. </w:t>
      </w:r>
      <w:r w:rsidRPr="00F57A8C">
        <w:rPr>
          <w:i/>
          <w:iCs/>
        </w:rPr>
        <w:t>Child</w:t>
      </w:r>
      <w:r w:rsidR="00BE5324">
        <w:rPr>
          <w:i/>
          <w:iCs/>
        </w:rPr>
        <w:t> </w:t>
      </w:r>
      <w:r w:rsidRPr="00F57A8C">
        <w:rPr>
          <w:i/>
          <w:iCs/>
        </w:rPr>
        <w:t>Abuse Review, 32</w:t>
      </w:r>
      <w:r w:rsidRPr="00F57A8C">
        <w:t xml:space="preserve">(1), Article e2808. </w:t>
      </w:r>
      <w:hyperlink r:id="rId81" w:history="1">
        <w:r w:rsidR="000D1E5C" w:rsidRPr="00AD639A">
          <w:rPr>
            <w:rStyle w:val="Hyperlink"/>
          </w:rPr>
          <w:t>https://doi.org/10.1002/car.2808</w:t>
        </w:r>
      </w:hyperlink>
    </w:p>
    <w:p w14:paraId="766A19D3" w14:textId="76621EB6" w:rsidR="004020C5" w:rsidRPr="00F57A8C" w:rsidRDefault="004020C5" w:rsidP="004020C5">
      <w:pPr>
        <w:pStyle w:val="Reference"/>
      </w:pPr>
      <w:r w:rsidRPr="00F57A8C">
        <w:t>O’Leary, C., Lawrence, D., Hafekost, K., Zubrick, S. R., &amp; Bower, C. (2020). Maternal alcohol-use disorder and child outcomes. </w:t>
      </w:r>
      <w:r w:rsidRPr="00F57A8C">
        <w:rPr>
          <w:i/>
          <w:iCs/>
        </w:rPr>
        <w:t>Obstetrical &amp; Gynecological Survey, 75</w:t>
      </w:r>
      <w:r w:rsidRPr="00F57A8C">
        <w:t xml:space="preserve">(8), 461-462. </w:t>
      </w:r>
      <w:hyperlink r:id="rId82" w:history="1">
        <w:r w:rsidR="000D1E5C" w:rsidRPr="00AD639A">
          <w:rPr>
            <w:rStyle w:val="Hyperlink"/>
          </w:rPr>
          <w:t>https://doi.org/10.1097/01.ogx.0000697380.77419.29</w:t>
        </w:r>
      </w:hyperlink>
    </w:p>
    <w:p w14:paraId="5F6DA744" w14:textId="3C890EC3" w:rsidR="004020C5" w:rsidRPr="00F57A8C" w:rsidRDefault="004020C5" w:rsidP="004020C5">
      <w:pPr>
        <w:pStyle w:val="Reference"/>
      </w:pPr>
      <w:r w:rsidRPr="00F57A8C">
        <w:t>Orr, C., Fisher, C., Sims, S., Preen, D., Glauert, R., &amp; O’Donnell, M. (2019). Hospitalisations for maternal assault are associated with increased risk of child protection involvement. </w:t>
      </w:r>
      <w:r w:rsidRPr="00F57A8C">
        <w:rPr>
          <w:i/>
          <w:iCs/>
        </w:rPr>
        <w:t>Child Abuse &amp; Neglect, 95</w:t>
      </w:r>
      <w:r w:rsidRPr="00F57A8C">
        <w:t xml:space="preserve">, Article 104014. </w:t>
      </w:r>
      <w:hyperlink r:id="rId83" w:history="1">
        <w:r w:rsidR="000D1E5C" w:rsidRPr="00AD639A">
          <w:rPr>
            <w:rStyle w:val="Hyperlink"/>
          </w:rPr>
          <w:t>https://doi.org/10.1016/j.chiabu.2019.05.007</w:t>
        </w:r>
      </w:hyperlink>
    </w:p>
    <w:p w14:paraId="0CB6C009" w14:textId="62EA976A" w:rsidR="004020C5" w:rsidRPr="00F57A8C" w:rsidRDefault="004020C5" w:rsidP="004020C5">
      <w:pPr>
        <w:pStyle w:val="Reference"/>
      </w:pPr>
      <w:r w:rsidRPr="000139EC">
        <w:rPr>
          <w:i/>
          <w:iCs/>
        </w:rPr>
        <w:t>Privacy and Personal Information Protection Act 1998</w:t>
      </w:r>
      <w:r w:rsidRPr="00F57A8C">
        <w:t> (NSW).</w:t>
      </w:r>
    </w:p>
    <w:p w14:paraId="59F1D510" w14:textId="191CB832" w:rsidR="004020C5" w:rsidRPr="00F57A8C" w:rsidRDefault="004020C5" w:rsidP="004020C5">
      <w:pPr>
        <w:pStyle w:val="Reference"/>
      </w:pPr>
      <w:r w:rsidRPr="00F57A8C">
        <w:t>Raviv, T., Taussig, H. N., Culhane S. E., &amp; Garrido E. F. (2010). Cumulative risk exposure and mental health symptoms among maltreated youth placed in out-of-home care. </w:t>
      </w:r>
      <w:r w:rsidRPr="00F57A8C">
        <w:rPr>
          <w:i/>
          <w:iCs/>
        </w:rPr>
        <w:t>Child Abuse &amp; Neglect, 34</w:t>
      </w:r>
      <w:r w:rsidRPr="00F57A8C">
        <w:t xml:space="preserve">(10), 742–751. </w:t>
      </w:r>
      <w:hyperlink r:id="rId84" w:history="1">
        <w:r w:rsidR="000D1E5C" w:rsidRPr="00AD639A">
          <w:rPr>
            <w:rStyle w:val="Hyperlink"/>
          </w:rPr>
          <w:t>https://doi.org/10.1016/j.chiabu.2010.02.011</w:t>
        </w:r>
      </w:hyperlink>
    </w:p>
    <w:p w14:paraId="2D879EB4" w14:textId="6C8DF870" w:rsidR="004020C5" w:rsidRPr="00F57A8C" w:rsidRDefault="004020C5" w:rsidP="004020C5">
      <w:pPr>
        <w:pStyle w:val="Reference"/>
      </w:pPr>
      <w:r w:rsidRPr="00F57A8C">
        <w:t>Redfern Legal Centre. (2023). </w:t>
      </w:r>
      <w:r w:rsidRPr="00F57A8C">
        <w:rPr>
          <w:i/>
          <w:iCs/>
        </w:rPr>
        <w:t>NSW Police person searches: A disproportionate impact</w:t>
      </w:r>
      <w:r w:rsidRPr="00F57A8C">
        <w:t xml:space="preserve">. Redfern Legal Centre. </w:t>
      </w:r>
      <w:hyperlink r:id="rId85" w:history="1">
        <w:r w:rsidR="000D1E5C" w:rsidRPr="00AD639A">
          <w:rPr>
            <w:rStyle w:val="Hyperlink"/>
          </w:rPr>
          <w:t>https://rlc.org.au/news-and-media/news/nsw-police-person-searches-disproportionate-impact</w:t>
        </w:r>
      </w:hyperlink>
    </w:p>
    <w:p w14:paraId="46E03BB4" w14:textId="669C4633" w:rsidR="004020C5" w:rsidRPr="00F57A8C" w:rsidRDefault="004020C5" w:rsidP="004020C5">
      <w:pPr>
        <w:pStyle w:val="Reference"/>
      </w:pPr>
      <w:r w:rsidRPr="00F57A8C">
        <w:t>Sokol, R. L., Victor, B. G., Mariscal, E. S., Ryan, J. P., &amp; Perron, B. E. (2021). Using administrative data to uncover how often and why supervisory neglect happens: Implications for child maltreatment prevention. </w:t>
      </w:r>
      <w:r w:rsidRPr="00F57A8C">
        <w:rPr>
          <w:i/>
          <w:iCs/>
        </w:rPr>
        <w:t>Child Abuse &amp;</w:t>
      </w:r>
      <w:r w:rsidR="00BE5324">
        <w:rPr>
          <w:i/>
          <w:iCs/>
        </w:rPr>
        <w:t> </w:t>
      </w:r>
      <w:r w:rsidRPr="00F57A8C">
        <w:rPr>
          <w:i/>
          <w:iCs/>
        </w:rPr>
        <w:t>Neglect, 122</w:t>
      </w:r>
      <w:r w:rsidRPr="00F57A8C">
        <w:t xml:space="preserve">, Article 105321. </w:t>
      </w:r>
      <w:hyperlink r:id="rId86" w:history="1">
        <w:r w:rsidR="000D1E5C" w:rsidRPr="00AD639A">
          <w:rPr>
            <w:rStyle w:val="Hyperlink"/>
          </w:rPr>
          <w:t>https://doi.org/10.1016/j.chiabu.2021.105321</w:t>
        </w:r>
      </w:hyperlink>
    </w:p>
    <w:p w14:paraId="235F39D7" w14:textId="3537651B" w:rsidR="004020C5" w:rsidRPr="00F57A8C" w:rsidRDefault="004020C5" w:rsidP="004020C5">
      <w:pPr>
        <w:pStyle w:val="Reference"/>
      </w:pPr>
      <w:r w:rsidRPr="00F57A8C">
        <w:t>Their Futures Matter. (2019). </w:t>
      </w:r>
      <w:r w:rsidRPr="00F57A8C">
        <w:rPr>
          <w:i/>
          <w:iCs/>
        </w:rPr>
        <w:t>Forecasting future outcomes: Stronger Communities Investment Unit – 2018 insights report</w:t>
      </w:r>
      <w:r w:rsidRPr="00F57A8C">
        <w:t xml:space="preserve">. NSW Government. </w:t>
      </w:r>
      <w:hyperlink r:id="rId87" w:history="1">
        <w:r w:rsidR="000D1E5C" w:rsidRPr="00AD639A">
          <w:rPr>
            <w:rStyle w:val="Hyperlink"/>
          </w:rPr>
          <w:t>https://apo.org.au/sites/default/files/resource-files/2019-07/apo-nid246396.pdf</w:t>
        </w:r>
      </w:hyperlink>
    </w:p>
    <w:p w14:paraId="173AB198" w14:textId="6209FD58" w:rsidR="004020C5" w:rsidRPr="00F57A8C" w:rsidRDefault="004020C5" w:rsidP="004020C5">
      <w:pPr>
        <w:pStyle w:val="Reference"/>
      </w:pPr>
      <w:r w:rsidRPr="00F57A8C">
        <w:t>Victor, B. G., Henry, C., Gilbert, T. T., Ryan, J. P., &amp; Perron, B. E. (2019). Child protective service referrals involving exposure to domestic violence: Prevalence, associated maltreatment types, and likelihood of formal case openings. </w:t>
      </w:r>
      <w:r w:rsidRPr="00F57A8C">
        <w:rPr>
          <w:i/>
          <w:iCs/>
        </w:rPr>
        <w:t>Child Maltreatment, 24</w:t>
      </w:r>
      <w:r w:rsidRPr="00F57A8C">
        <w:t xml:space="preserve">(3), 299–309. </w:t>
      </w:r>
      <w:hyperlink r:id="rId88" w:history="1">
        <w:r w:rsidR="000D1E5C" w:rsidRPr="00AD639A">
          <w:rPr>
            <w:rStyle w:val="Hyperlink"/>
          </w:rPr>
          <w:t>https://doi.org/10.1177/1077559519843605</w:t>
        </w:r>
      </w:hyperlink>
    </w:p>
    <w:p w14:paraId="41BBC872" w14:textId="7CC5D4E7" w:rsidR="004020C5" w:rsidRPr="00F57A8C" w:rsidRDefault="004020C5" w:rsidP="004020C5">
      <w:pPr>
        <w:pStyle w:val="Reference"/>
      </w:pPr>
      <w:r w:rsidRPr="00F57A8C">
        <w:lastRenderedPageBreak/>
        <w:t>Williams, C. C., &amp; Dzhekova, R. (2014). Evaluating the cross-national transferability of policies: A conceptual framework. </w:t>
      </w:r>
      <w:r w:rsidRPr="00F57A8C">
        <w:rPr>
          <w:i/>
          <w:iCs/>
        </w:rPr>
        <w:t>Journal of Developmental Entrepreneurship, 19</w:t>
      </w:r>
      <w:r w:rsidRPr="00F57A8C">
        <w:t xml:space="preserve">(4), Article 1450022. </w:t>
      </w:r>
      <w:hyperlink r:id="rId89" w:history="1">
        <w:r w:rsidR="000D1E5C" w:rsidRPr="00AD639A">
          <w:rPr>
            <w:rStyle w:val="Hyperlink"/>
          </w:rPr>
          <w:t>https://doi.org/10.1142/S1084946714500228</w:t>
        </w:r>
      </w:hyperlink>
    </w:p>
    <w:p w14:paraId="5C05880B" w14:textId="3CF31E95" w:rsidR="004020C5" w:rsidRPr="00F57A8C" w:rsidRDefault="004020C5" w:rsidP="004020C5">
      <w:pPr>
        <w:pStyle w:val="Reference"/>
      </w:pPr>
      <w:r w:rsidRPr="00F57A8C">
        <w:t>Wood, J. (2008). </w:t>
      </w:r>
      <w:r w:rsidRPr="000139EC">
        <w:rPr>
          <w:i/>
          <w:iCs/>
        </w:rPr>
        <w:t>Report of the Special Commission of Inquiry into Child Protection Services in NSW: State of NSW through the Special Commission of Inquiry into child protection services in NSW</w:t>
      </w:r>
      <w:r w:rsidRPr="00F57A8C">
        <w:t> (Vol. 1 and 2). NSW Department of</w:t>
      </w:r>
      <w:r w:rsidR="00BE5324">
        <w:t> </w:t>
      </w:r>
      <w:r w:rsidRPr="00F57A8C">
        <w:t xml:space="preserve">Premier and Cabinet. </w:t>
      </w:r>
      <w:hyperlink r:id="rId90" w:history="1">
        <w:r w:rsidR="000D1E5C" w:rsidRPr="00AD639A">
          <w:rPr>
            <w:rStyle w:val="Hyperlink"/>
          </w:rPr>
          <w:t>https://apo.org.au/node/2851</w:t>
        </w:r>
      </w:hyperlink>
    </w:p>
    <w:p w14:paraId="5B40E489" w14:textId="4353C0AD" w:rsidR="004020C5" w:rsidRPr="00F57A8C" w:rsidRDefault="004020C5" w:rsidP="004020C5">
      <w:pPr>
        <w:pStyle w:val="Reference"/>
      </w:pPr>
      <w:r w:rsidRPr="00F57A8C">
        <w:t>World Health Organization. (2024). </w:t>
      </w:r>
      <w:r w:rsidRPr="00F57A8C">
        <w:rPr>
          <w:i/>
          <w:iCs/>
        </w:rPr>
        <w:t>Mental health</w:t>
      </w:r>
      <w:r w:rsidRPr="00F57A8C">
        <w:t xml:space="preserve">. WHO. </w:t>
      </w:r>
      <w:hyperlink r:id="rId91" w:history="1">
        <w:r w:rsidR="000D1E5C" w:rsidRPr="00AD639A">
          <w:rPr>
            <w:rStyle w:val="Hyperlink"/>
          </w:rPr>
          <w:t>https://www.who.int/news-room/fact-sheets/detail/mental-health-strengthening-our-response</w:t>
        </w:r>
      </w:hyperlink>
    </w:p>
    <w:p w14:paraId="638C541A" w14:textId="7D373B52" w:rsidR="004020C5" w:rsidRPr="00F57A8C" w:rsidRDefault="004020C5" w:rsidP="004020C5">
      <w:pPr>
        <w:pStyle w:val="Reference"/>
      </w:pPr>
      <w:r w:rsidRPr="00F57A8C">
        <w:t>Wright, A. C., Metcalfe, L., Heward-Belle, S., Collings, S., &amp; Barrett, E. (2021). </w:t>
      </w:r>
      <w:r w:rsidRPr="000139EC">
        <w:rPr>
          <w:i/>
          <w:iCs/>
        </w:rPr>
        <w:t>Critical interpretive synthesis: Child protection involvement for families with domestic and family violence, alcohol and other drug issues, and mental health issues</w:t>
      </w:r>
      <w:r w:rsidRPr="00F57A8C">
        <w:t xml:space="preserve"> (Research report, 06/2021). ANROWS. </w:t>
      </w:r>
      <w:hyperlink r:id="rId92" w:history="1">
        <w:r w:rsidR="000D1E5C" w:rsidRPr="00AD639A">
          <w:rPr>
            <w:rStyle w:val="Hyperlink"/>
          </w:rPr>
          <w:t>https://www.anrows.org.au/publication/critical-interpretive-synthesis-child-protection-involvement-for-families-with-domestic-and-family-violence-alcohol-and-other-drug-issues-and-mental-health-issues/</w:t>
        </w:r>
      </w:hyperlink>
    </w:p>
    <w:p w14:paraId="19835EB6" w14:textId="14E0F897" w:rsidR="004020C5" w:rsidRDefault="004020C5" w:rsidP="004020C5">
      <w:pPr>
        <w:pStyle w:val="Reference"/>
        <w:rPr>
          <w:rStyle w:val="Hyperlink"/>
        </w:rPr>
      </w:pPr>
      <w:r w:rsidRPr="00F57A8C">
        <w:t>Yampolskaya, S., Sharrock, P., Armstrong, M. I., Strozier, A., &amp; Swanke, J. (2014). Profile of children placed in out-of</w:t>
      </w:r>
      <w:r w:rsidR="00BE5324">
        <w:t> </w:t>
      </w:r>
      <w:r w:rsidRPr="00F57A8C">
        <w:t>home care: Association with permanency outcomes. </w:t>
      </w:r>
      <w:r w:rsidRPr="00F57A8C">
        <w:rPr>
          <w:i/>
          <w:iCs/>
        </w:rPr>
        <w:t>Children and Youth Services Review, 36</w:t>
      </w:r>
      <w:r w:rsidRPr="00F57A8C">
        <w:t xml:space="preserve">, 195–200. </w:t>
      </w:r>
      <w:hyperlink r:id="rId93" w:history="1">
        <w:r w:rsidR="000D1E5C" w:rsidRPr="00AD639A">
          <w:rPr>
            <w:rStyle w:val="Hyperlink"/>
          </w:rPr>
          <w:t>https://doi.org/10.1016/j.childyouth.2013.11.018</w:t>
        </w:r>
      </w:hyperlink>
    </w:p>
    <w:p w14:paraId="296CF152" w14:textId="77777777" w:rsidR="001D7607" w:rsidRDefault="001D7607" w:rsidP="004020C5">
      <w:pPr>
        <w:pStyle w:val="Reference"/>
        <w:sectPr w:rsidR="001D7607" w:rsidSect="007E1F57">
          <w:footerReference w:type="default" r:id="rId94"/>
          <w:footerReference w:type="first" r:id="rId95"/>
          <w:pgSz w:w="11906" w:h="16838"/>
          <w:pgMar w:top="1418" w:right="851" w:bottom="851" w:left="851" w:header="709" w:footer="454" w:gutter="0"/>
          <w:pgNumType w:start="1"/>
          <w:cols w:space="708"/>
          <w:docGrid w:linePitch="360"/>
        </w:sectPr>
      </w:pPr>
    </w:p>
    <w:p w14:paraId="320E6759" w14:textId="01B5B625" w:rsidR="004020C5" w:rsidRPr="004020C5" w:rsidRDefault="00D654CB" w:rsidP="004020C5">
      <w:r w:rsidRPr="004020C5">
        <w:rPr>
          <w:noProof/>
        </w:rPr>
        <w:lastRenderedPageBreak/>
        <w:drawing>
          <wp:inline distT="0" distB="0" distL="0" distR="0" wp14:anchorId="331958B5" wp14:editId="66AFA5B8">
            <wp:extent cx="2340000" cy="1055568"/>
            <wp:effectExtent l="0" t="0" r="0" b="0"/>
            <wp:docPr id="691061982"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61982" name="Picture 218">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000" cy="1055568"/>
                    </a:xfrm>
                    <a:prstGeom prst="rect">
                      <a:avLst/>
                    </a:prstGeom>
                    <a:noFill/>
                    <a:ln>
                      <a:noFill/>
                    </a:ln>
                  </pic:spPr>
                </pic:pic>
              </a:graphicData>
            </a:graphic>
          </wp:inline>
        </w:drawing>
      </w:r>
      <w:r w:rsidR="00F719AC" w:rsidRPr="004020C5">
        <w:rPr>
          <w:noProof/>
        </w:rPr>
        <w:drawing>
          <wp:anchor distT="0" distB="0" distL="114300" distR="114300" simplePos="0" relativeHeight="251658241" behindDoc="1" locked="0" layoutInCell="1" allowOverlap="1" wp14:anchorId="2AE60C14" wp14:editId="4A41B080">
            <wp:simplePos x="0" y="0"/>
            <wp:positionH relativeFrom="page">
              <wp:align>right</wp:align>
            </wp:positionH>
            <wp:positionV relativeFrom="page">
              <wp:align>top</wp:align>
            </wp:positionV>
            <wp:extent cx="6026400" cy="9252000"/>
            <wp:effectExtent l="0" t="0" r="0" b="0"/>
            <wp:wrapNone/>
            <wp:docPr id="768653869"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53869" name="Picture 110">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26400" cy="925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020C5" w:rsidRPr="004020C5" w:rsidSect="001D7607">
      <w:footerReference w:type="default" r:id="rId97"/>
      <w:pgSz w:w="11906" w:h="16838"/>
      <w:pgMar w:top="1418" w:right="851" w:bottom="851" w:left="851" w:header="709"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28EC2" w14:textId="77777777" w:rsidR="00AF0D9D" w:rsidRDefault="00AF0D9D" w:rsidP="006F5AD0">
      <w:pPr>
        <w:spacing w:after="0" w:line="240" w:lineRule="auto"/>
      </w:pPr>
      <w:r>
        <w:separator/>
      </w:r>
    </w:p>
  </w:endnote>
  <w:endnote w:type="continuationSeparator" w:id="0">
    <w:p w14:paraId="016AA00B" w14:textId="77777777" w:rsidR="00AF0D9D" w:rsidRDefault="00AF0D9D"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4F2C" w14:textId="0C8F5B2B" w:rsidR="00B86E75" w:rsidRPr="00E71119" w:rsidRDefault="00000000" w:rsidP="00F13048">
    <w:pPr>
      <w:pStyle w:val="Footer"/>
      <w:tabs>
        <w:tab w:val="clear" w:pos="9026"/>
        <w:tab w:val="right" w:pos="10204"/>
      </w:tabs>
      <w:spacing w:before="240"/>
      <w:rPr>
        <w:color w:val="787700" w:themeColor="accent1"/>
      </w:rPr>
    </w:pPr>
    <w:sdt>
      <w:sdtPr>
        <w:rPr>
          <w:color w:val="787700" w:themeColor="accent1"/>
        </w:rPr>
        <w:alias w:val="Title"/>
        <w:tag w:val=""/>
        <w:id w:val="547959909"/>
        <w:placeholder>
          <w:docPart w:val="7F7BB6EF82B54CB9AD8C69F00A13A408"/>
        </w:placeholder>
        <w:dataBinding w:prefixMappings="xmlns:ns0='http://purl.org/dc/elements/1.1/' xmlns:ns1='http://schemas.openxmlformats.org/package/2006/metadata/core-properties' " w:xpath="/ns1:coreProperties[1]/ns0:title[1]" w:storeItemID="{6C3C8BC8-F283-45AE-878A-BAB7291924A1}"/>
        <w:text/>
      </w:sdtPr>
      <w:sdtContent>
        <w:r w:rsidR="00363B6C" w:rsidRPr="00363B6C">
          <w:rPr>
            <w:color w:val="787700" w:themeColor="accent1"/>
          </w:rPr>
          <w:t>Analysis of linked longitudinal administrative data on child protection involvement for NSW families with</w:t>
        </w:r>
        <w:r w:rsidR="00363B6C">
          <w:rPr>
            <w:color w:val="787700" w:themeColor="accent1"/>
          </w:rPr>
          <w:t> </w:t>
        </w:r>
        <w:r w:rsidR="00363B6C" w:rsidRPr="00363B6C">
          <w:rPr>
            <w:color w:val="787700" w:themeColor="accent1"/>
          </w:rPr>
          <w:t>domestic</w:t>
        </w:r>
        <w:r w:rsidR="00363B6C">
          <w:rPr>
            <w:color w:val="787700" w:themeColor="accent1"/>
          </w:rPr>
          <w:t> </w:t>
        </w:r>
        <w:r w:rsidR="00363B6C" w:rsidRPr="00363B6C">
          <w:rPr>
            <w:color w:val="787700" w:themeColor="accent1"/>
          </w:rPr>
          <w:t>and</w:t>
        </w:r>
        <w:r w:rsidR="00363B6C">
          <w:rPr>
            <w:color w:val="787700" w:themeColor="accent1"/>
          </w:rPr>
          <w:t> </w:t>
        </w:r>
        <w:r w:rsidR="00363B6C" w:rsidRPr="00363B6C">
          <w:rPr>
            <w:color w:val="787700" w:themeColor="accent1"/>
          </w:rPr>
          <w:t xml:space="preserve">family </w:t>
        </w:r>
        <w:r w:rsidR="00363B6C">
          <w:rPr>
            <w:color w:val="787700" w:themeColor="accent1"/>
          </w:rPr>
          <w:t> </w:t>
        </w:r>
        <w:r w:rsidR="00363B6C" w:rsidRPr="00363B6C">
          <w:rPr>
            <w:color w:val="787700" w:themeColor="accent1"/>
          </w:rPr>
          <w:t>violence,</w:t>
        </w:r>
        <w:r w:rsidR="00363B6C">
          <w:rPr>
            <w:color w:val="787700" w:themeColor="accent1"/>
          </w:rPr>
          <w:t> </w:t>
        </w:r>
        <w:r w:rsidR="00363B6C" w:rsidRPr="00363B6C">
          <w:rPr>
            <w:color w:val="787700" w:themeColor="accent1"/>
          </w:rPr>
          <w:t>alcohol</w:t>
        </w:r>
        <w:r w:rsidR="00363B6C">
          <w:rPr>
            <w:color w:val="787700" w:themeColor="accent1"/>
          </w:rPr>
          <w:t> </w:t>
        </w:r>
        <w:r w:rsidR="00363B6C" w:rsidRPr="00363B6C">
          <w:rPr>
            <w:color w:val="787700" w:themeColor="accent1"/>
          </w:rPr>
          <w:t>and other drug issues and mental health issues</w:t>
        </w:r>
      </w:sdtContent>
    </w:sdt>
    <w:r w:rsidR="00F13048">
      <w:rPr>
        <w:color w:val="787700" w:themeColor="accent1"/>
      </w:rPr>
      <w:tab/>
    </w:r>
    <w:r w:rsidR="00C359F0">
      <w:rPr>
        <w:color w:val="787700" w:themeColor="accent1"/>
      </w:rPr>
      <w:fldChar w:fldCharType="begin"/>
    </w:r>
    <w:r w:rsidR="00C359F0">
      <w:rPr>
        <w:color w:val="787700" w:themeColor="accent1"/>
      </w:rPr>
      <w:instrText xml:space="preserve"> PAGE  \* roman  \* MERGEFORMAT </w:instrText>
    </w:r>
    <w:r w:rsidR="00C359F0">
      <w:rPr>
        <w:color w:val="787700" w:themeColor="accent1"/>
      </w:rPr>
      <w:fldChar w:fldCharType="separate"/>
    </w:r>
    <w:r w:rsidR="00C359F0">
      <w:rPr>
        <w:noProof/>
        <w:color w:val="787700" w:themeColor="accent1"/>
      </w:rPr>
      <w:t>ii</w:t>
    </w:r>
    <w:r w:rsidR="00C359F0">
      <w:rPr>
        <w:color w:val="787700"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1FA70" w14:textId="753AADAA" w:rsidR="007E1F57" w:rsidRPr="00E71119" w:rsidRDefault="00000000" w:rsidP="00F13048">
    <w:pPr>
      <w:pStyle w:val="Footer"/>
      <w:tabs>
        <w:tab w:val="clear" w:pos="9026"/>
        <w:tab w:val="right" w:pos="10204"/>
      </w:tabs>
      <w:spacing w:before="240"/>
      <w:rPr>
        <w:color w:val="787700" w:themeColor="accent1"/>
      </w:rPr>
    </w:pPr>
    <w:sdt>
      <w:sdtPr>
        <w:rPr>
          <w:color w:val="787700" w:themeColor="accent1"/>
        </w:rPr>
        <w:alias w:val="Title"/>
        <w:tag w:val=""/>
        <w:id w:val="-1614289432"/>
        <w:placeholder>
          <w:docPart w:val="6FDA9A0536184FE7A96D633FE144B108"/>
        </w:placeholder>
        <w:dataBinding w:prefixMappings="xmlns:ns0='http://purl.org/dc/elements/1.1/' xmlns:ns1='http://schemas.openxmlformats.org/package/2006/metadata/core-properties' " w:xpath="/ns1:coreProperties[1]/ns0:title[1]" w:storeItemID="{6C3C8BC8-F283-45AE-878A-BAB7291924A1}"/>
        <w:text/>
      </w:sdtPr>
      <w:sdtContent>
        <w:r w:rsidR="007E1F57" w:rsidRPr="00363B6C">
          <w:rPr>
            <w:color w:val="787700" w:themeColor="accent1"/>
          </w:rPr>
          <w:t>Analysis of linked longitudinal administrative data on child protection involvement for NSW families with</w:t>
        </w:r>
        <w:r w:rsidR="007E1F57">
          <w:rPr>
            <w:color w:val="787700" w:themeColor="accent1"/>
          </w:rPr>
          <w:t> </w:t>
        </w:r>
        <w:r w:rsidR="007E1F57" w:rsidRPr="00363B6C">
          <w:rPr>
            <w:color w:val="787700" w:themeColor="accent1"/>
          </w:rPr>
          <w:t>domestic</w:t>
        </w:r>
        <w:r w:rsidR="007E1F57">
          <w:rPr>
            <w:color w:val="787700" w:themeColor="accent1"/>
          </w:rPr>
          <w:t> </w:t>
        </w:r>
        <w:r w:rsidR="007E1F57" w:rsidRPr="00363B6C">
          <w:rPr>
            <w:color w:val="787700" w:themeColor="accent1"/>
          </w:rPr>
          <w:t>and</w:t>
        </w:r>
        <w:r w:rsidR="007E1F57">
          <w:rPr>
            <w:color w:val="787700" w:themeColor="accent1"/>
          </w:rPr>
          <w:t> </w:t>
        </w:r>
        <w:r w:rsidR="007E1F57" w:rsidRPr="00363B6C">
          <w:rPr>
            <w:color w:val="787700" w:themeColor="accent1"/>
          </w:rPr>
          <w:t xml:space="preserve">family </w:t>
        </w:r>
        <w:r w:rsidR="007E1F57">
          <w:rPr>
            <w:color w:val="787700" w:themeColor="accent1"/>
          </w:rPr>
          <w:t> </w:t>
        </w:r>
        <w:r w:rsidR="007E1F57" w:rsidRPr="00363B6C">
          <w:rPr>
            <w:color w:val="787700" w:themeColor="accent1"/>
          </w:rPr>
          <w:t>violence,</w:t>
        </w:r>
        <w:r w:rsidR="007E1F57">
          <w:rPr>
            <w:color w:val="787700" w:themeColor="accent1"/>
          </w:rPr>
          <w:t> </w:t>
        </w:r>
        <w:r w:rsidR="007E1F57" w:rsidRPr="00363B6C">
          <w:rPr>
            <w:color w:val="787700" w:themeColor="accent1"/>
          </w:rPr>
          <w:t>alcohol</w:t>
        </w:r>
        <w:r w:rsidR="007E1F57">
          <w:rPr>
            <w:color w:val="787700" w:themeColor="accent1"/>
          </w:rPr>
          <w:t> </w:t>
        </w:r>
        <w:r w:rsidR="007E1F57" w:rsidRPr="00363B6C">
          <w:rPr>
            <w:color w:val="787700" w:themeColor="accent1"/>
          </w:rPr>
          <w:t>and other drug issues and mental health issues</w:t>
        </w:r>
      </w:sdtContent>
    </w:sdt>
    <w:r w:rsidR="007E1F57">
      <w:rPr>
        <w:color w:val="787700" w:themeColor="accent1"/>
      </w:rPr>
      <w:tab/>
    </w:r>
    <w:r w:rsidR="007E1F57">
      <w:rPr>
        <w:color w:val="787700" w:themeColor="accent1"/>
      </w:rPr>
      <w:fldChar w:fldCharType="begin"/>
    </w:r>
    <w:r w:rsidR="007E1F57">
      <w:rPr>
        <w:color w:val="787700" w:themeColor="accent1"/>
      </w:rPr>
      <w:instrText xml:space="preserve"> PAGE  \* Arabic  \* MERGEFORMAT </w:instrText>
    </w:r>
    <w:r w:rsidR="007E1F57">
      <w:rPr>
        <w:color w:val="787700" w:themeColor="accent1"/>
      </w:rPr>
      <w:fldChar w:fldCharType="separate"/>
    </w:r>
    <w:r w:rsidR="007E1F57">
      <w:rPr>
        <w:noProof/>
        <w:color w:val="787700" w:themeColor="accent1"/>
      </w:rPr>
      <w:t>1</w:t>
    </w:r>
    <w:r w:rsidR="007E1F57">
      <w:rPr>
        <w:color w:val="787700"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3262" w14:textId="3E542220" w:rsidR="00044A5E" w:rsidRPr="001D7607" w:rsidRDefault="00044A5E" w:rsidP="001D76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8F3A" w14:textId="77777777" w:rsidR="001D7607" w:rsidRPr="00E71119" w:rsidRDefault="00000000" w:rsidP="00F13048">
    <w:pPr>
      <w:pStyle w:val="Footer"/>
      <w:tabs>
        <w:tab w:val="clear" w:pos="9026"/>
        <w:tab w:val="right" w:pos="10204"/>
      </w:tabs>
      <w:spacing w:before="240"/>
      <w:rPr>
        <w:color w:val="787700" w:themeColor="accent1"/>
      </w:rPr>
    </w:pPr>
    <w:sdt>
      <w:sdtPr>
        <w:rPr>
          <w:color w:val="787700" w:themeColor="accent1"/>
        </w:rPr>
        <w:alias w:val="Title"/>
        <w:tag w:val=""/>
        <w:id w:val="1695341234"/>
        <w:placeholder>
          <w:docPart w:val="E5A29A1921FD41F4BDEE38B75488A1CF"/>
        </w:placeholder>
        <w:dataBinding w:prefixMappings="xmlns:ns0='http://purl.org/dc/elements/1.1/' xmlns:ns1='http://schemas.openxmlformats.org/package/2006/metadata/core-properties' " w:xpath="/ns1:coreProperties[1]/ns0:title[1]" w:storeItemID="{6C3C8BC8-F283-45AE-878A-BAB7291924A1}"/>
        <w:text/>
      </w:sdtPr>
      <w:sdtContent>
        <w:r w:rsidR="001D7607" w:rsidRPr="00363B6C">
          <w:rPr>
            <w:color w:val="787700" w:themeColor="accent1"/>
          </w:rPr>
          <w:t>Analysis of linked longitudinal administrative data on child protection involvement for NSW families with</w:t>
        </w:r>
        <w:r w:rsidR="001D7607">
          <w:rPr>
            <w:color w:val="787700" w:themeColor="accent1"/>
          </w:rPr>
          <w:t> </w:t>
        </w:r>
        <w:r w:rsidR="001D7607" w:rsidRPr="00363B6C">
          <w:rPr>
            <w:color w:val="787700" w:themeColor="accent1"/>
          </w:rPr>
          <w:t>domestic</w:t>
        </w:r>
        <w:r w:rsidR="001D7607">
          <w:rPr>
            <w:color w:val="787700" w:themeColor="accent1"/>
          </w:rPr>
          <w:t> </w:t>
        </w:r>
        <w:r w:rsidR="001D7607" w:rsidRPr="00363B6C">
          <w:rPr>
            <w:color w:val="787700" w:themeColor="accent1"/>
          </w:rPr>
          <w:t>and</w:t>
        </w:r>
        <w:r w:rsidR="001D7607">
          <w:rPr>
            <w:color w:val="787700" w:themeColor="accent1"/>
          </w:rPr>
          <w:t> </w:t>
        </w:r>
        <w:r w:rsidR="001D7607" w:rsidRPr="00363B6C">
          <w:rPr>
            <w:color w:val="787700" w:themeColor="accent1"/>
          </w:rPr>
          <w:t xml:space="preserve">family </w:t>
        </w:r>
        <w:r w:rsidR="001D7607">
          <w:rPr>
            <w:color w:val="787700" w:themeColor="accent1"/>
          </w:rPr>
          <w:t> </w:t>
        </w:r>
        <w:r w:rsidR="001D7607" w:rsidRPr="00363B6C">
          <w:rPr>
            <w:color w:val="787700" w:themeColor="accent1"/>
          </w:rPr>
          <w:t>violence,</w:t>
        </w:r>
        <w:r w:rsidR="001D7607">
          <w:rPr>
            <w:color w:val="787700" w:themeColor="accent1"/>
          </w:rPr>
          <w:t> </w:t>
        </w:r>
        <w:r w:rsidR="001D7607" w:rsidRPr="00363B6C">
          <w:rPr>
            <w:color w:val="787700" w:themeColor="accent1"/>
          </w:rPr>
          <w:t>alcohol</w:t>
        </w:r>
        <w:r w:rsidR="001D7607">
          <w:rPr>
            <w:color w:val="787700" w:themeColor="accent1"/>
          </w:rPr>
          <w:t> </w:t>
        </w:r>
        <w:r w:rsidR="001D7607" w:rsidRPr="00363B6C">
          <w:rPr>
            <w:color w:val="787700" w:themeColor="accent1"/>
          </w:rPr>
          <w:t>and other drug issues and mental health issues</w:t>
        </w:r>
      </w:sdtContent>
    </w:sdt>
    <w:r w:rsidR="001D7607">
      <w:rPr>
        <w:color w:val="787700" w:themeColor="accent1"/>
      </w:rPr>
      <w:tab/>
    </w:r>
    <w:r w:rsidR="001D7607">
      <w:rPr>
        <w:color w:val="787700" w:themeColor="accent1"/>
      </w:rPr>
      <w:fldChar w:fldCharType="begin"/>
    </w:r>
    <w:r w:rsidR="001D7607">
      <w:rPr>
        <w:color w:val="787700" w:themeColor="accent1"/>
      </w:rPr>
      <w:instrText xml:space="preserve"> PAGE  \* Arabic  \* MERGEFORMAT </w:instrText>
    </w:r>
    <w:r w:rsidR="001D7607">
      <w:rPr>
        <w:color w:val="787700" w:themeColor="accent1"/>
      </w:rPr>
      <w:fldChar w:fldCharType="separate"/>
    </w:r>
    <w:r w:rsidR="001D7607">
      <w:rPr>
        <w:noProof/>
        <w:color w:val="787700" w:themeColor="accent1"/>
      </w:rPr>
      <w:t>1</w:t>
    </w:r>
    <w:r w:rsidR="001D7607">
      <w:rPr>
        <w:color w:val="7877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75B6F" w14:textId="77777777" w:rsidR="00AF0D9D" w:rsidRDefault="00AF0D9D" w:rsidP="006F5AD0">
      <w:pPr>
        <w:spacing w:after="0" w:line="240" w:lineRule="auto"/>
      </w:pPr>
      <w:r>
        <w:separator/>
      </w:r>
    </w:p>
  </w:footnote>
  <w:footnote w:type="continuationSeparator" w:id="0">
    <w:p w14:paraId="7C747EE7" w14:textId="77777777" w:rsidR="00AF0D9D" w:rsidRDefault="00AF0D9D" w:rsidP="006F5AD0">
      <w:pPr>
        <w:spacing w:after="0" w:line="240" w:lineRule="auto"/>
      </w:pPr>
      <w:r>
        <w:continuationSeparator/>
      </w:r>
    </w:p>
  </w:footnote>
  <w:footnote w:id="1">
    <w:p w14:paraId="31B7E1A2" w14:textId="0F7AC805" w:rsidR="001645B1" w:rsidRPr="001645B1" w:rsidRDefault="001645B1" w:rsidP="001645B1">
      <w:pPr>
        <w:pStyle w:val="Footnote"/>
      </w:pPr>
      <w:r>
        <w:rPr>
          <w:rStyle w:val="FootnoteReference"/>
        </w:rPr>
        <w:footnoteRef/>
      </w:r>
      <w:r>
        <w:t xml:space="preserve"> </w:t>
      </w:r>
      <w:r w:rsidRPr="004020C5">
        <w:t>ChildStory and KiDs are client information record systems used by the NSW Department of Communities and Justice. ChildStory replaced the legacy directory system, KiDS, in December 2017. For more information, see Department of Communities and Justice. (2023). </w:t>
      </w:r>
      <w:r w:rsidRPr="004020C5">
        <w:rPr>
          <w:i/>
          <w:iCs/>
        </w:rPr>
        <w:t>What is ChildStory?</w:t>
      </w:r>
      <w:r w:rsidRPr="004020C5">
        <w:t> NSW Government. </w:t>
      </w:r>
      <w:hyperlink r:id="rId1" w:history="1">
        <w:r w:rsidRPr="004020C5">
          <w:rPr>
            <w:rStyle w:val="Hyperlink"/>
          </w:rPr>
          <w:t>https://www.facs.nsw.gov.au/families/childstory/what-is-childstory</w:t>
        </w:r>
      </w:hyperlink>
    </w:p>
  </w:footnote>
  <w:footnote w:id="2">
    <w:p w14:paraId="0E9E05ED" w14:textId="74583151" w:rsidR="001645B1" w:rsidRPr="001645B1" w:rsidRDefault="001645B1" w:rsidP="001645B1">
      <w:pPr>
        <w:pStyle w:val="Footnote"/>
      </w:pPr>
      <w:r>
        <w:rPr>
          <w:rStyle w:val="FootnoteReference"/>
        </w:rPr>
        <w:footnoteRef/>
      </w:r>
      <w:r>
        <w:t xml:space="preserve"> </w:t>
      </w:r>
      <w:r w:rsidRPr="004020C5">
        <w:t>Pre-2017 data in KiDS is likely to reflect an underestimate of the co-occurrence of risk factors due to how the data was recorded in the administrative system and which variables were accessed by the researchers. KiDS enabled the capture of only three reported issues (one primary issue and two other issues) at Helpline report; ChildStory allowed capture of every reported issue (i.e. more than three). The researchers accessed only the primary recorded issue in KiDS but all reported issues recorded in ChildStory.</w:t>
      </w:r>
    </w:p>
  </w:footnote>
  <w:footnote w:id="3">
    <w:p w14:paraId="45A46223" w14:textId="6513295B" w:rsidR="001645B1" w:rsidRPr="001645B1" w:rsidRDefault="001645B1" w:rsidP="001645B1">
      <w:pPr>
        <w:pStyle w:val="Footnote"/>
        <w:rPr>
          <w:lang w:val="en-US"/>
        </w:rPr>
      </w:pPr>
      <w:r>
        <w:rPr>
          <w:rStyle w:val="FootnoteReference"/>
        </w:rPr>
        <w:footnoteRef/>
      </w:r>
      <w:r>
        <w:t xml:space="preserve"> </w:t>
      </w:r>
      <w:r w:rsidRPr="004020C5">
        <w:t>Brighter Futures is a voluntary, targeted intervention program designed to minimise RoSH for families with a child under 9 years who show issues that increase a risk of escalating within the child protection system. For more information, see Department of Communities and Justice. (2019c). </w:t>
      </w:r>
      <w:r w:rsidRPr="004020C5">
        <w:rPr>
          <w:i/>
          <w:iCs/>
        </w:rPr>
        <w:t>Brighter futures</w:t>
      </w:r>
      <w:r w:rsidRPr="004020C5">
        <w:t>. NSW Government. </w:t>
      </w:r>
      <w:hyperlink r:id="rId2" w:history="1">
        <w:r w:rsidRPr="004020C5">
          <w:rPr>
            <w:rStyle w:val="Hyperlink"/>
          </w:rPr>
          <w:t>https://www.facs.nsw.gov.au/families/childstory/what-is-childstory</w:t>
        </w:r>
      </w:hyperlink>
    </w:p>
  </w:footnote>
  <w:footnote w:id="4">
    <w:p w14:paraId="36DA617C" w14:textId="7AC72AA0" w:rsidR="001645B1" w:rsidRPr="001645B1" w:rsidRDefault="001645B1" w:rsidP="001645B1">
      <w:pPr>
        <w:pStyle w:val="Footnote"/>
        <w:rPr>
          <w:lang w:val="en-US"/>
        </w:rPr>
      </w:pPr>
      <w:r>
        <w:rPr>
          <w:rStyle w:val="FootnoteReference"/>
        </w:rPr>
        <w:footnoteRef/>
      </w:r>
      <w:r>
        <w:t xml:space="preserve"> </w:t>
      </w:r>
      <w:r w:rsidRPr="004020C5">
        <w:t>Kinship (or relative) care is a type of care that places a child or young person with a relative or someone they already know, for example a</w:t>
      </w:r>
      <w:r>
        <w:t> </w:t>
      </w:r>
      <w:r w:rsidRPr="004020C5">
        <w:t>grandparent. For more information, see Department of Communities and Justice. (2019d). </w:t>
      </w:r>
      <w:r w:rsidRPr="004020C5">
        <w:rPr>
          <w:i/>
          <w:iCs/>
        </w:rPr>
        <w:t>About relative and kinship care</w:t>
      </w:r>
      <w:r w:rsidRPr="004020C5">
        <w:t>. NSW</w:t>
      </w:r>
      <w:r>
        <w:t> </w:t>
      </w:r>
      <w:r w:rsidRPr="004020C5">
        <w:t>Government. </w:t>
      </w:r>
      <w:hyperlink r:id="rId3" w:history="1">
        <w:r w:rsidRPr="004020C5">
          <w:rPr>
            <w:rStyle w:val="Hyperlink"/>
          </w:rPr>
          <w:t>https://www.facs.nsw.gov.au/families/carers/about-relative-and-kinship-care</w:t>
        </w:r>
      </w:hyperlink>
    </w:p>
  </w:footnote>
  <w:footnote w:id="5">
    <w:p w14:paraId="2B2CBE89" w14:textId="1C748F0F" w:rsidR="00A16F09" w:rsidRPr="00A16F09" w:rsidRDefault="00A16F09" w:rsidP="00A16F09">
      <w:pPr>
        <w:pStyle w:val="Footnote"/>
        <w:rPr>
          <w:lang w:val="en-US"/>
        </w:rPr>
      </w:pPr>
      <w:r>
        <w:rPr>
          <w:rStyle w:val="FootnoteReference"/>
        </w:rPr>
        <w:footnoteRef/>
      </w:r>
      <w:r>
        <w:t xml:space="preserve"> </w:t>
      </w:r>
      <w:r w:rsidRPr="004020C5">
        <w:t>Data on fathers of children in the RBDM dataset are not available because it is not explicitly collected but is</w:t>
      </w:r>
      <w:r>
        <w:t> </w:t>
      </w:r>
      <w:r w:rsidRPr="004020C5">
        <w:t>listed under the category of “other” parent.</w:t>
      </w:r>
    </w:p>
  </w:footnote>
  <w:footnote w:id="6">
    <w:p w14:paraId="1F56EC8B" w14:textId="6CAEA973" w:rsidR="00A16F09" w:rsidRPr="00A16F09" w:rsidRDefault="00A16F09" w:rsidP="00A16F09">
      <w:pPr>
        <w:pStyle w:val="Footnote"/>
      </w:pPr>
      <w:r>
        <w:rPr>
          <w:rStyle w:val="FootnoteReference"/>
        </w:rPr>
        <w:footnoteRef/>
      </w:r>
      <w:r>
        <w:t xml:space="preserve"> </w:t>
      </w:r>
      <w:r w:rsidRPr="004020C5">
        <w:t>“At least one parent” refers to instances in which the child has at least one parent (i.e. mother, “other” parent, or both) who had a recorded interaction with the service.</w:t>
      </w:r>
    </w:p>
  </w:footnote>
  <w:footnote w:id="7">
    <w:p w14:paraId="380F882A" w14:textId="64898825" w:rsidR="00511B3B" w:rsidRPr="00511B3B" w:rsidRDefault="00511B3B" w:rsidP="00511B3B">
      <w:pPr>
        <w:pStyle w:val="Footnote"/>
        <w:rPr>
          <w:lang w:val="en-US"/>
        </w:rPr>
      </w:pPr>
      <w:r>
        <w:rPr>
          <w:rStyle w:val="FootnoteReference"/>
        </w:rPr>
        <w:footnoteRef/>
      </w:r>
      <w:r>
        <w:t xml:space="preserve"> </w:t>
      </w:r>
      <w:r w:rsidRPr="004020C5">
        <w:t>A decile of 1 represents the areas of highest socio-economic disadvantage, and a decile of 10 represents the areas of lowest socio-economic disadvantage.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F557E"/>
    <w:multiLevelType w:val="hybridMultilevel"/>
    <w:tmpl w:val="BF1E647E"/>
    <w:lvl w:ilvl="0" w:tplc="C7244DE0">
      <w:start w:val="1"/>
      <w:numFmt w:val="decimal"/>
      <w:pStyle w:val="BodySerifNumberedBullet1"/>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424E1B"/>
    <w:multiLevelType w:val="hybridMultilevel"/>
    <w:tmpl w:val="550288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D84B86"/>
    <w:multiLevelType w:val="multilevel"/>
    <w:tmpl w:val="56B49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8124EDB"/>
    <w:multiLevelType w:val="hybridMultilevel"/>
    <w:tmpl w:val="CD665DC4"/>
    <w:lvl w:ilvl="0" w:tplc="0556F7EC">
      <w:start w:val="1"/>
      <w:numFmt w:val="decimal"/>
      <w:pStyle w:val="BodySerifNumbered-2"/>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45BB4FC6"/>
    <w:multiLevelType w:val="hybridMultilevel"/>
    <w:tmpl w:val="BFA250DC"/>
    <w:lvl w:ilvl="0" w:tplc="7E8C2CD0">
      <w:start w:val="1"/>
      <w:numFmt w:val="bullet"/>
      <w:pStyle w:val="BodySan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5F4824"/>
    <w:multiLevelType w:val="multilevel"/>
    <w:tmpl w:val="B88C5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0378AA"/>
    <w:multiLevelType w:val="hybridMultilevel"/>
    <w:tmpl w:val="B1128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226A5C"/>
    <w:multiLevelType w:val="multilevel"/>
    <w:tmpl w:val="37BCB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B3A235C"/>
    <w:multiLevelType w:val="multilevel"/>
    <w:tmpl w:val="91226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5302296">
    <w:abstractNumId w:val="9"/>
  </w:num>
  <w:num w:numId="2" w16cid:durableId="521553367">
    <w:abstractNumId w:val="3"/>
  </w:num>
  <w:num w:numId="3" w16cid:durableId="1644196139">
    <w:abstractNumId w:val="5"/>
  </w:num>
  <w:num w:numId="4" w16cid:durableId="387073128">
    <w:abstractNumId w:val="0"/>
  </w:num>
  <w:num w:numId="5" w16cid:durableId="636644802">
    <w:abstractNumId w:val="10"/>
  </w:num>
  <w:num w:numId="6" w16cid:durableId="1964991609">
    <w:abstractNumId w:val="6"/>
  </w:num>
  <w:num w:numId="7" w16cid:durableId="507523792">
    <w:abstractNumId w:val="2"/>
  </w:num>
  <w:num w:numId="8" w16cid:durableId="944270120">
    <w:abstractNumId w:val="8"/>
  </w:num>
  <w:num w:numId="9" w16cid:durableId="1502622327">
    <w:abstractNumId w:val="4"/>
  </w:num>
  <w:num w:numId="10" w16cid:durableId="631249354">
    <w:abstractNumId w:val="1"/>
  </w:num>
  <w:num w:numId="11" w16cid:durableId="200763605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117A7"/>
    <w:rsid w:val="000139EC"/>
    <w:rsid w:val="0001512B"/>
    <w:rsid w:val="00016784"/>
    <w:rsid w:val="000176AB"/>
    <w:rsid w:val="00024C98"/>
    <w:rsid w:val="00025717"/>
    <w:rsid w:val="0002677F"/>
    <w:rsid w:val="00031A86"/>
    <w:rsid w:val="0003252F"/>
    <w:rsid w:val="000328B6"/>
    <w:rsid w:val="00035010"/>
    <w:rsid w:val="0004279A"/>
    <w:rsid w:val="00044A5E"/>
    <w:rsid w:val="00046D79"/>
    <w:rsid w:val="00053D4B"/>
    <w:rsid w:val="000615C4"/>
    <w:rsid w:val="00062FDD"/>
    <w:rsid w:val="00070EFF"/>
    <w:rsid w:val="00073C59"/>
    <w:rsid w:val="000758E1"/>
    <w:rsid w:val="000805B0"/>
    <w:rsid w:val="00081185"/>
    <w:rsid w:val="0008799D"/>
    <w:rsid w:val="000909E1"/>
    <w:rsid w:val="00091821"/>
    <w:rsid w:val="00095192"/>
    <w:rsid w:val="000951E0"/>
    <w:rsid w:val="000964FC"/>
    <w:rsid w:val="000A7C77"/>
    <w:rsid w:val="000B50EB"/>
    <w:rsid w:val="000B7F97"/>
    <w:rsid w:val="000C77C4"/>
    <w:rsid w:val="000C7825"/>
    <w:rsid w:val="000D1E5C"/>
    <w:rsid w:val="000D2374"/>
    <w:rsid w:val="000E0470"/>
    <w:rsid w:val="000E0D0B"/>
    <w:rsid w:val="000E481F"/>
    <w:rsid w:val="000E4E0A"/>
    <w:rsid w:val="000E665F"/>
    <w:rsid w:val="000F490B"/>
    <w:rsid w:val="000F6847"/>
    <w:rsid w:val="000F6BD4"/>
    <w:rsid w:val="00100044"/>
    <w:rsid w:val="00104F05"/>
    <w:rsid w:val="0010683E"/>
    <w:rsid w:val="00134A85"/>
    <w:rsid w:val="001372AF"/>
    <w:rsid w:val="00162748"/>
    <w:rsid w:val="001645B1"/>
    <w:rsid w:val="0017379D"/>
    <w:rsid w:val="00173B99"/>
    <w:rsid w:val="00177F4C"/>
    <w:rsid w:val="00180721"/>
    <w:rsid w:val="00182C17"/>
    <w:rsid w:val="001843CE"/>
    <w:rsid w:val="00186CB8"/>
    <w:rsid w:val="00186F0A"/>
    <w:rsid w:val="00191F33"/>
    <w:rsid w:val="001971D6"/>
    <w:rsid w:val="00197F98"/>
    <w:rsid w:val="001A2029"/>
    <w:rsid w:val="001B0809"/>
    <w:rsid w:val="001B4EFC"/>
    <w:rsid w:val="001C0070"/>
    <w:rsid w:val="001C5B33"/>
    <w:rsid w:val="001D7607"/>
    <w:rsid w:val="001D789C"/>
    <w:rsid w:val="001E35C4"/>
    <w:rsid w:val="001E6BF0"/>
    <w:rsid w:val="001F5326"/>
    <w:rsid w:val="00201486"/>
    <w:rsid w:val="00206CF2"/>
    <w:rsid w:val="0020771A"/>
    <w:rsid w:val="00211E57"/>
    <w:rsid w:val="00214F1D"/>
    <w:rsid w:val="00217C22"/>
    <w:rsid w:val="002315BD"/>
    <w:rsid w:val="002325DF"/>
    <w:rsid w:val="002362E9"/>
    <w:rsid w:val="00241870"/>
    <w:rsid w:val="00241E3C"/>
    <w:rsid w:val="002425C7"/>
    <w:rsid w:val="0024386F"/>
    <w:rsid w:val="00244718"/>
    <w:rsid w:val="00245080"/>
    <w:rsid w:val="00246C64"/>
    <w:rsid w:val="002514C6"/>
    <w:rsid w:val="00252064"/>
    <w:rsid w:val="002522EC"/>
    <w:rsid w:val="00271AB9"/>
    <w:rsid w:val="00273DDE"/>
    <w:rsid w:val="00274227"/>
    <w:rsid w:val="002833FE"/>
    <w:rsid w:val="002A1C36"/>
    <w:rsid w:val="002B4A79"/>
    <w:rsid w:val="002B74DA"/>
    <w:rsid w:val="002C11F8"/>
    <w:rsid w:val="002C6DA1"/>
    <w:rsid w:val="002D15BD"/>
    <w:rsid w:val="002D234E"/>
    <w:rsid w:val="002D3535"/>
    <w:rsid w:val="002E1638"/>
    <w:rsid w:val="002E1B12"/>
    <w:rsid w:val="002E1FDF"/>
    <w:rsid w:val="002E4A0D"/>
    <w:rsid w:val="002F24F9"/>
    <w:rsid w:val="002F4C80"/>
    <w:rsid w:val="002F6D16"/>
    <w:rsid w:val="003129F3"/>
    <w:rsid w:val="00314E41"/>
    <w:rsid w:val="00315409"/>
    <w:rsid w:val="00315A25"/>
    <w:rsid w:val="00315E0B"/>
    <w:rsid w:val="003239B4"/>
    <w:rsid w:val="00332E9B"/>
    <w:rsid w:val="00332FCE"/>
    <w:rsid w:val="00335BED"/>
    <w:rsid w:val="00335E56"/>
    <w:rsid w:val="0034642D"/>
    <w:rsid w:val="00353C54"/>
    <w:rsid w:val="00354C1E"/>
    <w:rsid w:val="00355CC5"/>
    <w:rsid w:val="00356EDE"/>
    <w:rsid w:val="00357817"/>
    <w:rsid w:val="00357D5A"/>
    <w:rsid w:val="00363B6C"/>
    <w:rsid w:val="00365DF7"/>
    <w:rsid w:val="003662E7"/>
    <w:rsid w:val="00376B45"/>
    <w:rsid w:val="0038119C"/>
    <w:rsid w:val="00385DEF"/>
    <w:rsid w:val="00390764"/>
    <w:rsid w:val="00394A38"/>
    <w:rsid w:val="00396470"/>
    <w:rsid w:val="00396FA8"/>
    <w:rsid w:val="003A4E24"/>
    <w:rsid w:val="003A4F51"/>
    <w:rsid w:val="003A76BE"/>
    <w:rsid w:val="003B332C"/>
    <w:rsid w:val="003B4B50"/>
    <w:rsid w:val="003C6EFB"/>
    <w:rsid w:val="003C6F5B"/>
    <w:rsid w:val="003D322C"/>
    <w:rsid w:val="003D769B"/>
    <w:rsid w:val="003E3C87"/>
    <w:rsid w:val="003E4484"/>
    <w:rsid w:val="003E4EC0"/>
    <w:rsid w:val="003E653E"/>
    <w:rsid w:val="003F0A67"/>
    <w:rsid w:val="003F153D"/>
    <w:rsid w:val="004020C5"/>
    <w:rsid w:val="0040365F"/>
    <w:rsid w:val="00404723"/>
    <w:rsid w:val="00404EAF"/>
    <w:rsid w:val="004249AE"/>
    <w:rsid w:val="0043296D"/>
    <w:rsid w:val="004431EC"/>
    <w:rsid w:val="00444C82"/>
    <w:rsid w:val="00450BE7"/>
    <w:rsid w:val="00451AE6"/>
    <w:rsid w:val="00461B4A"/>
    <w:rsid w:val="00465D16"/>
    <w:rsid w:val="00473F82"/>
    <w:rsid w:val="00481266"/>
    <w:rsid w:val="004860E7"/>
    <w:rsid w:val="00487B59"/>
    <w:rsid w:val="00496E25"/>
    <w:rsid w:val="00497EAA"/>
    <w:rsid w:val="004D2061"/>
    <w:rsid w:val="004D63C5"/>
    <w:rsid w:val="004D7D19"/>
    <w:rsid w:val="004E00A6"/>
    <w:rsid w:val="004E135B"/>
    <w:rsid w:val="004E1470"/>
    <w:rsid w:val="004E382B"/>
    <w:rsid w:val="004E5456"/>
    <w:rsid w:val="004E69BD"/>
    <w:rsid w:val="004F5950"/>
    <w:rsid w:val="00504874"/>
    <w:rsid w:val="00511B3B"/>
    <w:rsid w:val="0051206B"/>
    <w:rsid w:val="0051246D"/>
    <w:rsid w:val="005131D5"/>
    <w:rsid w:val="00521BBC"/>
    <w:rsid w:val="005232AB"/>
    <w:rsid w:val="0052350C"/>
    <w:rsid w:val="005242CD"/>
    <w:rsid w:val="00534114"/>
    <w:rsid w:val="00537405"/>
    <w:rsid w:val="005400D6"/>
    <w:rsid w:val="00543629"/>
    <w:rsid w:val="00543CDB"/>
    <w:rsid w:val="00550E1A"/>
    <w:rsid w:val="005558E3"/>
    <w:rsid w:val="00560C46"/>
    <w:rsid w:val="00572886"/>
    <w:rsid w:val="0057413C"/>
    <w:rsid w:val="005772A2"/>
    <w:rsid w:val="005801FE"/>
    <w:rsid w:val="0058637E"/>
    <w:rsid w:val="0058769B"/>
    <w:rsid w:val="0059359D"/>
    <w:rsid w:val="005A2370"/>
    <w:rsid w:val="005A35C7"/>
    <w:rsid w:val="005A5F1B"/>
    <w:rsid w:val="005A734C"/>
    <w:rsid w:val="005B0481"/>
    <w:rsid w:val="005B3870"/>
    <w:rsid w:val="005B48E6"/>
    <w:rsid w:val="005C21CC"/>
    <w:rsid w:val="005D0E62"/>
    <w:rsid w:val="005D19F2"/>
    <w:rsid w:val="005D35D6"/>
    <w:rsid w:val="005D6068"/>
    <w:rsid w:val="005E000D"/>
    <w:rsid w:val="005E0263"/>
    <w:rsid w:val="005E4A2A"/>
    <w:rsid w:val="005E6BD4"/>
    <w:rsid w:val="005F4F5D"/>
    <w:rsid w:val="005F6456"/>
    <w:rsid w:val="00600CD0"/>
    <w:rsid w:val="00603683"/>
    <w:rsid w:val="00605796"/>
    <w:rsid w:val="006101BC"/>
    <w:rsid w:val="0061456A"/>
    <w:rsid w:val="0061704A"/>
    <w:rsid w:val="0062719C"/>
    <w:rsid w:val="00630632"/>
    <w:rsid w:val="006329A5"/>
    <w:rsid w:val="006409CE"/>
    <w:rsid w:val="006414F1"/>
    <w:rsid w:val="006470D7"/>
    <w:rsid w:val="0066040A"/>
    <w:rsid w:val="0067268C"/>
    <w:rsid w:val="00672F71"/>
    <w:rsid w:val="00673BCD"/>
    <w:rsid w:val="0067417E"/>
    <w:rsid w:val="00675DDF"/>
    <w:rsid w:val="006801CA"/>
    <w:rsid w:val="006847BA"/>
    <w:rsid w:val="00685A21"/>
    <w:rsid w:val="00687850"/>
    <w:rsid w:val="006927A0"/>
    <w:rsid w:val="00695AED"/>
    <w:rsid w:val="006A201B"/>
    <w:rsid w:val="006A7610"/>
    <w:rsid w:val="006B5CDE"/>
    <w:rsid w:val="006C390F"/>
    <w:rsid w:val="006C5CD1"/>
    <w:rsid w:val="006C6705"/>
    <w:rsid w:val="006D0784"/>
    <w:rsid w:val="006D5C91"/>
    <w:rsid w:val="006E25B7"/>
    <w:rsid w:val="006E2BD1"/>
    <w:rsid w:val="006E3B35"/>
    <w:rsid w:val="006E41BA"/>
    <w:rsid w:val="006F2F31"/>
    <w:rsid w:val="006F4CFA"/>
    <w:rsid w:val="006F5AD0"/>
    <w:rsid w:val="00700878"/>
    <w:rsid w:val="0070103B"/>
    <w:rsid w:val="007027BE"/>
    <w:rsid w:val="00703F94"/>
    <w:rsid w:val="00707E09"/>
    <w:rsid w:val="0071355E"/>
    <w:rsid w:val="00717E03"/>
    <w:rsid w:val="00720C42"/>
    <w:rsid w:val="00721275"/>
    <w:rsid w:val="0072389D"/>
    <w:rsid w:val="00723F11"/>
    <w:rsid w:val="00724A7C"/>
    <w:rsid w:val="00727E41"/>
    <w:rsid w:val="00742013"/>
    <w:rsid w:val="007429DC"/>
    <w:rsid w:val="00744814"/>
    <w:rsid w:val="00750FDF"/>
    <w:rsid w:val="007549BF"/>
    <w:rsid w:val="007563FC"/>
    <w:rsid w:val="00757BA2"/>
    <w:rsid w:val="00766DA6"/>
    <w:rsid w:val="00770CBC"/>
    <w:rsid w:val="007779D3"/>
    <w:rsid w:val="00780F06"/>
    <w:rsid w:val="00785769"/>
    <w:rsid w:val="007A0EDF"/>
    <w:rsid w:val="007A2EC0"/>
    <w:rsid w:val="007A38C5"/>
    <w:rsid w:val="007B1357"/>
    <w:rsid w:val="007B1688"/>
    <w:rsid w:val="007B76EB"/>
    <w:rsid w:val="007C1B9C"/>
    <w:rsid w:val="007C34FB"/>
    <w:rsid w:val="007C73A7"/>
    <w:rsid w:val="007D2C66"/>
    <w:rsid w:val="007E1F57"/>
    <w:rsid w:val="007E6239"/>
    <w:rsid w:val="007F127F"/>
    <w:rsid w:val="007F1907"/>
    <w:rsid w:val="007F7600"/>
    <w:rsid w:val="00805E7C"/>
    <w:rsid w:val="00806284"/>
    <w:rsid w:val="00814DE0"/>
    <w:rsid w:val="00815659"/>
    <w:rsid w:val="00817C9F"/>
    <w:rsid w:val="00823FFE"/>
    <w:rsid w:val="008243B4"/>
    <w:rsid w:val="008248ED"/>
    <w:rsid w:val="00832786"/>
    <w:rsid w:val="00835749"/>
    <w:rsid w:val="00836B4D"/>
    <w:rsid w:val="00836FB3"/>
    <w:rsid w:val="0084456E"/>
    <w:rsid w:val="00847005"/>
    <w:rsid w:val="0085486D"/>
    <w:rsid w:val="008621E5"/>
    <w:rsid w:val="0087039F"/>
    <w:rsid w:val="00873EE3"/>
    <w:rsid w:val="00874250"/>
    <w:rsid w:val="00874695"/>
    <w:rsid w:val="00874B17"/>
    <w:rsid w:val="00875558"/>
    <w:rsid w:val="0088261C"/>
    <w:rsid w:val="00882B41"/>
    <w:rsid w:val="00896B99"/>
    <w:rsid w:val="008A04BE"/>
    <w:rsid w:val="008A1FD5"/>
    <w:rsid w:val="008A3330"/>
    <w:rsid w:val="008A4EA1"/>
    <w:rsid w:val="008B2A48"/>
    <w:rsid w:val="008B6CF8"/>
    <w:rsid w:val="008B6E49"/>
    <w:rsid w:val="008C06FA"/>
    <w:rsid w:val="008C076F"/>
    <w:rsid w:val="008C1488"/>
    <w:rsid w:val="008C4900"/>
    <w:rsid w:val="008D09E4"/>
    <w:rsid w:val="008D2D99"/>
    <w:rsid w:val="008D72AC"/>
    <w:rsid w:val="008E35AE"/>
    <w:rsid w:val="008E6D39"/>
    <w:rsid w:val="008E7858"/>
    <w:rsid w:val="008F1434"/>
    <w:rsid w:val="008F2C8C"/>
    <w:rsid w:val="008F32AB"/>
    <w:rsid w:val="00911C4E"/>
    <w:rsid w:val="009248AD"/>
    <w:rsid w:val="00924EC7"/>
    <w:rsid w:val="00925864"/>
    <w:rsid w:val="00925DA4"/>
    <w:rsid w:val="009300FC"/>
    <w:rsid w:val="00930B2F"/>
    <w:rsid w:val="009346DE"/>
    <w:rsid w:val="009349A8"/>
    <w:rsid w:val="00936917"/>
    <w:rsid w:val="00937B94"/>
    <w:rsid w:val="0094215D"/>
    <w:rsid w:val="009437B4"/>
    <w:rsid w:val="00947DB0"/>
    <w:rsid w:val="00955EB3"/>
    <w:rsid w:val="00955F01"/>
    <w:rsid w:val="00961F7D"/>
    <w:rsid w:val="00964A39"/>
    <w:rsid w:val="00977D2C"/>
    <w:rsid w:val="00980803"/>
    <w:rsid w:val="009827E4"/>
    <w:rsid w:val="009867D4"/>
    <w:rsid w:val="00987220"/>
    <w:rsid w:val="00990A45"/>
    <w:rsid w:val="009912D6"/>
    <w:rsid w:val="0099397A"/>
    <w:rsid w:val="009943C5"/>
    <w:rsid w:val="009A006F"/>
    <w:rsid w:val="009A18E3"/>
    <w:rsid w:val="009A256A"/>
    <w:rsid w:val="009A5B04"/>
    <w:rsid w:val="009B7BB8"/>
    <w:rsid w:val="009C24DA"/>
    <w:rsid w:val="009C56F3"/>
    <w:rsid w:val="009C595E"/>
    <w:rsid w:val="009C732B"/>
    <w:rsid w:val="009D38A2"/>
    <w:rsid w:val="009E6534"/>
    <w:rsid w:val="00A001D5"/>
    <w:rsid w:val="00A0482B"/>
    <w:rsid w:val="00A05DA9"/>
    <w:rsid w:val="00A160CC"/>
    <w:rsid w:val="00A16B44"/>
    <w:rsid w:val="00A16F09"/>
    <w:rsid w:val="00A175AB"/>
    <w:rsid w:val="00A2478E"/>
    <w:rsid w:val="00A31013"/>
    <w:rsid w:val="00A339B9"/>
    <w:rsid w:val="00A4130F"/>
    <w:rsid w:val="00A461B3"/>
    <w:rsid w:val="00A465EE"/>
    <w:rsid w:val="00A52F7A"/>
    <w:rsid w:val="00A53CCC"/>
    <w:rsid w:val="00A53E08"/>
    <w:rsid w:val="00A5491A"/>
    <w:rsid w:val="00A63013"/>
    <w:rsid w:val="00A64479"/>
    <w:rsid w:val="00A64627"/>
    <w:rsid w:val="00A65482"/>
    <w:rsid w:val="00A761AB"/>
    <w:rsid w:val="00A8598E"/>
    <w:rsid w:val="00A92B10"/>
    <w:rsid w:val="00A9673B"/>
    <w:rsid w:val="00A96C6A"/>
    <w:rsid w:val="00A97709"/>
    <w:rsid w:val="00AA3140"/>
    <w:rsid w:val="00AA5CC0"/>
    <w:rsid w:val="00AB2825"/>
    <w:rsid w:val="00AB2B84"/>
    <w:rsid w:val="00AC4A85"/>
    <w:rsid w:val="00AC6826"/>
    <w:rsid w:val="00AC6AD1"/>
    <w:rsid w:val="00AD4D4A"/>
    <w:rsid w:val="00AD5C16"/>
    <w:rsid w:val="00AD6545"/>
    <w:rsid w:val="00AD78E0"/>
    <w:rsid w:val="00AE0107"/>
    <w:rsid w:val="00AE0302"/>
    <w:rsid w:val="00AE150A"/>
    <w:rsid w:val="00AE4E48"/>
    <w:rsid w:val="00AE5C13"/>
    <w:rsid w:val="00AE7F6B"/>
    <w:rsid w:val="00AF026A"/>
    <w:rsid w:val="00AF0D9D"/>
    <w:rsid w:val="00AF1C1F"/>
    <w:rsid w:val="00AF3B38"/>
    <w:rsid w:val="00AF6809"/>
    <w:rsid w:val="00B029C4"/>
    <w:rsid w:val="00B03923"/>
    <w:rsid w:val="00B05CC7"/>
    <w:rsid w:val="00B05CDB"/>
    <w:rsid w:val="00B228DD"/>
    <w:rsid w:val="00B35456"/>
    <w:rsid w:val="00B35A5E"/>
    <w:rsid w:val="00B40D46"/>
    <w:rsid w:val="00B41CE4"/>
    <w:rsid w:val="00B420DD"/>
    <w:rsid w:val="00B4408A"/>
    <w:rsid w:val="00B535D6"/>
    <w:rsid w:val="00B5391C"/>
    <w:rsid w:val="00B61C41"/>
    <w:rsid w:val="00B63ACA"/>
    <w:rsid w:val="00B6654C"/>
    <w:rsid w:val="00B71A4E"/>
    <w:rsid w:val="00B77B33"/>
    <w:rsid w:val="00B82028"/>
    <w:rsid w:val="00B85274"/>
    <w:rsid w:val="00B86822"/>
    <w:rsid w:val="00B86D2D"/>
    <w:rsid w:val="00B86E75"/>
    <w:rsid w:val="00B9018E"/>
    <w:rsid w:val="00BA0C2C"/>
    <w:rsid w:val="00BA12AB"/>
    <w:rsid w:val="00BA2398"/>
    <w:rsid w:val="00BA401F"/>
    <w:rsid w:val="00BB1781"/>
    <w:rsid w:val="00BB268A"/>
    <w:rsid w:val="00BB48FC"/>
    <w:rsid w:val="00BC574E"/>
    <w:rsid w:val="00BE264A"/>
    <w:rsid w:val="00BE3CF5"/>
    <w:rsid w:val="00BE5324"/>
    <w:rsid w:val="00BE7116"/>
    <w:rsid w:val="00BF27B8"/>
    <w:rsid w:val="00BF486F"/>
    <w:rsid w:val="00BF51E8"/>
    <w:rsid w:val="00C079EA"/>
    <w:rsid w:val="00C279E3"/>
    <w:rsid w:val="00C32BF2"/>
    <w:rsid w:val="00C359F0"/>
    <w:rsid w:val="00C35BE6"/>
    <w:rsid w:val="00C35E59"/>
    <w:rsid w:val="00C44380"/>
    <w:rsid w:val="00C50072"/>
    <w:rsid w:val="00C56A76"/>
    <w:rsid w:val="00C57370"/>
    <w:rsid w:val="00C65327"/>
    <w:rsid w:val="00C7037C"/>
    <w:rsid w:val="00C707C3"/>
    <w:rsid w:val="00C72C30"/>
    <w:rsid w:val="00C7602A"/>
    <w:rsid w:val="00C8464E"/>
    <w:rsid w:val="00C93930"/>
    <w:rsid w:val="00C93A32"/>
    <w:rsid w:val="00C94029"/>
    <w:rsid w:val="00C95748"/>
    <w:rsid w:val="00C97BA9"/>
    <w:rsid w:val="00CA1BFB"/>
    <w:rsid w:val="00CA2BB5"/>
    <w:rsid w:val="00CA3658"/>
    <w:rsid w:val="00CA3824"/>
    <w:rsid w:val="00CA5572"/>
    <w:rsid w:val="00CA7C1D"/>
    <w:rsid w:val="00CB2C35"/>
    <w:rsid w:val="00CB32BF"/>
    <w:rsid w:val="00CB4A2D"/>
    <w:rsid w:val="00CC7EEA"/>
    <w:rsid w:val="00CD20FC"/>
    <w:rsid w:val="00CD368A"/>
    <w:rsid w:val="00CD483C"/>
    <w:rsid w:val="00CE1A22"/>
    <w:rsid w:val="00CE4AF6"/>
    <w:rsid w:val="00CE5DD9"/>
    <w:rsid w:val="00CE6623"/>
    <w:rsid w:val="00CE6976"/>
    <w:rsid w:val="00CE6ECC"/>
    <w:rsid w:val="00CE7FFE"/>
    <w:rsid w:val="00CF14EF"/>
    <w:rsid w:val="00D00032"/>
    <w:rsid w:val="00D00E6A"/>
    <w:rsid w:val="00D01489"/>
    <w:rsid w:val="00D01C76"/>
    <w:rsid w:val="00D039CB"/>
    <w:rsid w:val="00D03EC6"/>
    <w:rsid w:val="00D06777"/>
    <w:rsid w:val="00D157E6"/>
    <w:rsid w:val="00D23C9F"/>
    <w:rsid w:val="00D30B84"/>
    <w:rsid w:val="00D3114A"/>
    <w:rsid w:val="00D34A05"/>
    <w:rsid w:val="00D34F19"/>
    <w:rsid w:val="00D35A4A"/>
    <w:rsid w:val="00D361CF"/>
    <w:rsid w:val="00D40638"/>
    <w:rsid w:val="00D434FA"/>
    <w:rsid w:val="00D50213"/>
    <w:rsid w:val="00D509F8"/>
    <w:rsid w:val="00D51D9E"/>
    <w:rsid w:val="00D51E0B"/>
    <w:rsid w:val="00D62303"/>
    <w:rsid w:val="00D6283B"/>
    <w:rsid w:val="00D62E61"/>
    <w:rsid w:val="00D654CB"/>
    <w:rsid w:val="00D777A5"/>
    <w:rsid w:val="00D801C2"/>
    <w:rsid w:val="00D92BDD"/>
    <w:rsid w:val="00D932D2"/>
    <w:rsid w:val="00D9693D"/>
    <w:rsid w:val="00DA12D9"/>
    <w:rsid w:val="00DA675E"/>
    <w:rsid w:val="00DA7297"/>
    <w:rsid w:val="00DA7605"/>
    <w:rsid w:val="00DB130A"/>
    <w:rsid w:val="00DB6C6E"/>
    <w:rsid w:val="00DC0DFE"/>
    <w:rsid w:val="00DC12A6"/>
    <w:rsid w:val="00DC19C7"/>
    <w:rsid w:val="00DC493B"/>
    <w:rsid w:val="00DC5473"/>
    <w:rsid w:val="00DC6B21"/>
    <w:rsid w:val="00DD167D"/>
    <w:rsid w:val="00DD30C2"/>
    <w:rsid w:val="00DF0575"/>
    <w:rsid w:val="00DF6C6D"/>
    <w:rsid w:val="00E04628"/>
    <w:rsid w:val="00E11D18"/>
    <w:rsid w:val="00E12509"/>
    <w:rsid w:val="00E13C84"/>
    <w:rsid w:val="00E16127"/>
    <w:rsid w:val="00E2043F"/>
    <w:rsid w:val="00E21017"/>
    <w:rsid w:val="00E30326"/>
    <w:rsid w:val="00E3170D"/>
    <w:rsid w:val="00E345AE"/>
    <w:rsid w:val="00E36EE1"/>
    <w:rsid w:val="00E41FF6"/>
    <w:rsid w:val="00E43C7E"/>
    <w:rsid w:val="00E5135D"/>
    <w:rsid w:val="00E54782"/>
    <w:rsid w:val="00E55F28"/>
    <w:rsid w:val="00E60CC0"/>
    <w:rsid w:val="00E63FAC"/>
    <w:rsid w:val="00E64987"/>
    <w:rsid w:val="00E71119"/>
    <w:rsid w:val="00E7540E"/>
    <w:rsid w:val="00E75C18"/>
    <w:rsid w:val="00E81E96"/>
    <w:rsid w:val="00E82819"/>
    <w:rsid w:val="00E83703"/>
    <w:rsid w:val="00E9169C"/>
    <w:rsid w:val="00E91A76"/>
    <w:rsid w:val="00E9386A"/>
    <w:rsid w:val="00E96835"/>
    <w:rsid w:val="00EA1140"/>
    <w:rsid w:val="00EB2260"/>
    <w:rsid w:val="00EB47CA"/>
    <w:rsid w:val="00EB4DBE"/>
    <w:rsid w:val="00EB6E42"/>
    <w:rsid w:val="00EC38F5"/>
    <w:rsid w:val="00EC73B1"/>
    <w:rsid w:val="00ED3EEF"/>
    <w:rsid w:val="00EE14FC"/>
    <w:rsid w:val="00EE4884"/>
    <w:rsid w:val="00EE5525"/>
    <w:rsid w:val="00EE5AE3"/>
    <w:rsid w:val="00EE65C1"/>
    <w:rsid w:val="00EF6DE0"/>
    <w:rsid w:val="00F036E4"/>
    <w:rsid w:val="00F0396C"/>
    <w:rsid w:val="00F04CEB"/>
    <w:rsid w:val="00F13048"/>
    <w:rsid w:val="00F141CF"/>
    <w:rsid w:val="00F16E8D"/>
    <w:rsid w:val="00F16F3C"/>
    <w:rsid w:val="00F178A9"/>
    <w:rsid w:val="00F25D3E"/>
    <w:rsid w:val="00F26EDB"/>
    <w:rsid w:val="00F276CE"/>
    <w:rsid w:val="00F34C06"/>
    <w:rsid w:val="00F41B71"/>
    <w:rsid w:val="00F41B82"/>
    <w:rsid w:val="00F41E6C"/>
    <w:rsid w:val="00F45C41"/>
    <w:rsid w:val="00F46D35"/>
    <w:rsid w:val="00F500C7"/>
    <w:rsid w:val="00F52B2A"/>
    <w:rsid w:val="00F546DC"/>
    <w:rsid w:val="00F57A8C"/>
    <w:rsid w:val="00F64884"/>
    <w:rsid w:val="00F65A52"/>
    <w:rsid w:val="00F66859"/>
    <w:rsid w:val="00F6771F"/>
    <w:rsid w:val="00F70B77"/>
    <w:rsid w:val="00F70D16"/>
    <w:rsid w:val="00F719AC"/>
    <w:rsid w:val="00F73BE9"/>
    <w:rsid w:val="00F84111"/>
    <w:rsid w:val="00F92CC8"/>
    <w:rsid w:val="00FA1C0E"/>
    <w:rsid w:val="00FA2148"/>
    <w:rsid w:val="00FA2A60"/>
    <w:rsid w:val="00FA2B98"/>
    <w:rsid w:val="00FA3001"/>
    <w:rsid w:val="00FA738A"/>
    <w:rsid w:val="00FA7CBA"/>
    <w:rsid w:val="00FB20F9"/>
    <w:rsid w:val="00FB2FDB"/>
    <w:rsid w:val="00FB6109"/>
    <w:rsid w:val="00FC5398"/>
    <w:rsid w:val="00FD3955"/>
    <w:rsid w:val="00FD6A9A"/>
    <w:rsid w:val="00FF05D8"/>
    <w:rsid w:val="00FF3140"/>
    <w:rsid w:val="00FF3CB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53E"/>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DC5473"/>
    <w:rPr>
      <w:rFonts w:ascii="Times New Roman" w:hAnsi="Times New Roman"/>
      <w:b w:val="0"/>
      <w:color w:val="auto"/>
      <w:sz w:val="36"/>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815659"/>
    <w:rPr>
      <w:color w:val="0645AD"/>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67268C"/>
    <w:pPr>
      <w:spacing w:before="120" w:after="360" w:line="240" w:lineRule="auto"/>
    </w:pPr>
    <w:rPr>
      <w:rFonts w:ascii="Times New Roman" w:eastAsia="Times New Roman" w:hAnsi="Times New Roman" w:cs="Times New Roman"/>
      <w:b/>
      <w:bCs/>
      <w:color w:val="000000"/>
      <w:kern w:val="36"/>
      <w:sz w:val="56"/>
      <w:szCs w:val="64"/>
      <w:lang w:val="en-US" w:eastAsia="en-AU"/>
    </w:rPr>
  </w:style>
  <w:style w:type="paragraph" w:customStyle="1" w:styleId="ResearcherNames">
    <w:name w:val="Researcher Names"/>
    <w:basedOn w:val="Normal"/>
    <w:qFormat/>
    <w:rsid w:val="0067268C"/>
    <w:pPr>
      <w:spacing w:before="120" w:after="0" w:line="280" w:lineRule="exact"/>
    </w:pPr>
    <w:rPr>
      <w:rFonts w:ascii="Arial" w:eastAsia="Times New Roman" w:hAnsi="Arial" w:cs="Arial"/>
      <w:color w:val="787700"/>
      <w:sz w:val="24"/>
      <w:szCs w:val="28"/>
      <w:lang w:eastAsia="en-AU"/>
    </w:rPr>
  </w:style>
  <w:style w:type="paragraph" w:customStyle="1" w:styleId="Seriesandissuenumber">
    <w:name w:val="Series and issue number"/>
    <w:basedOn w:val="Normal"/>
    <w:qFormat/>
    <w:rsid w:val="0067268C"/>
    <w:pPr>
      <w:spacing w:after="0" w:line="240" w:lineRule="auto"/>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F92CC8"/>
    <w:pPr>
      <w:spacing w:after="220"/>
    </w:pPr>
    <w:rPr>
      <w:rFonts w:ascii="Arial" w:hAnsi="Arial"/>
      <w:color w:val="505554"/>
      <w:sz w:val="20"/>
    </w:rPr>
  </w:style>
  <w:style w:type="paragraph" w:customStyle="1" w:styleId="DetailHeading">
    <w:name w:val="Detail Heading"/>
    <w:basedOn w:val="DetailBody"/>
    <w:qFormat/>
    <w:rsid w:val="00896B99"/>
    <w:pPr>
      <w:spacing w:before="360" w:after="120"/>
    </w:pPr>
    <w:rPr>
      <w:b/>
      <w:bCs/>
      <w:szCs w:val="20"/>
      <w:lang w:val="en-US"/>
    </w:rPr>
  </w:style>
  <w:style w:type="paragraph" w:customStyle="1" w:styleId="AuthorTitles">
    <w:name w:val="Author Titles"/>
    <w:basedOn w:val="Normal"/>
    <w:qFormat/>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B05CDB"/>
    <w:pPr>
      <w:pageBreakBefore/>
      <w:spacing w:before="100" w:beforeAutospacing="1" w:after="480" w:line="240" w:lineRule="auto"/>
      <w:outlineLvl w:val="1"/>
    </w:pPr>
    <w:rPr>
      <w:rFonts w:eastAsia="Times New Roman" w:cs="Times New Roman"/>
      <w:color w:val="000000"/>
      <w:kern w:val="36"/>
      <w:sz w:val="60"/>
      <w:szCs w:val="60"/>
      <w:lang w:val="en-US" w:eastAsia="en-AU"/>
    </w:rPr>
  </w:style>
  <w:style w:type="table" w:customStyle="1" w:styleId="Definitionstable">
    <w:name w:val="Definitions table"/>
    <w:basedOn w:val="TableNormal"/>
    <w:uiPriority w:val="99"/>
    <w:rsid w:val="005F6456"/>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5C6D7C"/>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A2478E"/>
    <w:pPr>
      <w:spacing w:after="120" w:line="280" w:lineRule="exact"/>
      <w:ind w:left="113" w:right="113"/>
    </w:pPr>
    <w:rPr>
      <w:rFonts w:ascii="Arial" w:eastAsia="Times New Roman" w:hAnsi="Arial" w:cs="Arial"/>
      <w:sz w:val="20"/>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2B4A79"/>
    <w:pPr>
      <w:keepNext/>
      <w:spacing w:before="360" w:after="100" w:afterAutospacing="1" w:line="240" w:lineRule="auto"/>
      <w:outlineLvl w:val="2"/>
    </w:pPr>
    <w:rPr>
      <w:rFonts w:ascii="Arial" w:eastAsia="Times New Roman" w:hAnsi="Arial" w:cs="Arial"/>
      <w:b/>
      <w:bCs/>
      <w:color w:val="787700"/>
      <w:sz w:val="28"/>
      <w:szCs w:val="28"/>
      <w:lang w:eastAsia="en-AU"/>
    </w:rPr>
  </w:style>
  <w:style w:type="paragraph" w:customStyle="1" w:styleId="BodySerif">
    <w:name w:val="Body (Serif)"/>
    <w:basedOn w:val="Normal"/>
    <w:qFormat/>
    <w:rsid w:val="00A2478E"/>
    <w:pPr>
      <w:spacing w:before="240" w:after="100" w:afterAutospacing="1" w:line="240" w:lineRule="auto"/>
    </w:pPr>
    <w:rPr>
      <w:rFonts w:eastAsia="Times New Roman" w:cs="Times New Roman"/>
      <w:color w:val="000000"/>
      <w:szCs w:val="21"/>
      <w:lang w:eastAsia="en-AU"/>
    </w:rPr>
  </w:style>
  <w:style w:type="paragraph" w:customStyle="1" w:styleId="H4">
    <w:name w:val="H4"/>
    <w:basedOn w:val="Normal"/>
    <w:qFormat/>
    <w:rsid w:val="00C95748"/>
    <w:pPr>
      <w:keepNext/>
      <w:spacing w:before="360" w:after="100" w:afterAutospacing="1" w:line="240" w:lineRule="auto"/>
      <w:outlineLvl w:val="3"/>
    </w:pPr>
    <w:rPr>
      <w:rFonts w:ascii="Arial" w:eastAsia="Times New Roman" w:hAnsi="Arial" w:cs="Arial"/>
      <w:b/>
      <w:bCs/>
      <w:color w:val="000000"/>
      <w:sz w:val="23"/>
      <w:szCs w:val="23"/>
      <w:lang w:eastAsia="en-AU"/>
    </w:rPr>
  </w:style>
  <w:style w:type="paragraph" w:customStyle="1" w:styleId="BodySerifIndented">
    <w:name w:val="Body (Serif) Indented"/>
    <w:basedOn w:val="BodySerif"/>
    <w:qFormat/>
    <w:rsid w:val="00836FB3"/>
    <w:pPr>
      <w:ind w:left="397"/>
    </w:pPr>
  </w:style>
  <w:style w:type="paragraph" w:customStyle="1" w:styleId="BodySerifNumberedBullet1">
    <w:name w:val="Body (Serif) Numbered Bullet 1"/>
    <w:basedOn w:val="BodySerif"/>
    <w:qFormat/>
    <w:rsid w:val="00177F4C"/>
    <w:pPr>
      <w:numPr>
        <w:numId w:val="4"/>
      </w:numPr>
      <w:spacing w:before="120"/>
    </w:pPr>
    <w:rPr>
      <w:bCs/>
    </w:rPr>
  </w:style>
  <w:style w:type="paragraph" w:customStyle="1" w:styleId="BodySerifBullet1">
    <w:name w:val="Body (Serif) Bullet 1"/>
    <w:basedOn w:val="BodySerif"/>
    <w:qFormat/>
    <w:rsid w:val="002B4A79"/>
    <w:pPr>
      <w:numPr>
        <w:numId w:val="1"/>
      </w:numPr>
      <w:spacing w:before="120"/>
    </w:pPr>
  </w:style>
  <w:style w:type="table" w:customStyle="1" w:styleId="ANROWSTable">
    <w:name w:val="ANROWS Table"/>
    <w:basedOn w:val="GridTable4"/>
    <w:uiPriority w:val="99"/>
    <w:rsid w:val="00F41B71"/>
    <w:rPr>
      <w:rFonts w:ascii="Arial" w:hAnsi="Arial"/>
      <w:sz w:val="20"/>
      <w:szCs w:val="20"/>
      <w:lang w:val="en-US"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pPr>
        <w:jc w:val="left"/>
      </w:pPr>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7D2C66"/>
    <w:pPr>
      <w:numPr>
        <w:ilvl w:val="1"/>
        <w:numId w:val="2"/>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723F11"/>
    <w:pPr>
      <w:keepNext/>
      <w:spacing w:before="360" w:after="120" w:line="240" w:lineRule="auto"/>
      <w:outlineLvl w:val="4"/>
    </w:pPr>
    <w:rPr>
      <w:rFonts w:ascii="Arial" w:eastAsia="Times New Roman" w:hAnsi="Arial" w:cs="Arial"/>
      <w:b/>
      <w:bCs/>
      <w:color w:val="000000"/>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24386F"/>
    <w:pPr>
      <w:tabs>
        <w:tab w:val="right" w:leader="dot" w:pos="10194"/>
      </w:tabs>
      <w:spacing w:before="120" w:after="120" w:line="300" w:lineRule="auto"/>
    </w:pPr>
    <w:rPr>
      <w:rFonts w:ascii="Arial" w:hAnsi="Arial"/>
      <w:b/>
      <w:color w:val="787700"/>
      <w:sz w:val="23"/>
    </w:rPr>
  </w:style>
  <w:style w:type="paragraph" w:styleId="TOC2">
    <w:name w:val="toc 2"/>
    <w:basedOn w:val="Normal"/>
    <w:next w:val="Normal"/>
    <w:autoRedefine/>
    <w:uiPriority w:val="39"/>
    <w:unhideWhenUsed/>
    <w:rsid w:val="00703F94"/>
    <w:pPr>
      <w:pBdr>
        <w:bottom w:val="single" w:sz="4" w:space="1" w:color="auto"/>
        <w:between w:val="single" w:sz="4" w:space="1" w:color="auto"/>
      </w:pBdr>
      <w:tabs>
        <w:tab w:val="right" w:pos="10194"/>
      </w:tabs>
      <w:spacing w:before="120" w:after="0" w:line="300" w:lineRule="auto"/>
    </w:pPr>
    <w:rPr>
      <w:rFonts w:ascii="Arial" w:hAnsi="Arial"/>
      <w:b/>
      <w:color w:val="787700"/>
    </w:rPr>
  </w:style>
  <w:style w:type="paragraph" w:styleId="TOC3">
    <w:name w:val="toc 3"/>
    <w:basedOn w:val="Normal"/>
    <w:next w:val="Normal"/>
    <w:autoRedefine/>
    <w:uiPriority w:val="39"/>
    <w:unhideWhenUsed/>
    <w:rsid w:val="00703F94"/>
    <w:pPr>
      <w:pBdr>
        <w:bottom w:val="single" w:sz="4" w:space="1" w:color="auto"/>
        <w:between w:val="single" w:sz="4" w:space="1" w:color="auto"/>
      </w:pBdr>
      <w:tabs>
        <w:tab w:val="right" w:pos="10194"/>
      </w:tabs>
      <w:spacing w:before="120" w:after="0" w:line="300" w:lineRule="auto"/>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ansBullet1">
    <w:name w:val="Body (Sans) Bullet 1"/>
    <w:basedOn w:val="BodySans"/>
    <w:qFormat/>
    <w:rsid w:val="00095192"/>
    <w:pPr>
      <w:numPr>
        <w:numId w:val="3"/>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62303"/>
    <w:pPr>
      <w:keepNext/>
      <w:spacing w:before="360" w:after="120" w:line="240" w:lineRule="auto"/>
    </w:pPr>
    <w:rPr>
      <w:rFonts w:ascii="Arial" w:eastAsia="Times New Roman" w:hAnsi="Arial" w:cs="Arial"/>
      <w:b/>
      <w:bCs/>
      <w:color w:val="000000" w:themeColor="text1"/>
      <w:sz w:val="22"/>
      <w:szCs w:val="18"/>
      <w:lang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723F11"/>
    <w:pPr>
      <w:spacing w:after="240" w:line="240" w:lineRule="auto"/>
      <w:outlineLvl w:val="5"/>
    </w:pPr>
    <w:rPr>
      <w:rFonts w:ascii="Times New Roman" w:eastAsia="Times New Roman" w:hAnsi="Times New Roman" w:cs="Times New Roman"/>
      <w:i/>
      <w:iCs/>
      <w:sz w:val="21"/>
      <w:lang w:val="en-GB" w:eastAsia="en-AU"/>
    </w:rPr>
  </w:style>
  <w:style w:type="paragraph" w:customStyle="1" w:styleId="FigureTableHeading">
    <w:name w:val="Figure Table Heading"/>
    <w:basedOn w:val="Normal"/>
    <w:rsid w:val="0043296D"/>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104F05"/>
    <w:pPr>
      <w:keepNext w:val="0"/>
      <w:spacing w:before="0" w:after="60"/>
    </w:pPr>
    <w:rPr>
      <w:sz w:val="16"/>
      <w:szCs w:val="16"/>
    </w:rPr>
  </w:style>
  <w:style w:type="paragraph" w:customStyle="1" w:styleId="Researchertitle">
    <w:name w:val="Researcher title"/>
    <w:basedOn w:val="ResearcherNames"/>
    <w:qFormat/>
    <w:rsid w:val="00F57A8C"/>
    <w:pPr>
      <w:spacing w:before="0" w:after="240"/>
      <w:contextualSpacing/>
    </w:pPr>
    <w:rPr>
      <w:color w:val="595959" w:themeColor="text1" w:themeTint="A6"/>
      <w:sz w:val="20"/>
      <w:lang w:val="en-US"/>
    </w:rPr>
  </w:style>
  <w:style w:type="paragraph" w:customStyle="1" w:styleId="BodySansIndented">
    <w:name w:val="Body Sans Indented"/>
    <w:basedOn w:val="BodySans"/>
    <w:qFormat/>
    <w:rsid w:val="004E382B"/>
    <w:pPr>
      <w:ind w:left="397"/>
    </w:pPr>
  </w:style>
  <w:style w:type="table" w:customStyle="1" w:styleId="Breakoutboxgreytable">
    <w:name w:val="Breakout box grey (table)"/>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layout">
    <w:name w:val="Breakout box white layout"/>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EE65C1"/>
    <w:rPr>
      <w:color w:val="auto"/>
      <w:sz w:val="20"/>
      <w:szCs w:val="48"/>
      <w:bdr w:val="none" w:sz="0" w:space="0" w:color="auto"/>
      <w:shd w:val="clear" w:color="auto" w:fill="auto"/>
      <w:vertAlign w:val="superscript"/>
    </w:rPr>
  </w:style>
  <w:style w:type="table" w:customStyle="1" w:styleId="Style1">
    <w:name w:val="Style1"/>
    <w:basedOn w:val="TableNormal"/>
    <w:uiPriority w:val="99"/>
    <w:rsid w:val="0001512B"/>
    <w:pPr>
      <w:spacing w:after="0" w:line="240" w:lineRule="auto"/>
    </w:pPr>
    <w:tbl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afterAutospacing="0"/>
      <w:outlineLvl w:val="4"/>
    </w:pPr>
    <w:rPr>
      <w:color w:val="787700" w:themeColor="accent1"/>
      <w:sz w:val="20"/>
      <w:szCs w:val="20"/>
      <w:lang w:val="en-GB"/>
    </w:rPr>
  </w:style>
  <w:style w:type="paragraph" w:customStyle="1" w:styleId="BodySerifNumbered-2">
    <w:name w:val="Body Serif Numbered-2"/>
    <w:basedOn w:val="BodySerifNumberedBullet1"/>
    <w:qFormat/>
    <w:rsid w:val="001A2029"/>
    <w:pPr>
      <w:numPr>
        <w:numId w:val="9"/>
      </w:numPr>
      <w:ind w:left="714" w:hanging="357"/>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styleId="ListParagraph">
    <w:name w:val="List Paragraph"/>
    <w:basedOn w:val="Normal"/>
    <w:uiPriority w:val="34"/>
    <w:qFormat/>
    <w:rsid w:val="00B86D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6309">
      <w:bodyDiv w:val="1"/>
      <w:marLeft w:val="0"/>
      <w:marRight w:val="0"/>
      <w:marTop w:val="0"/>
      <w:marBottom w:val="0"/>
      <w:divBdr>
        <w:top w:val="none" w:sz="0" w:space="0" w:color="auto"/>
        <w:left w:val="none" w:sz="0" w:space="0" w:color="auto"/>
        <w:bottom w:val="none" w:sz="0" w:space="0" w:color="auto"/>
        <w:right w:val="none" w:sz="0" w:space="0" w:color="auto"/>
      </w:divBdr>
      <w:divsChild>
        <w:div w:id="545530149">
          <w:marLeft w:val="0"/>
          <w:marRight w:val="0"/>
          <w:marTop w:val="0"/>
          <w:marBottom w:val="0"/>
          <w:divBdr>
            <w:top w:val="none" w:sz="0" w:space="0" w:color="auto"/>
            <w:left w:val="none" w:sz="0" w:space="0" w:color="auto"/>
            <w:bottom w:val="none" w:sz="0" w:space="0" w:color="auto"/>
            <w:right w:val="none" w:sz="0" w:space="0" w:color="auto"/>
          </w:divBdr>
        </w:div>
        <w:div w:id="610554719">
          <w:marLeft w:val="0"/>
          <w:marRight w:val="0"/>
          <w:marTop w:val="0"/>
          <w:marBottom w:val="0"/>
          <w:divBdr>
            <w:top w:val="none" w:sz="0" w:space="0" w:color="auto"/>
            <w:left w:val="none" w:sz="0" w:space="0" w:color="auto"/>
            <w:bottom w:val="none" w:sz="0" w:space="0" w:color="auto"/>
            <w:right w:val="none" w:sz="0" w:space="0" w:color="auto"/>
          </w:divBdr>
        </w:div>
        <w:div w:id="1936475645">
          <w:marLeft w:val="0"/>
          <w:marRight w:val="0"/>
          <w:marTop w:val="0"/>
          <w:marBottom w:val="0"/>
          <w:divBdr>
            <w:top w:val="none" w:sz="0" w:space="0" w:color="auto"/>
            <w:left w:val="none" w:sz="0" w:space="0" w:color="auto"/>
            <w:bottom w:val="none" w:sz="0" w:space="0" w:color="auto"/>
            <w:right w:val="none" w:sz="0" w:space="0" w:color="auto"/>
          </w:divBdr>
        </w:div>
        <w:div w:id="629283788">
          <w:marLeft w:val="0"/>
          <w:marRight w:val="0"/>
          <w:marTop w:val="0"/>
          <w:marBottom w:val="0"/>
          <w:divBdr>
            <w:top w:val="none" w:sz="0" w:space="0" w:color="auto"/>
            <w:left w:val="none" w:sz="0" w:space="0" w:color="auto"/>
            <w:bottom w:val="none" w:sz="0" w:space="0" w:color="auto"/>
            <w:right w:val="none" w:sz="0" w:space="0" w:color="auto"/>
          </w:divBdr>
        </w:div>
        <w:div w:id="1747267851">
          <w:marLeft w:val="0"/>
          <w:marRight w:val="0"/>
          <w:marTop w:val="0"/>
          <w:marBottom w:val="0"/>
          <w:divBdr>
            <w:top w:val="none" w:sz="0" w:space="0" w:color="auto"/>
            <w:left w:val="none" w:sz="0" w:space="0" w:color="auto"/>
            <w:bottom w:val="none" w:sz="0" w:space="0" w:color="auto"/>
            <w:right w:val="none" w:sz="0" w:space="0" w:color="auto"/>
          </w:divBdr>
        </w:div>
        <w:div w:id="689262978">
          <w:marLeft w:val="0"/>
          <w:marRight w:val="0"/>
          <w:marTop w:val="0"/>
          <w:marBottom w:val="0"/>
          <w:divBdr>
            <w:top w:val="none" w:sz="0" w:space="0" w:color="auto"/>
            <w:left w:val="none" w:sz="0" w:space="0" w:color="auto"/>
            <w:bottom w:val="none" w:sz="0" w:space="0" w:color="auto"/>
            <w:right w:val="none" w:sz="0" w:space="0" w:color="auto"/>
          </w:divBdr>
          <w:divsChild>
            <w:div w:id="1832673948">
              <w:marLeft w:val="0"/>
              <w:marRight w:val="0"/>
              <w:marTop w:val="0"/>
              <w:marBottom w:val="0"/>
              <w:divBdr>
                <w:top w:val="none" w:sz="0" w:space="0" w:color="auto"/>
                <w:left w:val="none" w:sz="0" w:space="0" w:color="auto"/>
                <w:bottom w:val="none" w:sz="0" w:space="0" w:color="auto"/>
                <w:right w:val="none" w:sz="0" w:space="0" w:color="auto"/>
              </w:divBdr>
              <w:divsChild>
                <w:div w:id="213774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501">
          <w:marLeft w:val="0"/>
          <w:marRight w:val="0"/>
          <w:marTop w:val="0"/>
          <w:marBottom w:val="0"/>
          <w:divBdr>
            <w:top w:val="none" w:sz="0" w:space="0" w:color="auto"/>
            <w:left w:val="none" w:sz="0" w:space="0" w:color="auto"/>
            <w:bottom w:val="none" w:sz="0" w:space="0" w:color="auto"/>
            <w:right w:val="none" w:sz="0" w:space="0" w:color="auto"/>
          </w:divBdr>
        </w:div>
        <w:div w:id="731389252">
          <w:marLeft w:val="0"/>
          <w:marRight w:val="0"/>
          <w:marTop w:val="0"/>
          <w:marBottom w:val="0"/>
          <w:divBdr>
            <w:top w:val="none" w:sz="0" w:space="0" w:color="auto"/>
            <w:left w:val="none" w:sz="0" w:space="0" w:color="auto"/>
            <w:bottom w:val="none" w:sz="0" w:space="0" w:color="auto"/>
            <w:right w:val="none" w:sz="0" w:space="0" w:color="auto"/>
          </w:divBdr>
        </w:div>
        <w:div w:id="1451820348">
          <w:marLeft w:val="0"/>
          <w:marRight w:val="0"/>
          <w:marTop w:val="0"/>
          <w:marBottom w:val="0"/>
          <w:divBdr>
            <w:top w:val="none" w:sz="0" w:space="0" w:color="auto"/>
            <w:left w:val="none" w:sz="0" w:space="0" w:color="auto"/>
            <w:bottom w:val="none" w:sz="0" w:space="0" w:color="auto"/>
            <w:right w:val="none" w:sz="0" w:space="0" w:color="auto"/>
          </w:divBdr>
        </w:div>
        <w:div w:id="1563902410">
          <w:marLeft w:val="0"/>
          <w:marRight w:val="0"/>
          <w:marTop w:val="0"/>
          <w:marBottom w:val="0"/>
          <w:divBdr>
            <w:top w:val="none" w:sz="0" w:space="0" w:color="auto"/>
            <w:left w:val="none" w:sz="0" w:space="0" w:color="auto"/>
            <w:bottom w:val="none" w:sz="0" w:space="0" w:color="auto"/>
            <w:right w:val="none" w:sz="0" w:space="0" w:color="auto"/>
          </w:divBdr>
        </w:div>
        <w:div w:id="1816677887">
          <w:marLeft w:val="0"/>
          <w:marRight w:val="0"/>
          <w:marTop w:val="0"/>
          <w:marBottom w:val="0"/>
          <w:divBdr>
            <w:top w:val="none" w:sz="0" w:space="0" w:color="auto"/>
            <w:left w:val="none" w:sz="0" w:space="0" w:color="auto"/>
            <w:bottom w:val="none" w:sz="0" w:space="0" w:color="auto"/>
            <w:right w:val="none" w:sz="0" w:space="0" w:color="auto"/>
          </w:divBdr>
        </w:div>
        <w:div w:id="1055618402">
          <w:marLeft w:val="0"/>
          <w:marRight w:val="0"/>
          <w:marTop w:val="0"/>
          <w:marBottom w:val="0"/>
          <w:divBdr>
            <w:top w:val="none" w:sz="0" w:space="0" w:color="auto"/>
            <w:left w:val="none" w:sz="0" w:space="0" w:color="auto"/>
            <w:bottom w:val="none" w:sz="0" w:space="0" w:color="auto"/>
            <w:right w:val="none" w:sz="0" w:space="0" w:color="auto"/>
          </w:divBdr>
        </w:div>
        <w:div w:id="1741367585">
          <w:marLeft w:val="0"/>
          <w:marRight w:val="0"/>
          <w:marTop w:val="0"/>
          <w:marBottom w:val="0"/>
          <w:divBdr>
            <w:top w:val="none" w:sz="0" w:space="0" w:color="auto"/>
            <w:left w:val="none" w:sz="0" w:space="0" w:color="auto"/>
            <w:bottom w:val="none" w:sz="0" w:space="0" w:color="auto"/>
            <w:right w:val="none" w:sz="0" w:space="0" w:color="auto"/>
          </w:divBdr>
        </w:div>
        <w:div w:id="1786732007">
          <w:marLeft w:val="0"/>
          <w:marRight w:val="0"/>
          <w:marTop w:val="0"/>
          <w:marBottom w:val="0"/>
          <w:divBdr>
            <w:top w:val="none" w:sz="0" w:space="0" w:color="auto"/>
            <w:left w:val="none" w:sz="0" w:space="0" w:color="auto"/>
            <w:bottom w:val="none" w:sz="0" w:space="0" w:color="auto"/>
            <w:right w:val="none" w:sz="0" w:space="0" w:color="auto"/>
          </w:divBdr>
        </w:div>
        <w:div w:id="2073113035">
          <w:marLeft w:val="0"/>
          <w:marRight w:val="0"/>
          <w:marTop w:val="0"/>
          <w:marBottom w:val="0"/>
          <w:divBdr>
            <w:top w:val="none" w:sz="0" w:space="0" w:color="auto"/>
            <w:left w:val="none" w:sz="0" w:space="0" w:color="auto"/>
            <w:bottom w:val="none" w:sz="0" w:space="0" w:color="auto"/>
            <w:right w:val="none" w:sz="0" w:space="0" w:color="auto"/>
          </w:divBdr>
        </w:div>
        <w:div w:id="1480882098">
          <w:marLeft w:val="0"/>
          <w:marRight w:val="0"/>
          <w:marTop w:val="0"/>
          <w:marBottom w:val="0"/>
          <w:divBdr>
            <w:top w:val="none" w:sz="0" w:space="0" w:color="auto"/>
            <w:left w:val="none" w:sz="0" w:space="0" w:color="auto"/>
            <w:bottom w:val="none" w:sz="0" w:space="0" w:color="auto"/>
            <w:right w:val="none" w:sz="0" w:space="0" w:color="auto"/>
          </w:divBdr>
        </w:div>
        <w:div w:id="37366417">
          <w:marLeft w:val="0"/>
          <w:marRight w:val="0"/>
          <w:marTop w:val="0"/>
          <w:marBottom w:val="0"/>
          <w:divBdr>
            <w:top w:val="none" w:sz="0" w:space="0" w:color="auto"/>
            <w:left w:val="none" w:sz="0" w:space="0" w:color="auto"/>
            <w:bottom w:val="none" w:sz="0" w:space="0" w:color="auto"/>
            <w:right w:val="none" w:sz="0" w:space="0" w:color="auto"/>
          </w:divBdr>
        </w:div>
        <w:div w:id="219682109">
          <w:marLeft w:val="0"/>
          <w:marRight w:val="0"/>
          <w:marTop w:val="0"/>
          <w:marBottom w:val="0"/>
          <w:divBdr>
            <w:top w:val="none" w:sz="0" w:space="0" w:color="auto"/>
            <w:left w:val="none" w:sz="0" w:space="0" w:color="auto"/>
            <w:bottom w:val="none" w:sz="0" w:space="0" w:color="auto"/>
            <w:right w:val="none" w:sz="0" w:space="0" w:color="auto"/>
          </w:divBdr>
        </w:div>
        <w:div w:id="1077627413">
          <w:marLeft w:val="0"/>
          <w:marRight w:val="0"/>
          <w:marTop w:val="0"/>
          <w:marBottom w:val="0"/>
          <w:divBdr>
            <w:top w:val="none" w:sz="0" w:space="0" w:color="auto"/>
            <w:left w:val="none" w:sz="0" w:space="0" w:color="auto"/>
            <w:bottom w:val="none" w:sz="0" w:space="0" w:color="auto"/>
            <w:right w:val="none" w:sz="0" w:space="0" w:color="auto"/>
          </w:divBdr>
        </w:div>
        <w:div w:id="1873571401">
          <w:marLeft w:val="0"/>
          <w:marRight w:val="0"/>
          <w:marTop w:val="0"/>
          <w:marBottom w:val="0"/>
          <w:divBdr>
            <w:top w:val="none" w:sz="0" w:space="0" w:color="auto"/>
            <w:left w:val="none" w:sz="0" w:space="0" w:color="auto"/>
            <w:bottom w:val="none" w:sz="0" w:space="0" w:color="auto"/>
            <w:right w:val="none" w:sz="0" w:space="0" w:color="auto"/>
          </w:divBdr>
        </w:div>
        <w:div w:id="535511266">
          <w:marLeft w:val="0"/>
          <w:marRight w:val="0"/>
          <w:marTop w:val="0"/>
          <w:marBottom w:val="0"/>
          <w:divBdr>
            <w:top w:val="none" w:sz="0" w:space="0" w:color="auto"/>
            <w:left w:val="none" w:sz="0" w:space="0" w:color="auto"/>
            <w:bottom w:val="none" w:sz="0" w:space="0" w:color="auto"/>
            <w:right w:val="none" w:sz="0" w:space="0" w:color="auto"/>
          </w:divBdr>
        </w:div>
        <w:div w:id="894589455">
          <w:marLeft w:val="0"/>
          <w:marRight w:val="0"/>
          <w:marTop w:val="0"/>
          <w:marBottom w:val="0"/>
          <w:divBdr>
            <w:top w:val="none" w:sz="0" w:space="0" w:color="auto"/>
            <w:left w:val="none" w:sz="0" w:space="0" w:color="auto"/>
            <w:bottom w:val="none" w:sz="0" w:space="0" w:color="auto"/>
            <w:right w:val="none" w:sz="0" w:space="0" w:color="auto"/>
          </w:divBdr>
        </w:div>
        <w:div w:id="267549760">
          <w:marLeft w:val="0"/>
          <w:marRight w:val="0"/>
          <w:marTop w:val="0"/>
          <w:marBottom w:val="0"/>
          <w:divBdr>
            <w:top w:val="none" w:sz="0" w:space="0" w:color="auto"/>
            <w:left w:val="none" w:sz="0" w:space="0" w:color="auto"/>
            <w:bottom w:val="none" w:sz="0" w:space="0" w:color="auto"/>
            <w:right w:val="none" w:sz="0" w:space="0" w:color="auto"/>
          </w:divBdr>
        </w:div>
        <w:div w:id="1532719072">
          <w:marLeft w:val="0"/>
          <w:marRight w:val="0"/>
          <w:marTop w:val="0"/>
          <w:marBottom w:val="0"/>
          <w:divBdr>
            <w:top w:val="none" w:sz="0" w:space="0" w:color="auto"/>
            <w:left w:val="none" w:sz="0" w:space="0" w:color="auto"/>
            <w:bottom w:val="none" w:sz="0" w:space="0" w:color="auto"/>
            <w:right w:val="none" w:sz="0" w:space="0" w:color="auto"/>
          </w:divBdr>
        </w:div>
        <w:div w:id="132647890">
          <w:marLeft w:val="0"/>
          <w:marRight w:val="0"/>
          <w:marTop w:val="0"/>
          <w:marBottom w:val="0"/>
          <w:divBdr>
            <w:top w:val="none" w:sz="0" w:space="0" w:color="auto"/>
            <w:left w:val="none" w:sz="0" w:space="0" w:color="auto"/>
            <w:bottom w:val="none" w:sz="0" w:space="0" w:color="auto"/>
            <w:right w:val="none" w:sz="0" w:space="0" w:color="auto"/>
          </w:divBdr>
        </w:div>
        <w:div w:id="47656410">
          <w:marLeft w:val="0"/>
          <w:marRight w:val="0"/>
          <w:marTop w:val="0"/>
          <w:marBottom w:val="0"/>
          <w:divBdr>
            <w:top w:val="none" w:sz="0" w:space="0" w:color="auto"/>
            <w:left w:val="none" w:sz="0" w:space="0" w:color="auto"/>
            <w:bottom w:val="none" w:sz="0" w:space="0" w:color="auto"/>
            <w:right w:val="none" w:sz="0" w:space="0" w:color="auto"/>
          </w:divBdr>
        </w:div>
        <w:div w:id="534729422">
          <w:marLeft w:val="0"/>
          <w:marRight w:val="0"/>
          <w:marTop w:val="0"/>
          <w:marBottom w:val="0"/>
          <w:divBdr>
            <w:top w:val="none" w:sz="0" w:space="0" w:color="auto"/>
            <w:left w:val="none" w:sz="0" w:space="0" w:color="auto"/>
            <w:bottom w:val="none" w:sz="0" w:space="0" w:color="auto"/>
            <w:right w:val="none" w:sz="0" w:space="0" w:color="auto"/>
          </w:divBdr>
        </w:div>
        <w:div w:id="1126192696">
          <w:marLeft w:val="0"/>
          <w:marRight w:val="0"/>
          <w:marTop w:val="0"/>
          <w:marBottom w:val="0"/>
          <w:divBdr>
            <w:top w:val="none" w:sz="0" w:space="0" w:color="auto"/>
            <w:left w:val="none" w:sz="0" w:space="0" w:color="auto"/>
            <w:bottom w:val="none" w:sz="0" w:space="0" w:color="auto"/>
            <w:right w:val="none" w:sz="0" w:space="0" w:color="auto"/>
          </w:divBdr>
        </w:div>
        <w:div w:id="919173358">
          <w:marLeft w:val="0"/>
          <w:marRight w:val="0"/>
          <w:marTop w:val="0"/>
          <w:marBottom w:val="0"/>
          <w:divBdr>
            <w:top w:val="none" w:sz="0" w:space="0" w:color="auto"/>
            <w:left w:val="none" w:sz="0" w:space="0" w:color="auto"/>
            <w:bottom w:val="none" w:sz="0" w:space="0" w:color="auto"/>
            <w:right w:val="none" w:sz="0" w:space="0" w:color="auto"/>
          </w:divBdr>
        </w:div>
        <w:div w:id="1580753932">
          <w:marLeft w:val="0"/>
          <w:marRight w:val="0"/>
          <w:marTop w:val="0"/>
          <w:marBottom w:val="0"/>
          <w:divBdr>
            <w:top w:val="none" w:sz="0" w:space="0" w:color="auto"/>
            <w:left w:val="none" w:sz="0" w:space="0" w:color="auto"/>
            <w:bottom w:val="none" w:sz="0" w:space="0" w:color="auto"/>
            <w:right w:val="none" w:sz="0" w:space="0" w:color="auto"/>
          </w:divBdr>
        </w:div>
        <w:div w:id="1408068944">
          <w:marLeft w:val="0"/>
          <w:marRight w:val="0"/>
          <w:marTop w:val="0"/>
          <w:marBottom w:val="0"/>
          <w:divBdr>
            <w:top w:val="none" w:sz="0" w:space="0" w:color="auto"/>
            <w:left w:val="none" w:sz="0" w:space="0" w:color="auto"/>
            <w:bottom w:val="none" w:sz="0" w:space="0" w:color="auto"/>
            <w:right w:val="none" w:sz="0" w:space="0" w:color="auto"/>
          </w:divBdr>
        </w:div>
        <w:div w:id="746264734">
          <w:marLeft w:val="0"/>
          <w:marRight w:val="0"/>
          <w:marTop w:val="0"/>
          <w:marBottom w:val="0"/>
          <w:divBdr>
            <w:top w:val="none" w:sz="0" w:space="0" w:color="auto"/>
            <w:left w:val="none" w:sz="0" w:space="0" w:color="auto"/>
            <w:bottom w:val="none" w:sz="0" w:space="0" w:color="auto"/>
            <w:right w:val="none" w:sz="0" w:space="0" w:color="auto"/>
          </w:divBdr>
        </w:div>
        <w:div w:id="2103063107">
          <w:marLeft w:val="0"/>
          <w:marRight w:val="0"/>
          <w:marTop w:val="0"/>
          <w:marBottom w:val="0"/>
          <w:divBdr>
            <w:top w:val="none" w:sz="0" w:space="0" w:color="auto"/>
            <w:left w:val="none" w:sz="0" w:space="0" w:color="auto"/>
            <w:bottom w:val="none" w:sz="0" w:space="0" w:color="auto"/>
            <w:right w:val="none" w:sz="0" w:space="0" w:color="auto"/>
          </w:divBdr>
        </w:div>
        <w:div w:id="1154567174">
          <w:marLeft w:val="0"/>
          <w:marRight w:val="0"/>
          <w:marTop w:val="0"/>
          <w:marBottom w:val="0"/>
          <w:divBdr>
            <w:top w:val="none" w:sz="0" w:space="0" w:color="auto"/>
            <w:left w:val="none" w:sz="0" w:space="0" w:color="auto"/>
            <w:bottom w:val="none" w:sz="0" w:space="0" w:color="auto"/>
            <w:right w:val="none" w:sz="0" w:space="0" w:color="auto"/>
          </w:divBdr>
        </w:div>
        <w:div w:id="616179914">
          <w:marLeft w:val="0"/>
          <w:marRight w:val="0"/>
          <w:marTop w:val="0"/>
          <w:marBottom w:val="0"/>
          <w:divBdr>
            <w:top w:val="none" w:sz="0" w:space="0" w:color="auto"/>
            <w:left w:val="none" w:sz="0" w:space="0" w:color="auto"/>
            <w:bottom w:val="none" w:sz="0" w:space="0" w:color="auto"/>
            <w:right w:val="none" w:sz="0" w:space="0" w:color="auto"/>
          </w:divBdr>
        </w:div>
        <w:div w:id="1913272568">
          <w:marLeft w:val="0"/>
          <w:marRight w:val="0"/>
          <w:marTop w:val="0"/>
          <w:marBottom w:val="0"/>
          <w:divBdr>
            <w:top w:val="none" w:sz="0" w:space="0" w:color="auto"/>
            <w:left w:val="none" w:sz="0" w:space="0" w:color="auto"/>
            <w:bottom w:val="none" w:sz="0" w:space="0" w:color="auto"/>
            <w:right w:val="none" w:sz="0" w:space="0" w:color="auto"/>
          </w:divBdr>
        </w:div>
        <w:div w:id="352539113">
          <w:marLeft w:val="0"/>
          <w:marRight w:val="0"/>
          <w:marTop w:val="0"/>
          <w:marBottom w:val="0"/>
          <w:divBdr>
            <w:top w:val="none" w:sz="0" w:space="0" w:color="auto"/>
            <w:left w:val="none" w:sz="0" w:space="0" w:color="auto"/>
            <w:bottom w:val="none" w:sz="0" w:space="0" w:color="auto"/>
            <w:right w:val="none" w:sz="0" w:space="0" w:color="auto"/>
          </w:divBdr>
        </w:div>
        <w:div w:id="1969777812">
          <w:marLeft w:val="0"/>
          <w:marRight w:val="0"/>
          <w:marTop w:val="0"/>
          <w:marBottom w:val="0"/>
          <w:divBdr>
            <w:top w:val="none" w:sz="0" w:space="0" w:color="auto"/>
            <w:left w:val="none" w:sz="0" w:space="0" w:color="auto"/>
            <w:bottom w:val="none" w:sz="0" w:space="0" w:color="auto"/>
            <w:right w:val="none" w:sz="0" w:space="0" w:color="auto"/>
          </w:divBdr>
        </w:div>
        <w:div w:id="324746175">
          <w:marLeft w:val="0"/>
          <w:marRight w:val="0"/>
          <w:marTop w:val="0"/>
          <w:marBottom w:val="0"/>
          <w:divBdr>
            <w:top w:val="none" w:sz="0" w:space="0" w:color="auto"/>
            <w:left w:val="none" w:sz="0" w:space="0" w:color="auto"/>
            <w:bottom w:val="none" w:sz="0" w:space="0" w:color="auto"/>
            <w:right w:val="none" w:sz="0" w:space="0" w:color="auto"/>
          </w:divBdr>
        </w:div>
        <w:div w:id="978419433">
          <w:marLeft w:val="0"/>
          <w:marRight w:val="0"/>
          <w:marTop w:val="0"/>
          <w:marBottom w:val="0"/>
          <w:divBdr>
            <w:top w:val="none" w:sz="0" w:space="0" w:color="auto"/>
            <w:left w:val="none" w:sz="0" w:space="0" w:color="auto"/>
            <w:bottom w:val="none" w:sz="0" w:space="0" w:color="auto"/>
            <w:right w:val="none" w:sz="0" w:space="0" w:color="auto"/>
          </w:divBdr>
        </w:div>
        <w:div w:id="1670862008">
          <w:marLeft w:val="0"/>
          <w:marRight w:val="0"/>
          <w:marTop w:val="0"/>
          <w:marBottom w:val="0"/>
          <w:divBdr>
            <w:top w:val="none" w:sz="0" w:space="0" w:color="auto"/>
            <w:left w:val="none" w:sz="0" w:space="0" w:color="auto"/>
            <w:bottom w:val="none" w:sz="0" w:space="0" w:color="auto"/>
            <w:right w:val="none" w:sz="0" w:space="0" w:color="auto"/>
          </w:divBdr>
        </w:div>
        <w:div w:id="871310581">
          <w:marLeft w:val="0"/>
          <w:marRight w:val="0"/>
          <w:marTop w:val="0"/>
          <w:marBottom w:val="0"/>
          <w:divBdr>
            <w:top w:val="none" w:sz="0" w:space="0" w:color="auto"/>
            <w:left w:val="none" w:sz="0" w:space="0" w:color="auto"/>
            <w:bottom w:val="none" w:sz="0" w:space="0" w:color="auto"/>
            <w:right w:val="none" w:sz="0" w:space="0" w:color="auto"/>
          </w:divBdr>
        </w:div>
        <w:div w:id="1721859420">
          <w:marLeft w:val="0"/>
          <w:marRight w:val="0"/>
          <w:marTop w:val="0"/>
          <w:marBottom w:val="0"/>
          <w:divBdr>
            <w:top w:val="none" w:sz="0" w:space="0" w:color="auto"/>
            <w:left w:val="none" w:sz="0" w:space="0" w:color="auto"/>
            <w:bottom w:val="none" w:sz="0" w:space="0" w:color="auto"/>
            <w:right w:val="none" w:sz="0" w:space="0" w:color="auto"/>
          </w:divBdr>
        </w:div>
        <w:div w:id="1901478589">
          <w:marLeft w:val="0"/>
          <w:marRight w:val="0"/>
          <w:marTop w:val="0"/>
          <w:marBottom w:val="0"/>
          <w:divBdr>
            <w:top w:val="none" w:sz="0" w:space="0" w:color="auto"/>
            <w:left w:val="none" w:sz="0" w:space="0" w:color="auto"/>
            <w:bottom w:val="none" w:sz="0" w:space="0" w:color="auto"/>
            <w:right w:val="none" w:sz="0" w:space="0" w:color="auto"/>
          </w:divBdr>
        </w:div>
        <w:div w:id="1663311634">
          <w:marLeft w:val="0"/>
          <w:marRight w:val="0"/>
          <w:marTop w:val="0"/>
          <w:marBottom w:val="0"/>
          <w:divBdr>
            <w:top w:val="none" w:sz="0" w:space="0" w:color="auto"/>
            <w:left w:val="none" w:sz="0" w:space="0" w:color="auto"/>
            <w:bottom w:val="none" w:sz="0" w:space="0" w:color="auto"/>
            <w:right w:val="none" w:sz="0" w:space="0" w:color="auto"/>
          </w:divBdr>
        </w:div>
        <w:div w:id="104815745">
          <w:marLeft w:val="0"/>
          <w:marRight w:val="0"/>
          <w:marTop w:val="0"/>
          <w:marBottom w:val="0"/>
          <w:divBdr>
            <w:top w:val="none" w:sz="0" w:space="0" w:color="auto"/>
            <w:left w:val="none" w:sz="0" w:space="0" w:color="auto"/>
            <w:bottom w:val="none" w:sz="0" w:space="0" w:color="auto"/>
            <w:right w:val="none" w:sz="0" w:space="0" w:color="auto"/>
          </w:divBdr>
        </w:div>
        <w:div w:id="1376782382">
          <w:marLeft w:val="0"/>
          <w:marRight w:val="0"/>
          <w:marTop w:val="0"/>
          <w:marBottom w:val="0"/>
          <w:divBdr>
            <w:top w:val="none" w:sz="0" w:space="0" w:color="auto"/>
            <w:left w:val="none" w:sz="0" w:space="0" w:color="auto"/>
            <w:bottom w:val="none" w:sz="0" w:space="0" w:color="auto"/>
            <w:right w:val="none" w:sz="0" w:space="0" w:color="auto"/>
          </w:divBdr>
        </w:div>
        <w:div w:id="1621304837">
          <w:marLeft w:val="0"/>
          <w:marRight w:val="0"/>
          <w:marTop w:val="0"/>
          <w:marBottom w:val="0"/>
          <w:divBdr>
            <w:top w:val="none" w:sz="0" w:space="0" w:color="auto"/>
            <w:left w:val="none" w:sz="0" w:space="0" w:color="auto"/>
            <w:bottom w:val="none" w:sz="0" w:space="0" w:color="auto"/>
            <w:right w:val="none" w:sz="0" w:space="0" w:color="auto"/>
          </w:divBdr>
        </w:div>
        <w:div w:id="556865797">
          <w:marLeft w:val="0"/>
          <w:marRight w:val="0"/>
          <w:marTop w:val="0"/>
          <w:marBottom w:val="0"/>
          <w:divBdr>
            <w:top w:val="none" w:sz="0" w:space="0" w:color="auto"/>
            <w:left w:val="none" w:sz="0" w:space="0" w:color="auto"/>
            <w:bottom w:val="none" w:sz="0" w:space="0" w:color="auto"/>
            <w:right w:val="none" w:sz="0" w:space="0" w:color="auto"/>
          </w:divBdr>
        </w:div>
        <w:div w:id="1774746551">
          <w:marLeft w:val="0"/>
          <w:marRight w:val="0"/>
          <w:marTop w:val="0"/>
          <w:marBottom w:val="0"/>
          <w:divBdr>
            <w:top w:val="none" w:sz="0" w:space="0" w:color="auto"/>
            <w:left w:val="none" w:sz="0" w:space="0" w:color="auto"/>
            <w:bottom w:val="none" w:sz="0" w:space="0" w:color="auto"/>
            <w:right w:val="none" w:sz="0" w:space="0" w:color="auto"/>
          </w:divBdr>
        </w:div>
        <w:div w:id="1525437955">
          <w:marLeft w:val="0"/>
          <w:marRight w:val="0"/>
          <w:marTop w:val="0"/>
          <w:marBottom w:val="0"/>
          <w:divBdr>
            <w:top w:val="none" w:sz="0" w:space="0" w:color="auto"/>
            <w:left w:val="none" w:sz="0" w:space="0" w:color="auto"/>
            <w:bottom w:val="none" w:sz="0" w:space="0" w:color="auto"/>
            <w:right w:val="none" w:sz="0" w:space="0" w:color="auto"/>
          </w:divBdr>
        </w:div>
        <w:div w:id="1467888674">
          <w:marLeft w:val="0"/>
          <w:marRight w:val="0"/>
          <w:marTop w:val="0"/>
          <w:marBottom w:val="0"/>
          <w:divBdr>
            <w:top w:val="none" w:sz="0" w:space="0" w:color="auto"/>
            <w:left w:val="none" w:sz="0" w:space="0" w:color="auto"/>
            <w:bottom w:val="none" w:sz="0" w:space="0" w:color="auto"/>
            <w:right w:val="none" w:sz="0" w:space="0" w:color="auto"/>
          </w:divBdr>
        </w:div>
        <w:div w:id="213591411">
          <w:marLeft w:val="0"/>
          <w:marRight w:val="0"/>
          <w:marTop w:val="0"/>
          <w:marBottom w:val="0"/>
          <w:divBdr>
            <w:top w:val="none" w:sz="0" w:space="0" w:color="auto"/>
            <w:left w:val="none" w:sz="0" w:space="0" w:color="auto"/>
            <w:bottom w:val="none" w:sz="0" w:space="0" w:color="auto"/>
            <w:right w:val="none" w:sz="0" w:space="0" w:color="auto"/>
          </w:divBdr>
        </w:div>
        <w:div w:id="1260717870">
          <w:marLeft w:val="0"/>
          <w:marRight w:val="0"/>
          <w:marTop w:val="0"/>
          <w:marBottom w:val="0"/>
          <w:divBdr>
            <w:top w:val="none" w:sz="0" w:space="0" w:color="auto"/>
            <w:left w:val="none" w:sz="0" w:space="0" w:color="auto"/>
            <w:bottom w:val="none" w:sz="0" w:space="0" w:color="auto"/>
            <w:right w:val="none" w:sz="0" w:space="0" w:color="auto"/>
          </w:divBdr>
        </w:div>
        <w:div w:id="1911114785">
          <w:marLeft w:val="0"/>
          <w:marRight w:val="0"/>
          <w:marTop w:val="0"/>
          <w:marBottom w:val="0"/>
          <w:divBdr>
            <w:top w:val="none" w:sz="0" w:space="0" w:color="auto"/>
            <w:left w:val="none" w:sz="0" w:space="0" w:color="auto"/>
            <w:bottom w:val="none" w:sz="0" w:space="0" w:color="auto"/>
            <w:right w:val="none" w:sz="0" w:space="0" w:color="auto"/>
          </w:divBdr>
        </w:div>
        <w:div w:id="808279020">
          <w:marLeft w:val="0"/>
          <w:marRight w:val="0"/>
          <w:marTop w:val="0"/>
          <w:marBottom w:val="0"/>
          <w:divBdr>
            <w:top w:val="none" w:sz="0" w:space="0" w:color="auto"/>
            <w:left w:val="none" w:sz="0" w:space="0" w:color="auto"/>
            <w:bottom w:val="none" w:sz="0" w:space="0" w:color="auto"/>
            <w:right w:val="none" w:sz="0" w:space="0" w:color="auto"/>
          </w:divBdr>
        </w:div>
        <w:div w:id="379018369">
          <w:marLeft w:val="0"/>
          <w:marRight w:val="0"/>
          <w:marTop w:val="0"/>
          <w:marBottom w:val="0"/>
          <w:divBdr>
            <w:top w:val="none" w:sz="0" w:space="0" w:color="auto"/>
            <w:left w:val="none" w:sz="0" w:space="0" w:color="auto"/>
            <w:bottom w:val="none" w:sz="0" w:space="0" w:color="auto"/>
            <w:right w:val="none" w:sz="0" w:space="0" w:color="auto"/>
          </w:divBdr>
        </w:div>
        <w:div w:id="1724791796">
          <w:marLeft w:val="0"/>
          <w:marRight w:val="0"/>
          <w:marTop w:val="0"/>
          <w:marBottom w:val="0"/>
          <w:divBdr>
            <w:top w:val="none" w:sz="0" w:space="0" w:color="auto"/>
            <w:left w:val="none" w:sz="0" w:space="0" w:color="auto"/>
            <w:bottom w:val="none" w:sz="0" w:space="0" w:color="auto"/>
            <w:right w:val="none" w:sz="0" w:space="0" w:color="auto"/>
          </w:divBdr>
        </w:div>
        <w:div w:id="251817185">
          <w:marLeft w:val="0"/>
          <w:marRight w:val="0"/>
          <w:marTop w:val="0"/>
          <w:marBottom w:val="0"/>
          <w:divBdr>
            <w:top w:val="none" w:sz="0" w:space="0" w:color="auto"/>
            <w:left w:val="none" w:sz="0" w:space="0" w:color="auto"/>
            <w:bottom w:val="none" w:sz="0" w:space="0" w:color="auto"/>
            <w:right w:val="none" w:sz="0" w:space="0" w:color="auto"/>
          </w:divBdr>
        </w:div>
        <w:div w:id="570190203">
          <w:marLeft w:val="0"/>
          <w:marRight w:val="0"/>
          <w:marTop w:val="0"/>
          <w:marBottom w:val="0"/>
          <w:divBdr>
            <w:top w:val="none" w:sz="0" w:space="0" w:color="auto"/>
            <w:left w:val="none" w:sz="0" w:space="0" w:color="auto"/>
            <w:bottom w:val="none" w:sz="0" w:space="0" w:color="auto"/>
            <w:right w:val="none" w:sz="0" w:space="0" w:color="auto"/>
          </w:divBdr>
        </w:div>
        <w:div w:id="1727684790">
          <w:marLeft w:val="0"/>
          <w:marRight w:val="0"/>
          <w:marTop w:val="0"/>
          <w:marBottom w:val="0"/>
          <w:divBdr>
            <w:top w:val="none" w:sz="0" w:space="0" w:color="auto"/>
            <w:left w:val="none" w:sz="0" w:space="0" w:color="auto"/>
            <w:bottom w:val="none" w:sz="0" w:space="0" w:color="auto"/>
            <w:right w:val="none" w:sz="0" w:space="0" w:color="auto"/>
          </w:divBdr>
        </w:div>
        <w:div w:id="1477648916">
          <w:marLeft w:val="0"/>
          <w:marRight w:val="0"/>
          <w:marTop w:val="0"/>
          <w:marBottom w:val="0"/>
          <w:divBdr>
            <w:top w:val="none" w:sz="0" w:space="0" w:color="auto"/>
            <w:left w:val="none" w:sz="0" w:space="0" w:color="auto"/>
            <w:bottom w:val="none" w:sz="0" w:space="0" w:color="auto"/>
            <w:right w:val="none" w:sz="0" w:space="0" w:color="auto"/>
          </w:divBdr>
        </w:div>
        <w:div w:id="1752697340">
          <w:marLeft w:val="0"/>
          <w:marRight w:val="0"/>
          <w:marTop w:val="0"/>
          <w:marBottom w:val="0"/>
          <w:divBdr>
            <w:top w:val="none" w:sz="0" w:space="0" w:color="auto"/>
            <w:left w:val="none" w:sz="0" w:space="0" w:color="auto"/>
            <w:bottom w:val="none" w:sz="0" w:space="0" w:color="auto"/>
            <w:right w:val="none" w:sz="0" w:space="0" w:color="auto"/>
          </w:divBdr>
        </w:div>
        <w:div w:id="22440231">
          <w:marLeft w:val="0"/>
          <w:marRight w:val="0"/>
          <w:marTop w:val="0"/>
          <w:marBottom w:val="0"/>
          <w:divBdr>
            <w:top w:val="none" w:sz="0" w:space="0" w:color="auto"/>
            <w:left w:val="none" w:sz="0" w:space="0" w:color="auto"/>
            <w:bottom w:val="none" w:sz="0" w:space="0" w:color="auto"/>
            <w:right w:val="none" w:sz="0" w:space="0" w:color="auto"/>
          </w:divBdr>
        </w:div>
        <w:div w:id="370423089">
          <w:marLeft w:val="0"/>
          <w:marRight w:val="0"/>
          <w:marTop w:val="0"/>
          <w:marBottom w:val="0"/>
          <w:divBdr>
            <w:top w:val="none" w:sz="0" w:space="0" w:color="auto"/>
            <w:left w:val="none" w:sz="0" w:space="0" w:color="auto"/>
            <w:bottom w:val="none" w:sz="0" w:space="0" w:color="auto"/>
            <w:right w:val="none" w:sz="0" w:space="0" w:color="auto"/>
          </w:divBdr>
        </w:div>
        <w:div w:id="1001160372">
          <w:marLeft w:val="0"/>
          <w:marRight w:val="0"/>
          <w:marTop w:val="0"/>
          <w:marBottom w:val="0"/>
          <w:divBdr>
            <w:top w:val="none" w:sz="0" w:space="0" w:color="auto"/>
            <w:left w:val="none" w:sz="0" w:space="0" w:color="auto"/>
            <w:bottom w:val="none" w:sz="0" w:space="0" w:color="auto"/>
            <w:right w:val="none" w:sz="0" w:space="0" w:color="auto"/>
          </w:divBdr>
        </w:div>
        <w:div w:id="1147824451">
          <w:marLeft w:val="0"/>
          <w:marRight w:val="0"/>
          <w:marTop w:val="0"/>
          <w:marBottom w:val="0"/>
          <w:divBdr>
            <w:top w:val="none" w:sz="0" w:space="0" w:color="auto"/>
            <w:left w:val="none" w:sz="0" w:space="0" w:color="auto"/>
            <w:bottom w:val="none" w:sz="0" w:space="0" w:color="auto"/>
            <w:right w:val="none" w:sz="0" w:space="0" w:color="auto"/>
          </w:divBdr>
          <w:divsChild>
            <w:div w:id="403768932">
              <w:marLeft w:val="0"/>
              <w:marRight w:val="0"/>
              <w:marTop w:val="0"/>
              <w:marBottom w:val="0"/>
              <w:divBdr>
                <w:top w:val="none" w:sz="0" w:space="0" w:color="auto"/>
                <w:left w:val="none" w:sz="0" w:space="0" w:color="auto"/>
                <w:bottom w:val="none" w:sz="0" w:space="0" w:color="auto"/>
                <w:right w:val="none" w:sz="0" w:space="0" w:color="auto"/>
              </w:divBdr>
              <w:divsChild>
                <w:div w:id="17850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93924">
          <w:marLeft w:val="0"/>
          <w:marRight w:val="0"/>
          <w:marTop w:val="0"/>
          <w:marBottom w:val="0"/>
          <w:divBdr>
            <w:top w:val="none" w:sz="0" w:space="0" w:color="auto"/>
            <w:left w:val="none" w:sz="0" w:space="0" w:color="auto"/>
            <w:bottom w:val="none" w:sz="0" w:space="0" w:color="auto"/>
            <w:right w:val="none" w:sz="0" w:space="0" w:color="auto"/>
          </w:divBdr>
        </w:div>
        <w:div w:id="17585071">
          <w:marLeft w:val="0"/>
          <w:marRight w:val="0"/>
          <w:marTop w:val="0"/>
          <w:marBottom w:val="0"/>
          <w:divBdr>
            <w:top w:val="none" w:sz="0" w:space="0" w:color="auto"/>
            <w:left w:val="none" w:sz="0" w:space="0" w:color="auto"/>
            <w:bottom w:val="none" w:sz="0" w:space="0" w:color="auto"/>
            <w:right w:val="none" w:sz="0" w:space="0" w:color="auto"/>
          </w:divBdr>
        </w:div>
        <w:div w:id="1904681821">
          <w:marLeft w:val="0"/>
          <w:marRight w:val="0"/>
          <w:marTop w:val="0"/>
          <w:marBottom w:val="0"/>
          <w:divBdr>
            <w:top w:val="none" w:sz="0" w:space="0" w:color="auto"/>
            <w:left w:val="none" w:sz="0" w:space="0" w:color="auto"/>
            <w:bottom w:val="none" w:sz="0" w:space="0" w:color="auto"/>
            <w:right w:val="none" w:sz="0" w:space="0" w:color="auto"/>
          </w:divBdr>
        </w:div>
        <w:div w:id="679162236">
          <w:marLeft w:val="0"/>
          <w:marRight w:val="0"/>
          <w:marTop w:val="0"/>
          <w:marBottom w:val="0"/>
          <w:divBdr>
            <w:top w:val="none" w:sz="0" w:space="0" w:color="auto"/>
            <w:left w:val="none" w:sz="0" w:space="0" w:color="auto"/>
            <w:bottom w:val="none" w:sz="0" w:space="0" w:color="auto"/>
            <w:right w:val="none" w:sz="0" w:space="0" w:color="auto"/>
          </w:divBdr>
        </w:div>
        <w:div w:id="1854219743">
          <w:marLeft w:val="0"/>
          <w:marRight w:val="0"/>
          <w:marTop w:val="0"/>
          <w:marBottom w:val="0"/>
          <w:divBdr>
            <w:top w:val="none" w:sz="0" w:space="0" w:color="auto"/>
            <w:left w:val="none" w:sz="0" w:space="0" w:color="auto"/>
            <w:bottom w:val="none" w:sz="0" w:space="0" w:color="auto"/>
            <w:right w:val="none" w:sz="0" w:space="0" w:color="auto"/>
          </w:divBdr>
        </w:div>
        <w:div w:id="2026444323">
          <w:marLeft w:val="0"/>
          <w:marRight w:val="0"/>
          <w:marTop w:val="0"/>
          <w:marBottom w:val="0"/>
          <w:divBdr>
            <w:top w:val="none" w:sz="0" w:space="0" w:color="auto"/>
            <w:left w:val="none" w:sz="0" w:space="0" w:color="auto"/>
            <w:bottom w:val="none" w:sz="0" w:space="0" w:color="auto"/>
            <w:right w:val="none" w:sz="0" w:space="0" w:color="auto"/>
          </w:divBdr>
        </w:div>
        <w:div w:id="1399404142">
          <w:marLeft w:val="0"/>
          <w:marRight w:val="0"/>
          <w:marTop w:val="0"/>
          <w:marBottom w:val="0"/>
          <w:divBdr>
            <w:top w:val="none" w:sz="0" w:space="0" w:color="auto"/>
            <w:left w:val="none" w:sz="0" w:space="0" w:color="auto"/>
            <w:bottom w:val="none" w:sz="0" w:space="0" w:color="auto"/>
            <w:right w:val="none" w:sz="0" w:space="0" w:color="auto"/>
          </w:divBdr>
        </w:div>
        <w:div w:id="611129845">
          <w:marLeft w:val="0"/>
          <w:marRight w:val="0"/>
          <w:marTop w:val="0"/>
          <w:marBottom w:val="0"/>
          <w:divBdr>
            <w:top w:val="none" w:sz="0" w:space="0" w:color="auto"/>
            <w:left w:val="none" w:sz="0" w:space="0" w:color="auto"/>
            <w:bottom w:val="none" w:sz="0" w:space="0" w:color="auto"/>
            <w:right w:val="none" w:sz="0" w:space="0" w:color="auto"/>
          </w:divBdr>
        </w:div>
        <w:div w:id="1716201519">
          <w:marLeft w:val="0"/>
          <w:marRight w:val="0"/>
          <w:marTop w:val="0"/>
          <w:marBottom w:val="0"/>
          <w:divBdr>
            <w:top w:val="none" w:sz="0" w:space="0" w:color="auto"/>
            <w:left w:val="none" w:sz="0" w:space="0" w:color="auto"/>
            <w:bottom w:val="none" w:sz="0" w:space="0" w:color="auto"/>
            <w:right w:val="none" w:sz="0" w:space="0" w:color="auto"/>
          </w:divBdr>
        </w:div>
        <w:div w:id="592130143">
          <w:marLeft w:val="0"/>
          <w:marRight w:val="0"/>
          <w:marTop w:val="0"/>
          <w:marBottom w:val="0"/>
          <w:divBdr>
            <w:top w:val="none" w:sz="0" w:space="0" w:color="auto"/>
            <w:left w:val="none" w:sz="0" w:space="0" w:color="auto"/>
            <w:bottom w:val="none" w:sz="0" w:space="0" w:color="auto"/>
            <w:right w:val="none" w:sz="0" w:space="0" w:color="auto"/>
          </w:divBdr>
        </w:div>
        <w:div w:id="917329322">
          <w:marLeft w:val="0"/>
          <w:marRight w:val="0"/>
          <w:marTop w:val="0"/>
          <w:marBottom w:val="0"/>
          <w:divBdr>
            <w:top w:val="none" w:sz="0" w:space="0" w:color="auto"/>
            <w:left w:val="none" w:sz="0" w:space="0" w:color="auto"/>
            <w:bottom w:val="none" w:sz="0" w:space="0" w:color="auto"/>
            <w:right w:val="none" w:sz="0" w:space="0" w:color="auto"/>
          </w:divBdr>
        </w:div>
        <w:div w:id="1938832902">
          <w:marLeft w:val="0"/>
          <w:marRight w:val="0"/>
          <w:marTop w:val="0"/>
          <w:marBottom w:val="0"/>
          <w:divBdr>
            <w:top w:val="none" w:sz="0" w:space="0" w:color="auto"/>
            <w:left w:val="none" w:sz="0" w:space="0" w:color="auto"/>
            <w:bottom w:val="none" w:sz="0" w:space="0" w:color="auto"/>
            <w:right w:val="none" w:sz="0" w:space="0" w:color="auto"/>
          </w:divBdr>
        </w:div>
        <w:div w:id="2002388303">
          <w:marLeft w:val="0"/>
          <w:marRight w:val="0"/>
          <w:marTop w:val="0"/>
          <w:marBottom w:val="0"/>
          <w:divBdr>
            <w:top w:val="none" w:sz="0" w:space="0" w:color="auto"/>
            <w:left w:val="none" w:sz="0" w:space="0" w:color="auto"/>
            <w:bottom w:val="none" w:sz="0" w:space="0" w:color="auto"/>
            <w:right w:val="none" w:sz="0" w:space="0" w:color="auto"/>
          </w:divBdr>
        </w:div>
        <w:div w:id="95642703">
          <w:marLeft w:val="0"/>
          <w:marRight w:val="0"/>
          <w:marTop w:val="0"/>
          <w:marBottom w:val="0"/>
          <w:divBdr>
            <w:top w:val="none" w:sz="0" w:space="0" w:color="auto"/>
            <w:left w:val="none" w:sz="0" w:space="0" w:color="auto"/>
            <w:bottom w:val="none" w:sz="0" w:space="0" w:color="auto"/>
            <w:right w:val="none" w:sz="0" w:space="0" w:color="auto"/>
          </w:divBdr>
        </w:div>
        <w:div w:id="1517815245">
          <w:marLeft w:val="0"/>
          <w:marRight w:val="0"/>
          <w:marTop w:val="0"/>
          <w:marBottom w:val="0"/>
          <w:divBdr>
            <w:top w:val="none" w:sz="0" w:space="0" w:color="auto"/>
            <w:left w:val="none" w:sz="0" w:space="0" w:color="auto"/>
            <w:bottom w:val="none" w:sz="0" w:space="0" w:color="auto"/>
            <w:right w:val="none" w:sz="0" w:space="0" w:color="auto"/>
          </w:divBdr>
        </w:div>
        <w:div w:id="408238660">
          <w:marLeft w:val="0"/>
          <w:marRight w:val="0"/>
          <w:marTop w:val="0"/>
          <w:marBottom w:val="0"/>
          <w:divBdr>
            <w:top w:val="none" w:sz="0" w:space="0" w:color="auto"/>
            <w:left w:val="none" w:sz="0" w:space="0" w:color="auto"/>
            <w:bottom w:val="none" w:sz="0" w:space="0" w:color="auto"/>
            <w:right w:val="none" w:sz="0" w:space="0" w:color="auto"/>
          </w:divBdr>
        </w:div>
        <w:div w:id="1437410042">
          <w:marLeft w:val="0"/>
          <w:marRight w:val="0"/>
          <w:marTop w:val="0"/>
          <w:marBottom w:val="0"/>
          <w:divBdr>
            <w:top w:val="none" w:sz="0" w:space="0" w:color="auto"/>
            <w:left w:val="none" w:sz="0" w:space="0" w:color="auto"/>
            <w:bottom w:val="none" w:sz="0" w:space="0" w:color="auto"/>
            <w:right w:val="none" w:sz="0" w:space="0" w:color="auto"/>
          </w:divBdr>
        </w:div>
        <w:div w:id="1396705573">
          <w:marLeft w:val="0"/>
          <w:marRight w:val="0"/>
          <w:marTop w:val="0"/>
          <w:marBottom w:val="0"/>
          <w:divBdr>
            <w:top w:val="none" w:sz="0" w:space="0" w:color="auto"/>
            <w:left w:val="none" w:sz="0" w:space="0" w:color="auto"/>
            <w:bottom w:val="none" w:sz="0" w:space="0" w:color="auto"/>
            <w:right w:val="none" w:sz="0" w:space="0" w:color="auto"/>
          </w:divBdr>
        </w:div>
        <w:div w:id="1262034007">
          <w:marLeft w:val="0"/>
          <w:marRight w:val="0"/>
          <w:marTop w:val="0"/>
          <w:marBottom w:val="0"/>
          <w:divBdr>
            <w:top w:val="none" w:sz="0" w:space="0" w:color="auto"/>
            <w:left w:val="none" w:sz="0" w:space="0" w:color="auto"/>
            <w:bottom w:val="none" w:sz="0" w:space="0" w:color="auto"/>
            <w:right w:val="none" w:sz="0" w:space="0" w:color="auto"/>
          </w:divBdr>
        </w:div>
        <w:div w:id="1391422827">
          <w:marLeft w:val="0"/>
          <w:marRight w:val="0"/>
          <w:marTop w:val="0"/>
          <w:marBottom w:val="0"/>
          <w:divBdr>
            <w:top w:val="none" w:sz="0" w:space="0" w:color="auto"/>
            <w:left w:val="none" w:sz="0" w:space="0" w:color="auto"/>
            <w:bottom w:val="none" w:sz="0" w:space="0" w:color="auto"/>
            <w:right w:val="none" w:sz="0" w:space="0" w:color="auto"/>
          </w:divBdr>
        </w:div>
        <w:div w:id="1091975350">
          <w:marLeft w:val="0"/>
          <w:marRight w:val="0"/>
          <w:marTop w:val="0"/>
          <w:marBottom w:val="0"/>
          <w:divBdr>
            <w:top w:val="none" w:sz="0" w:space="0" w:color="auto"/>
            <w:left w:val="none" w:sz="0" w:space="0" w:color="auto"/>
            <w:bottom w:val="none" w:sz="0" w:space="0" w:color="auto"/>
            <w:right w:val="none" w:sz="0" w:space="0" w:color="auto"/>
          </w:divBdr>
        </w:div>
        <w:div w:id="1173106177">
          <w:marLeft w:val="0"/>
          <w:marRight w:val="0"/>
          <w:marTop w:val="0"/>
          <w:marBottom w:val="0"/>
          <w:divBdr>
            <w:top w:val="none" w:sz="0" w:space="0" w:color="auto"/>
            <w:left w:val="none" w:sz="0" w:space="0" w:color="auto"/>
            <w:bottom w:val="none" w:sz="0" w:space="0" w:color="auto"/>
            <w:right w:val="none" w:sz="0" w:space="0" w:color="auto"/>
          </w:divBdr>
        </w:div>
        <w:div w:id="1832014978">
          <w:marLeft w:val="0"/>
          <w:marRight w:val="0"/>
          <w:marTop w:val="0"/>
          <w:marBottom w:val="0"/>
          <w:divBdr>
            <w:top w:val="none" w:sz="0" w:space="0" w:color="auto"/>
            <w:left w:val="none" w:sz="0" w:space="0" w:color="auto"/>
            <w:bottom w:val="none" w:sz="0" w:space="0" w:color="auto"/>
            <w:right w:val="none" w:sz="0" w:space="0" w:color="auto"/>
          </w:divBdr>
        </w:div>
        <w:div w:id="536550297">
          <w:marLeft w:val="0"/>
          <w:marRight w:val="0"/>
          <w:marTop w:val="0"/>
          <w:marBottom w:val="0"/>
          <w:divBdr>
            <w:top w:val="none" w:sz="0" w:space="0" w:color="auto"/>
            <w:left w:val="none" w:sz="0" w:space="0" w:color="auto"/>
            <w:bottom w:val="none" w:sz="0" w:space="0" w:color="auto"/>
            <w:right w:val="none" w:sz="0" w:space="0" w:color="auto"/>
          </w:divBdr>
        </w:div>
        <w:div w:id="1279489601">
          <w:marLeft w:val="0"/>
          <w:marRight w:val="0"/>
          <w:marTop w:val="0"/>
          <w:marBottom w:val="0"/>
          <w:divBdr>
            <w:top w:val="none" w:sz="0" w:space="0" w:color="auto"/>
            <w:left w:val="none" w:sz="0" w:space="0" w:color="auto"/>
            <w:bottom w:val="none" w:sz="0" w:space="0" w:color="auto"/>
            <w:right w:val="none" w:sz="0" w:space="0" w:color="auto"/>
          </w:divBdr>
        </w:div>
        <w:div w:id="1468472282">
          <w:marLeft w:val="0"/>
          <w:marRight w:val="0"/>
          <w:marTop w:val="0"/>
          <w:marBottom w:val="0"/>
          <w:divBdr>
            <w:top w:val="none" w:sz="0" w:space="0" w:color="auto"/>
            <w:left w:val="none" w:sz="0" w:space="0" w:color="auto"/>
            <w:bottom w:val="none" w:sz="0" w:space="0" w:color="auto"/>
            <w:right w:val="none" w:sz="0" w:space="0" w:color="auto"/>
          </w:divBdr>
        </w:div>
        <w:div w:id="286203097">
          <w:marLeft w:val="0"/>
          <w:marRight w:val="0"/>
          <w:marTop w:val="0"/>
          <w:marBottom w:val="0"/>
          <w:divBdr>
            <w:top w:val="none" w:sz="0" w:space="0" w:color="auto"/>
            <w:left w:val="none" w:sz="0" w:space="0" w:color="auto"/>
            <w:bottom w:val="none" w:sz="0" w:space="0" w:color="auto"/>
            <w:right w:val="none" w:sz="0" w:space="0" w:color="auto"/>
          </w:divBdr>
        </w:div>
        <w:div w:id="1301616398">
          <w:marLeft w:val="0"/>
          <w:marRight w:val="0"/>
          <w:marTop w:val="0"/>
          <w:marBottom w:val="0"/>
          <w:divBdr>
            <w:top w:val="none" w:sz="0" w:space="0" w:color="auto"/>
            <w:left w:val="none" w:sz="0" w:space="0" w:color="auto"/>
            <w:bottom w:val="none" w:sz="0" w:space="0" w:color="auto"/>
            <w:right w:val="none" w:sz="0" w:space="0" w:color="auto"/>
          </w:divBdr>
        </w:div>
        <w:div w:id="2125267961">
          <w:marLeft w:val="0"/>
          <w:marRight w:val="0"/>
          <w:marTop w:val="0"/>
          <w:marBottom w:val="0"/>
          <w:divBdr>
            <w:top w:val="none" w:sz="0" w:space="0" w:color="auto"/>
            <w:left w:val="none" w:sz="0" w:space="0" w:color="auto"/>
            <w:bottom w:val="none" w:sz="0" w:space="0" w:color="auto"/>
            <w:right w:val="none" w:sz="0" w:space="0" w:color="auto"/>
          </w:divBdr>
        </w:div>
        <w:div w:id="1642072861">
          <w:marLeft w:val="0"/>
          <w:marRight w:val="0"/>
          <w:marTop w:val="0"/>
          <w:marBottom w:val="0"/>
          <w:divBdr>
            <w:top w:val="none" w:sz="0" w:space="0" w:color="auto"/>
            <w:left w:val="none" w:sz="0" w:space="0" w:color="auto"/>
            <w:bottom w:val="none" w:sz="0" w:space="0" w:color="auto"/>
            <w:right w:val="none" w:sz="0" w:space="0" w:color="auto"/>
          </w:divBdr>
        </w:div>
        <w:div w:id="508251888">
          <w:marLeft w:val="0"/>
          <w:marRight w:val="0"/>
          <w:marTop w:val="0"/>
          <w:marBottom w:val="0"/>
          <w:divBdr>
            <w:top w:val="none" w:sz="0" w:space="0" w:color="auto"/>
            <w:left w:val="none" w:sz="0" w:space="0" w:color="auto"/>
            <w:bottom w:val="none" w:sz="0" w:space="0" w:color="auto"/>
            <w:right w:val="none" w:sz="0" w:space="0" w:color="auto"/>
          </w:divBdr>
        </w:div>
        <w:div w:id="1914195918">
          <w:marLeft w:val="0"/>
          <w:marRight w:val="0"/>
          <w:marTop w:val="0"/>
          <w:marBottom w:val="0"/>
          <w:divBdr>
            <w:top w:val="none" w:sz="0" w:space="0" w:color="auto"/>
            <w:left w:val="none" w:sz="0" w:space="0" w:color="auto"/>
            <w:bottom w:val="none" w:sz="0" w:space="0" w:color="auto"/>
            <w:right w:val="none" w:sz="0" w:space="0" w:color="auto"/>
          </w:divBdr>
        </w:div>
        <w:div w:id="544292407">
          <w:marLeft w:val="0"/>
          <w:marRight w:val="0"/>
          <w:marTop w:val="0"/>
          <w:marBottom w:val="0"/>
          <w:divBdr>
            <w:top w:val="none" w:sz="0" w:space="0" w:color="auto"/>
            <w:left w:val="none" w:sz="0" w:space="0" w:color="auto"/>
            <w:bottom w:val="none" w:sz="0" w:space="0" w:color="auto"/>
            <w:right w:val="none" w:sz="0" w:space="0" w:color="auto"/>
          </w:divBdr>
        </w:div>
        <w:div w:id="1741709151">
          <w:marLeft w:val="0"/>
          <w:marRight w:val="0"/>
          <w:marTop w:val="0"/>
          <w:marBottom w:val="0"/>
          <w:divBdr>
            <w:top w:val="none" w:sz="0" w:space="0" w:color="auto"/>
            <w:left w:val="none" w:sz="0" w:space="0" w:color="auto"/>
            <w:bottom w:val="none" w:sz="0" w:space="0" w:color="auto"/>
            <w:right w:val="none" w:sz="0" w:space="0" w:color="auto"/>
          </w:divBdr>
        </w:div>
        <w:div w:id="1369187683">
          <w:marLeft w:val="0"/>
          <w:marRight w:val="0"/>
          <w:marTop w:val="0"/>
          <w:marBottom w:val="0"/>
          <w:divBdr>
            <w:top w:val="none" w:sz="0" w:space="0" w:color="auto"/>
            <w:left w:val="none" w:sz="0" w:space="0" w:color="auto"/>
            <w:bottom w:val="none" w:sz="0" w:space="0" w:color="auto"/>
            <w:right w:val="none" w:sz="0" w:space="0" w:color="auto"/>
          </w:divBdr>
        </w:div>
        <w:div w:id="1557424479">
          <w:marLeft w:val="0"/>
          <w:marRight w:val="0"/>
          <w:marTop w:val="0"/>
          <w:marBottom w:val="0"/>
          <w:divBdr>
            <w:top w:val="none" w:sz="0" w:space="0" w:color="auto"/>
            <w:left w:val="none" w:sz="0" w:space="0" w:color="auto"/>
            <w:bottom w:val="none" w:sz="0" w:space="0" w:color="auto"/>
            <w:right w:val="none" w:sz="0" w:space="0" w:color="auto"/>
          </w:divBdr>
        </w:div>
        <w:div w:id="49305380">
          <w:marLeft w:val="0"/>
          <w:marRight w:val="0"/>
          <w:marTop w:val="0"/>
          <w:marBottom w:val="0"/>
          <w:divBdr>
            <w:top w:val="none" w:sz="0" w:space="0" w:color="auto"/>
            <w:left w:val="none" w:sz="0" w:space="0" w:color="auto"/>
            <w:bottom w:val="none" w:sz="0" w:space="0" w:color="auto"/>
            <w:right w:val="none" w:sz="0" w:space="0" w:color="auto"/>
          </w:divBdr>
        </w:div>
        <w:div w:id="325135172">
          <w:marLeft w:val="0"/>
          <w:marRight w:val="0"/>
          <w:marTop w:val="0"/>
          <w:marBottom w:val="0"/>
          <w:divBdr>
            <w:top w:val="none" w:sz="0" w:space="0" w:color="auto"/>
            <w:left w:val="none" w:sz="0" w:space="0" w:color="auto"/>
            <w:bottom w:val="none" w:sz="0" w:space="0" w:color="auto"/>
            <w:right w:val="none" w:sz="0" w:space="0" w:color="auto"/>
          </w:divBdr>
        </w:div>
        <w:div w:id="1719431230">
          <w:marLeft w:val="0"/>
          <w:marRight w:val="0"/>
          <w:marTop w:val="0"/>
          <w:marBottom w:val="0"/>
          <w:divBdr>
            <w:top w:val="none" w:sz="0" w:space="0" w:color="auto"/>
            <w:left w:val="none" w:sz="0" w:space="0" w:color="auto"/>
            <w:bottom w:val="none" w:sz="0" w:space="0" w:color="auto"/>
            <w:right w:val="none" w:sz="0" w:space="0" w:color="auto"/>
          </w:divBdr>
        </w:div>
        <w:div w:id="358548205">
          <w:marLeft w:val="0"/>
          <w:marRight w:val="0"/>
          <w:marTop w:val="0"/>
          <w:marBottom w:val="0"/>
          <w:divBdr>
            <w:top w:val="none" w:sz="0" w:space="0" w:color="auto"/>
            <w:left w:val="none" w:sz="0" w:space="0" w:color="auto"/>
            <w:bottom w:val="none" w:sz="0" w:space="0" w:color="auto"/>
            <w:right w:val="none" w:sz="0" w:space="0" w:color="auto"/>
          </w:divBdr>
        </w:div>
        <w:div w:id="1349792049">
          <w:marLeft w:val="0"/>
          <w:marRight w:val="0"/>
          <w:marTop w:val="0"/>
          <w:marBottom w:val="0"/>
          <w:divBdr>
            <w:top w:val="none" w:sz="0" w:space="0" w:color="auto"/>
            <w:left w:val="none" w:sz="0" w:space="0" w:color="auto"/>
            <w:bottom w:val="none" w:sz="0" w:space="0" w:color="auto"/>
            <w:right w:val="none" w:sz="0" w:space="0" w:color="auto"/>
          </w:divBdr>
        </w:div>
        <w:div w:id="867722217">
          <w:marLeft w:val="0"/>
          <w:marRight w:val="0"/>
          <w:marTop w:val="0"/>
          <w:marBottom w:val="0"/>
          <w:divBdr>
            <w:top w:val="none" w:sz="0" w:space="0" w:color="auto"/>
            <w:left w:val="none" w:sz="0" w:space="0" w:color="auto"/>
            <w:bottom w:val="none" w:sz="0" w:space="0" w:color="auto"/>
            <w:right w:val="none" w:sz="0" w:space="0" w:color="auto"/>
          </w:divBdr>
        </w:div>
        <w:div w:id="227109680">
          <w:marLeft w:val="0"/>
          <w:marRight w:val="0"/>
          <w:marTop w:val="0"/>
          <w:marBottom w:val="0"/>
          <w:divBdr>
            <w:top w:val="none" w:sz="0" w:space="0" w:color="auto"/>
            <w:left w:val="none" w:sz="0" w:space="0" w:color="auto"/>
            <w:bottom w:val="none" w:sz="0" w:space="0" w:color="auto"/>
            <w:right w:val="none" w:sz="0" w:space="0" w:color="auto"/>
          </w:divBdr>
        </w:div>
        <w:div w:id="668873811">
          <w:marLeft w:val="0"/>
          <w:marRight w:val="0"/>
          <w:marTop w:val="0"/>
          <w:marBottom w:val="0"/>
          <w:divBdr>
            <w:top w:val="none" w:sz="0" w:space="0" w:color="auto"/>
            <w:left w:val="none" w:sz="0" w:space="0" w:color="auto"/>
            <w:bottom w:val="none" w:sz="0" w:space="0" w:color="auto"/>
            <w:right w:val="none" w:sz="0" w:space="0" w:color="auto"/>
          </w:divBdr>
        </w:div>
        <w:div w:id="2018842147">
          <w:marLeft w:val="0"/>
          <w:marRight w:val="0"/>
          <w:marTop w:val="0"/>
          <w:marBottom w:val="0"/>
          <w:divBdr>
            <w:top w:val="none" w:sz="0" w:space="0" w:color="auto"/>
            <w:left w:val="none" w:sz="0" w:space="0" w:color="auto"/>
            <w:bottom w:val="none" w:sz="0" w:space="0" w:color="auto"/>
            <w:right w:val="none" w:sz="0" w:space="0" w:color="auto"/>
          </w:divBdr>
        </w:div>
        <w:div w:id="1387342316">
          <w:marLeft w:val="0"/>
          <w:marRight w:val="0"/>
          <w:marTop w:val="0"/>
          <w:marBottom w:val="0"/>
          <w:divBdr>
            <w:top w:val="none" w:sz="0" w:space="0" w:color="auto"/>
            <w:left w:val="none" w:sz="0" w:space="0" w:color="auto"/>
            <w:bottom w:val="none" w:sz="0" w:space="0" w:color="auto"/>
            <w:right w:val="none" w:sz="0" w:space="0" w:color="auto"/>
          </w:divBdr>
        </w:div>
        <w:div w:id="1451705038">
          <w:marLeft w:val="0"/>
          <w:marRight w:val="0"/>
          <w:marTop w:val="0"/>
          <w:marBottom w:val="0"/>
          <w:divBdr>
            <w:top w:val="none" w:sz="0" w:space="0" w:color="auto"/>
            <w:left w:val="none" w:sz="0" w:space="0" w:color="auto"/>
            <w:bottom w:val="none" w:sz="0" w:space="0" w:color="auto"/>
            <w:right w:val="none" w:sz="0" w:space="0" w:color="auto"/>
          </w:divBdr>
        </w:div>
        <w:div w:id="94715255">
          <w:marLeft w:val="0"/>
          <w:marRight w:val="0"/>
          <w:marTop w:val="0"/>
          <w:marBottom w:val="0"/>
          <w:divBdr>
            <w:top w:val="none" w:sz="0" w:space="0" w:color="auto"/>
            <w:left w:val="none" w:sz="0" w:space="0" w:color="auto"/>
            <w:bottom w:val="none" w:sz="0" w:space="0" w:color="auto"/>
            <w:right w:val="none" w:sz="0" w:space="0" w:color="auto"/>
          </w:divBdr>
        </w:div>
        <w:div w:id="460852309">
          <w:marLeft w:val="0"/>
          <w:marRight w:val="0"/>
          <w:marTop w:val="0"/>
          <w:marBottom w:val="0"/>
          <w:divBdr>
            <w:top w:val="none" w:sz="0" w:space="0" w:color="auto"/>
            <w:left w:val="none" w:sz="0" w:space="0" w:color="auto"/>
            <w:bottom w:val="none" w:sz="0" w:space="0" w:color="auto"/>
            <w:right w:val="none" w:sz="0" w:space="0" w:color="auto"/>
          </w:divBdr>
        </w:div>
        <w:div w:id="832530993">
          <w:marLeft w:val="0"/>
          <w:marRight w:val="0"/>
          <w:marTop w:val="0"/>
          <w:marBottom w:val="0"/>
          <w:divBdr>
            <w:top w:val="none" w:sz="0" w:space="0" w:color="auto"/>
            <w:left w:val="none" w:sz="0" w:space="0" w:color="auto"/>
            <w:bottom w:val="none" w:sz="0" w:space="0" w:color="auto"/>
            <w:right w:val="none" w:sz="0" w:space="0" w:color="auto"/>
          </w:divBdr>
        </w:div>
        <w:div w:id="1852062042">
          <w:marLeft w:val="0"/>
          <w:marRight w:val="0"/>
          <w:marTop w:val="0"/>
          <w:marBottom w:val="0"/>
          <w:divBdr>
            <w:top w:val="none" w:sz="0" w:space="0" w:color="auto"/>
            <w:left w:val="none" w:sz="0" w:space="0" w:color="auto"/>
            <w:bottom w:val="none" w:sz="0" w:space="0" w:color="auto"/>
            <w:right w:val="none" w:sz="0" w:space="0" w:color="auto"/>
          </w:divBdr>
        </w:div>
        <w:div w:id="1250698568">
          <w:marLeft w:val="0"/>
          <w:marRight w:val="0"/>
          <w:marTop w:val="0"/>
          <w:marBottom w:val="0"/>
          <w:divBdr>
            <w:top w:val="none" w:sz="0" w:space="0" w:color="auto"/>
            <w:left w:val="none" w:sz="0" w:space="0" w:color="auto"/>
            <w:bottom w:val="none" w:sz="0" w:space="0" w:color="auto"/>
            <w:right w:val="none" w:sz="0" w:space="0" w:color="auto"/>
          </w:divBdr>
        </w:div>
        <w:div w:id="1855343788">
          <w:marLeft w:val="0"/>
          <w:marRight w:val="0"/>
          <w:marTop w:val="0"/>
          <w:marBottom w:val="0"/>
          <w:divBdr>
            <w:top w:val="none" w:sz="0" w:space="0" w:color="auto"/>
            <w:left w:val="none" w:sz="0" w:space="0" w:color="auto"/>
            <w:bottom w:val="none" w:sz="0" w:space="0" w:color="auto"/>
            <w:right w:val="none" w:sz="0" w:space="0" w:color="auto"/>
          </w:divBdr>
        </w:div>
        <w:div w:id="671639433">
          <w:marLeft w:val="0"/>
          <w:marRight w:val="0"/>
          <w:marTop w:val="0"/>
          <w:marBottom w:val="0"/>
          <w:divBdr>
            <w:top w:val="none" w:sz="0" w:space="0" w:color="auto"/>
            <w:left w:val="none" w:sz="0" w:space="0" w:color="auto"/>
            <w:bottom w:val="none" w:sz="0" w:space="0" w:color="auto"/>
            <w:right w:val="none" w:sz="0" w:space="0" w:color="auto"/>
          </w:divBdr>
        </w:div>
        <w:div w:id="329991059">
          <w:marLeft w:val="0"/>
          <w:marRight w:val="0"/>
          <w:marTop w:val="0"/>
          <w:marBottom w:val="0"/>
          <w:divBdr>
            <w:top w:val="none" w:sz="0" w:space="0" w:color="auto"/>
            <w:left w:val="none" w:sz="0" w:space="0" w:color="auto"/>
            <w:bottom w:val="none" w:sz="0" w:space="0" w:color="auto"/>
            <w:right w:val="none" w:sz="0" w:space="0" w:color="auto"/>
          </w:divBdr>
        </w:div>
        <w:div w:id="160505999">
          <w:marLeft w:val="0"/>
          <w:marRight w:val="0"/>
          <w:marTop w:val="0"/>
          <w:marBottom w:val="0"/>
          <w:divBdr>
            <w:top w:val="none" w:sz="0" w:space="0" w:color="auto"/>
            <w:left w:val="none" w:sz="0" w:space="0" w:color="auto"/>
            <w:bottom w:val="none" w:sz="0" w:space="0" w:color="auto"/>
            <w:right w:val="none" w:sz="0" w:space="0" w:color="auto"/>
          </w:divBdr>
        </w:div>
        <w:div w:id="362751442">
          <w:marLeft w:val="0"/>
          <w:marRight w:val="0"/>
          <w:marTop w:val="0"/>
          <w:marBottom w:val="0"/>
          <w:divBdr>
            <w:top w:val="none" w:sz="0" w:space="0" w:color="auto"/>
            <w:left w:val="none" w:sz="0" w:space="0" w:color="auto"/>
            <w:bottom w:val="none" w:sz="0" w:space="0" w:color="auto"/>
            <w:right w:val="none" w:sz="0" w:space="0" w:color="auto"/>
          </w:divBdr>
        </w:div>
        <w:div w:id="15231307">
          <w:marLeft w:val="0"/>
          <w:marRight w:val="0"/>
          <w:marTop w:val="0"/>
          <w:marBottom w:val="0"/>
          <w:divBdr>
            <w:top w:val="none" w:sz="0" w:space="0" w:color="auto"/>
            <w:left w:val="none" w:sz="0" w:space="0" w:color="auto"/>
            <w:bottom w:val="none" w:sz="0" w:space="0" w:color="auto"/>
            <w:right w:val="none" w:sz="0" w:space="0" w:color="auto"/>
          </w:divBdr>
        </w:div>
        <w:div w:id="398405066">
          <w:marLeft w:val="0"/>
          <w:marRight w:val="0"/>
          <w:marTop w:val="0"/>
          <w:marBottom w:val="0"/>
          <w:divBdr>
            <w:top w:val="none" w:sz="0" w:space="0" w:color="auto"/>
            <w:left w:val="none" w:sz="0" w:space="0" w:color="auto"/>
            <w:bottom w:val="none" w:sz="0" w:space="0" w:color="auto"/>
            <w:right w:val="none" w:sz="0" w:space="0" w:color="auto"/>
          </w:divBdr>
        </w:div>
        <w:div w:id="946039985">
          <w:marLeft w:val="0"/>
          <w:marRight w:val="0"/>
          <w:marTop w:val="0"/>
          <w:marBottom w:val="0"/>
          <w:divBdr>
            <w:top w:val="none" w:sz="0" w:space="0" w:color="auto"/>
            <w:left w:val="none" w:sz="0" w:space="0" w:color="auto"/>
            <w:bottom w:val="none" w:sz="0" w:space="0" w:color="auto"/>
            <w:right w:val="none" w:sz="0" w:space="0" w:color="auto"/>
          </w:divBdr>
        </w:div>
        <w:div w:id="2096706294">
          <w:marLeft w:val="0"/>
          <w:marRight w:val="0"/>
          <w:marTop w:val="0"/>
          <w:marBottom w:val="0"/>
          <w:divBdr>
            <w:top w:val="none" w:sz="0" w:space="0" w:color="auto"/>
            <w:left w:val="none" w:sz="0" w:space="0" w:color="auto"/>
            <w:bottom w:val="none" w:sz="0" w:space="0" w:color="auto"/>
            <w:right w:val="none" w:sz="0" w:space="0" w:color="auto"/>
          </w:divBdr>
        </w:div>
        <w:div w:id="581448573">
          <w:marLeft w:val="0"/>
          <w:marRight w:val="0"/>
          <w:marTop w:val="0"/>
          <w:marBottom w:val="0"/>
          <w:divBdr>
            <w:top w:val="none" w:sz="0" w:space="0" w:color="auto"/>
            <w:left w:val="none" w:sz="0" w:space="0" w:color="auto"/>
            <w:bottom w:val="none" w:sz="0" w:space="0" w:color="auto"/>
            <w:right w:val="none" w:sz="0" w:space="0" w:color="auto"/>
          </w:divBdr>
        </w:div>
        <w:div w:id="51664411">
          <w:marLeft w:val="0"/>
          <w:marRight w:val="0"/>
          <w:marTop w:val="0"/>
          <w:marBottom w:val="0"/>
          <w:divBdr>
            <w:top w:val="none" w:sz="0" w:space="0" w:color="auto"/>
            <w:left w:val="none" w:sz="0" w:space="0" w:color="auto"/>
            <w:bottom w:val="none" w:sz="0" w:space="0" w:color="auto"/>
            <w:right w:val="none" w:sz="0" w:space="0" w:color="auto"/>
          </w:divBdr>
        </w:div>
        <w:div w:id="1913923967">
          <w:marLeft w:val="0"/>
          <w:marRight w:val="0"/>
          <w:marTop w:val="0"/>
          <w:marBottom w:val="0"/>
          <w:divBdr>
            <w:top w:val="none" w:sz="0" w:space="0" w:color="auto"/>
            <w:left w:val="none" w:sz="0" w:space="0" w:color="auto"/>
            <w:bottom w:val="none" w:sz="0" w:space="0" w:color="auto"/>
            <w:right w:val="none" w:sz="0" w:space="0" w:color="auto"/>
          </w:divBdr>
        </w:div>
        <w:div w:id="2131512723">
          <w:marLeft w:val="0"/>
          <w:marRight w:val="0"/>
          <w:marTop w:val="0"/>
          <w:marBottom w:val="0"/>
          <w:divBdr>
            <w:top w:val="none" w:sz="0" w:space="0" w:color="auto"/>
            <w:left w:val="none" w:sz="0" w:space="0" w:color="auto"/>
            <w:bottom w:val="none" w:sz="0" w:space="0" w:color="auto"/>
            <w:right w:val="none" w:sz="0" w:space="0" w:color="auto"/>
          </w:divBdr>
        </w:div>
        <w:div w:id="248345801">
          <w:marLeft w:val="0"/>
          <w:marRight w:val="0"/>
          <w:marTop w:val="0"/>
          <w:marBottom w:val="0"/>
          <w:divBdr>
            <w:top w:val="none" w:sz="0" w:space="0" w:color="auto"/>
            <w:left w:val="none" w:sz="0" w:space="0" w:color="auto"/>
            <w:bottom w:val="none" w:sz="0" w:space="0" w:color="auto"/>
            <w:right w:val="none" w:sz="0" w:space="0" w:color="auto"/>
          </w:divBdr>
        </w:div>
        <w:div w:id="1967539602">
          <w:marLeft w:val="0"/>
          <w:marRight w:val="0"/>
          <w:marTop w:val="0"/>
          <w:marBottom w:val="0"/>
          <w:divBdr>
            <w:top w:val="none" w:sz="0" w:space="0" w:color="auto"/>
            <w:left w:val="none" w:sz="0" w:space="0" w:color="auto"/>
            <w:bottom w:val="none" w:sz="0" w:space="0" w:color="auto"/>
            <w:right w:val="none" w:sz="0" w:space="0" w:color="auto"/>
          </w:divBdr>
        </w:div>
        <w:div w:id="198591285">
          <w:marLeft w:val="0"/>
          <w:marRight w:val="0"/>
          <w:marTop w:val="0"/>
          <w:marBottom w:val="0"/>
          <w:divBdr>
            <w:top w:val="none" w:sz="0" w:space="0" w:color="auto"/>
            <w:left w:val="none" w:sz="0" w:space="0" w:color="auto"/>
            <w:bottom w:val="none" w:sz="0" w:space="0" w:color="auto"/>
            <w:right w:val="none" w:sz="0" w:space="0" w:color="auto"/>
          </w:divBdr>
        </w:div>
        <w:div w:id="1893736445">
          <w:marLeft w:val="0"/>
          <w:marRight w:val="0"/>
          <w:marTop w:val="0"/>
          <w:marBottom w:val="0"/>
          <w:divBdr>
            <w:top w:val="none" w:sz="0" w:space="0" w:color="auto"/>
            <w:left w:val="none" w:sz="0" w:space="0" w:color="auto"/>
            <w:bottom w:val="none" w:sz="0" w:space="0" w:color="auto"/>
            <w:right w:val="none" w:sz="0" w:space="0" w:color="auto"/>
          </w:divBdr>
        </w:div>
        <w:div w:id="1185052061">
          <w:marLeft w:val="0"/>
          <w:marRight w:val="0"/>
          <w:marTop w:val="0"/>
          <w:marBottom w:val="0"/>
          <w:divBdr>
            <w:top w:val="none" w:sz="0" w:space="0" w:color="auto"/>
            <w:left w:val="none" w:sz="0" w:space="0" w:color="auto"/>
            <w:bottom w:val="none" w:sz="0" w:space="0" w:color="auto"/>
            <w:right w:val="none" w:sz="0" w:space="0" w:color="auto"/>
          </w:divBdr>
        </w:div>
        <w:div w:id="1074205886">
          <w:marLeft w:val="0"/>
          <w:marRight w:val="0"/>
          <w:marTop w:val="0"/>
          <w:marBottom w:val="0"/>
          <w:divBdr>
            <w:top w:val="none" w:sz="0" w:space="0" w:color="auto"/>
            <w:left w:val="none" w:sz="0" w:space="0" w:color="auto"/>
            <w:bottom w:val="none" w:sz="0" w:space="0" w:color="auto"/>
            <w:right w:val="none" w:sz="0" w:space="0" w:color="auto"/>
          </w:divBdr>
        </w:div>
        <w:div w:id="1112476157">
          <w:marLeft w:val="0"/>
          <w:marRight w:val="0"/>
          <w:marTop w:val="0"/>
          <w:marBottom w:val="0"/>
          <w:divBdr>
            <w:top w:val="none" w:sz="0" w:space="0" w:color="auto"/>
            <w:left w:val="none" w:sz="0" w:space="0" w:color="auto"/>
            <w:bottom w:val="none" w:sz="0" w:space="0" w:color="auto"/>
            <w:right w:val="none" w:sz="0" w:space="0" w:color="auto"/>
          </w:divBdr>
        </w:div>
        <w:div w:id="837575453">
          <w:marLeft w:val="0"/>
          <w:marRight w:val="0"/>
          <w:marTop w:val="0"/>
          <w:marBottom w:val="0"/>
          <w:divBdr>
            <w:top w:val="none" w:sz="0" w:space="0" w:color="auto"/>
            <w:left w:val="none" w:sz="0" w:space="0" w:color="auto"/>
            <w:bottom w:val="none" w:sz="0" w:space="0" w:color="auto"/>
            <w:right w:val="none" w:sz="0" w:space="0" w:color="auto"/>
          </w:divBdr>
        </w:div>
        <w:div w:id="87043218">
          <w:marLeft w:val="0"/>
          <w:marRight w:val="0"/>
          <w:marTop w:val="0"/>
          <w:marBottom w:val="0"/>
          <w:divBdr>
            <w:top w:val="none" w:sz="0" w:space="0" w:color="auto"/>
            <w:left w:val="none" w:sz="0" w:space="0" w:color="auto"/>
            <w:bottom w:val="none" w:sz="0" w:space="0" w:color="auto"/>
            <w:right w:val="none" w:sz="0" w:space="0" w:color="auto"/>
          </w:divBdr>
        </w:div>
        <w:div w:id="48266213">
          <w:marLeft w:val="0"/>
          <w:marRight w:val="0"/>
          <w:marTop w:val="0"/>
          <w:marBottom w:val="0"/>
          <w:divBdr>
            <w:top w:val="none" w:sz="0" w:space="0" w:color="auto"/>
            <w:left w:val="none" w:sz="0" w:space="0" w:color="auto"/>
            <w:bottom w:val="none" w:sz="0" w:space="0" w:color="auto"/>
            <w:right w:val="none" w:sz="0" w:space="0" w:color="auto"/>
          </w:divBdr>
        </w:div>
        <w:div w:id="649335661">
          <w:marLeft w:val="0"/>
          <w:marRight w:val="0"/>
          <w:marTop w:val="0"/>
          <w:marBottom w:val="0"/>
          <w:divBdr>
            <w:top w:val="none" w:sz="0" w:space="0" w:color="auto"/>
            <w:left w:val="none" w:sz="0" w:space="0" w:color="auto"/>
            <w:bottom w:val="none" w:sz="0" w:space="0" w:color="auto"/>
            <w:right w:val="none" w:sz="0" w:space="0" w:color="auto"/>
          </w:divBdr>
        </w:div>
        <w:div w:id="1022516760">
          <w:marLeft w:val="0"/>
          <w:marRight w:val="0"/>
          <w:marTop w:val="0"/>
          <w:marBottom w:val="0"/>
          <w:divBdr>
            <w:top w:val="none" w:sz="0" w:space="0" w:color="auto"/>
            <w:left w:val="none" w:sz="0" w:space="0" w:color="auto"/>
            <w:bottom w:val="none" w:sz="0" w:space="0" w:color="auto"/>
            <w:right w:val="none" w:sz="0" w:space="0" w:color="auto"/>
          </w:divBdr>
        </w:div>
        <w:div w:id="1725761882">
          <w:marLeft w:val="0"/>
          <w:marRight w:val="0"/>
          <w:marTop w:val="0"/>
          <w:marBottom w:val="0"/>
          <w:divBdr>
            <w:top w:val="none" w:sz="0" w:space="0" w:color="auto"/>
            <w:left w:val="none" w:sz="0" w:space="0" w:color="auto"/>
            <w:bottom w:val="none" w:sz="0" w:space="0" w:color="auto"/>
            <w:right w:val="none" w:sz="0" w:space="0" w:color="auto"/>
          </w:divBdr>
        </w:div>
        <w:div w:id="1544055999">
          <w:marLeft w:val="0"/>
          <w:marRight w:val="0"/>
          <w:marTop w:val="0"/>
          <w:marBottom w:val="0"/>
          <w:divBdr>
            <w:top w:val="none" w:sz="0" w:space="0" w:color="auto"/>
            <w:left w:val="none" w:sz="0" w:space="0" w:color="auto"/>
            <w:bottom w:val="none" w:sz="0" w:space="0" w:color="auto"/>
            <w:right w:val="none" w:sz="0" w:space="0" w:color="auto"/>
          </w:divBdr>
        </w:div>
        <w:div w:id="360785647">
          <w:marLeft w:val="0"/>
          <w:marRight w:val="0"/>
          <w:marTop w:val="0"/>
          <w:marBottom w:val="0"/>
          <w:divBdr>
            <w:top w:val="none" w:sz="0" w:space="0" w:color="auto"/>
            <w:left w:val="none" w:sz="0" w:space="0" w:color="auto"/>
            <w:bottom w:val="none" w:sz="0" w:space="0" w:color="auto"/>
            <w:right w:val="none" w:sz="0" w:space="0" w:color="auto"/>
          </w:divBdr>
        </w:div>
        <w:div w:id="1071587085">
          <w:marLeft w:val="0"/>
          <w:marRight w:val="0"/>
          <w:marTop w:val="0"/>
          <w:marBottom w:val="0"/>
          <w:divBdr>
            <w:top w:val="none" w:sz="0" w:space="0" w:color="auto"/>
            <w:left w:val="none" w:sz="0" w:space="0" w:color="auto"/>
            <w:bottom w:val="none" w:sz="0" w:space="0" w:color="auto"/>
            <w:right w:val="none" w:sz="0" w:space="0" w:color="auto"/>
          </w:divBdr>
        </w:div>
        <w:div w:id="1294675382">
          <w:marLeft w:val="0"/>
          <w:marRight w:val="0"/>
          <w:marTop w:val="0"/>
          <w:marBottom w:val="0"/>
          <w:divBdr>
            <w:top w:val="none" w:sz="0" w:space="0" w:color="auto"/>
            <w:left w:val="none" w:sz="0" w:space="0" w:color="auto"/>
            <w:bottom w:val="none" w:sz="0" w:space="0" w:color="auto"/>
            <w:right w:val="none" w:sz="0" w:space="0" w:color="auto"/>
          </w:divBdr>
        </w:div>
        <w:div w:id="834414867">
          <w:marLeft w:val="0"/>
          <w:marRight w:val="0"/>
          <w:marTop w:val="0"/>
          <w:marBottom w:val="0"/>
          <w:divBdr>
            <w:top w:val="none" w:sz="0" w:space="0" w:color="auto"/>
            <w:left w:val="none" w:sz="0" w:space="0" w:color="auto"/>
            <w:bottom w:val="none" w:sz="0" w:space="0" w:color="auto"/>
            <w:right w:val="none" w:sz="0" w:space="0" w:color="auto"/>
          </w:divBdr>
        </w:div>
        <w:div w:id="1318143626">
          <w:marLeft w:val="0"/>
          <w:marRight w:val="0"/>
          <w:marTop w:val="0"/>
          <w:marBottom w:val="0"/>
          <w:divBdr>
            <w:top w:val="none" w:sz="0" w:space="0" w:color="auto"/>
            <w:left w:val="none" w:sz="0" w:space="0" w:color="auto"/>
            <w:bottom w:val="none" w:sz="0" w:space="0" w:color="auto"/>
            <w:right w:val="none" w:sz="0" w:space="0" w:color="auto"/>
          </w:divBdr>
        </w:div>
        <w:div w:id="1056507357">
          <w:marLeft w:val="0"/>
          <w:marRight w:val="0"/>
          <w:marTop w:val="0"/>
          <w:marBottom w:val="0"/>
          <w:divBdr>
            <w:top w:val="none" w:sz="0" w:space="0" w:color="auto"/>
            <w:left w:val="none" w:sz="0" w:space="0" w:color="auto"/>
            <w:bottom w:val="none" w:sz="0" w:space="0" w:color="auto"/>
            <w:right w:val="none" w:sz="0" w:space="0" w:color="auto"/>
          </w:divBdr>
        </w:div>
        <w:div w:id="1797943205">
          <w:marLeft w:val="0"/>
          <w:marRight w:val="0"/>
          <w:marTop w:val="0"/>
          <w:marBottom w:val="0"/>
          <w:divBdr>
            <w:top w:val="none" w:sz="0" w:space="0" w:color="auto"/>
            <w:left w:val="none" w:sz="0" w:space="0" w:color="auto"/>
            <w:bottom w:val="none" w:sz="0" w:space="0" w:color="auto"/>
            <w:right w:val="none" w:sz="0" w:space="0" w:color="auto"/>
          </w:divBdr>
        </w:div>
        <w:div w:id="687491357">
          <w:marLeft w:val="0"/>
          <w:marRight w:val="0"/>
          <w:marTop w:val="0"/>
          <w:marBottom w:val="0"/>
          <w:divBdr>
            <w:top w:val="none" w:sz="0" w:space="0" w:color="auto"/>
            <w:left w:val="none" w:sz="0" w:space="0" w:color="auto"/>
            <w:bottom w:val="none" w:sz="0" w:space="0" w:color="auto"/>
            <w:right w:val="none" w:sz="0" w:space="0" w:color="auto"/>
          </w:divBdr>
        </w:div>
        <w:div w:id="2046786286">
          <w:marLeft w:val="0"/>
          <w:marRight w:val="0"/>
          <w:marTop w:val="0"/>
          <w:marBottom w:val="0"/>
          <w:divBdr>
            <w:top w:val="none" w:sz="0" w:space="0" w:color="auto"/>
            <w:left w:val="none" w:sz="0" w:space="0" w:color="auto"/>
            <w:bottom w:val="none" w:sz="0" w:space="0" w:color="auto"/>
            <w:right w:val="none" w:sz="0" w:space="0" w:color="auto"/>
          </w:divBdr>
        </w:div>
        <w:div w:id="911306819">
          <w:marLeft w:val="0"/>
          <w:marRight w:val="0"/>
          <w:marTop w:val="0"/>
          <w:marBottom w:val="0"/>
          <w:divBdr>
            <w:top w:val="none" w:sz="0" w:space="0" w:color="auto"/>
            <w:left w:val="none" w:sz="0" w:space="0" w:color="auto"/>
            <w:bottom w:val="none" w:sz="0" w:space="0" w:color="auto"/>
            <w:right w:val="none" w:sz="0" w:space="0" w:color="auto"/>
          </w:divBdr>
        </w:div>
        <w:div w:id="1930583035">
          <w:marLeft w:val="0"/>
          <w:marRight w:val="0"/>
          <w:marTop w:val="0"/>
          <w:marBottom w:val="0"/>
          <w:divBdr>
            <w:top w:val="none" w:sz="0" w:space="0" w:color="auto"/>
            <w:left w:val="none" w:sz="0" w:space="0" w:color="auto"/>
            <w:bottom w:val="none" w:sz="0" w:space="0" w:color="auto"/>
            <w:right w:val="none" w:sz="0" w:space="0" w:color="auto"/>
          </w:divBdr>
        </w:div>
        <w:div w:id="1622036127">
          <w:marLeft w:val="0"/>
          <w:marRight w:val="0"/>
          <w:marTop w:val="0"/>
          <w:marBottom w:val="0"/>
          <w:divBdr>
            <w:top w:val="none" w:sz="0" w:space="0" w:color="auto"/>
            <w:left w:val="none" w:sz="0" w:space="0" w:color="auto"/>
            <w:bottom w:val="none" w:sz="0" w:space="0" w:color="auto"/>
            <w:right w:val="none" w:sz="0" w:space="0" w:color="auto"/>
          </w:divBdr>
        </w:div>
        <w:div w:id="496843024">
          <w:marLeft w:val="0"/>
          <w:marRight w:val="0"/>
          <w:marTop w:val="0"/>
          <w:marBottom w:val="0"/>
          <w:divBdr>
            <w:top w:val="none" w:sz="0" w:space="0" w:color="auto"/>
            <w:left w:val="none" w:sz="0" w:space="0" w:color="auto"/>
            <w:bottom w:val="none" w:sz="0" w:space="0" w:color="auto"/>
            <w:right w:val="none" w:sz="0" w:space="0" w:color="auto"/>
          </w:divBdr>
        </w:div>
        <w:div w:id="1063135800">
          <w:marLeft w:val="0"/>
          <w:marRight w:val="0"/>
          <w:marTop w:val="0"/>
          <w:marBottom w:val="0"/>
          <w:divBdr>
            <w:top w:val="none" w:sz="0" w:space="0" w:color="auto"/>
            <w:left w:val="none" w:sz="0" w:space="0" w:color="auto"/>
            <w:bottom w:val="none" w:sz="0" w:space="0" w:color="auto"/>
            <w:right w:val="none" w:sz="0" w:space="0" w:color="auto"/>
          </w:divBdr>
        </w:div>
        <w:div w:id="1033116665">
          <w:marLeft w:val="0"/>
          <w:marRight w:val="0"/>
          <w:marTop w:val="0"/>
          <w:marBottom w:val="0"/>
          <w:divBdr>
            <w:top w:val="none" w:sz="0" w:space="0" w:color="auto"/>
            <w:left w:val="none" w:sz="0" w:space="0" w:color="auto"/>
            <w:bottom w:val="none" w:sz="0" w:space="0" w:color="auto"/>
            <w:right w:val="none" w:sz="0" w:space="0" w:color="auto"/>
          </w:divBdr>
        </w:div>
        <w:div w:id="588126768">
          <w:marLeft w:val="0"/>
          <w:marRight w:val="0"/>
          <w:marTop w:val="0"/>
          <w:marBottom w:val="0"/>
          <w:divBdr>
            <w:top w:val="none" w:sz="0" w:space="0" w:color="auto"/>
            <w:left w:val="none" w:sz="0" w:space="0" w:color="auto"/>
            <w:bottom w:val="none" w:sz="0" w:space="0" w:color="auto"/>
            <w:right w:val="none" w:sz="0" w:space="0" w:color="auto"/>
          </w:divBdr>
        </w:div>
        <w:div w:id="724571740">
          <w:marLeft w:val="0"/>
          <w:marRight w:val="0"/>
          <w:marTop w:val="0"/>
          <w:marBottom w:val="0"/>
          <w:divBdr>
            <w:top w:val="none" w:sz="0" w:space="0" w:color="auto"/>
            <w:left w:val="none" w:sz="0" w:space="0" w:color="auto"/>
            <w:bottom w:val="none" w:sz="0" w:space="0" w:color="auto"/>
            <w:right w:val="none" w:sz="0" w:space="0" w:color="auto"/>
          </w:divBdr>
        </w:div>
        <w:div w:id="1460224587">
          <w:marLeft w:val="0"/>
          <w:marRight w:val="0"/>
          <w:marTop w:val="0"/>
          <w:marBottom w:val="0"/>
          <w:divBdr>
            <w:top w:val="none" w:sz="0" w:space="0" w:color="auto"/>
            <w:left w:val="none" w:sz="0" w:space="0" w:color="auto"/>
            <w:bottom w:val="none" w:sz="0" w:space="0" w:color="auto"/>
            <w:right w:val="none" w:sz="0" w:space="0" w:color="auto"/>
          </w:divBdr>
        </w:div>
        <w:div w:id="1161122943">
          <w:marLeft w:val="0"/>
          <w:marRight w:val="0"/>
          <w:marTop w:val="0"/>
          <w:marBottom w:val="0"/>
          <w:divBdr>
            <w:top w:val="none" w:sz="0" w:space="0" w:color="auto"/>
            <w:left w:val="none" w:sz="0" w:space="0" w:color="auto"/>
            <w:bottom w:val="none" w:sz="0" w:space="0" w:color="auto"/>
            <w:right w:val="none" w:sz="0" w:space="0" w:color="auto"/>
          </w:divBdr>
        </w:div>
        <w:div w:id="860167876">
          <w:marLeft w:val="0"/>
          <w:marRight w:val="0"/>
          <w:marTop w:val="0"/>
          <w:marBottom w:val="0"/>
          <w:divBdr>
            <w:top w:val="none" w:sz="0" w:space="0" w:color="auto"/>
            <w:left w:val="none" w:sz="0" w:space="0" w:color="auto"/>
            <w:bottom w:val="none" w:sz="0" w:space="0" w:color="auto"/>
            <w:right w:val="none" w:sz="0" w:space="0" w:color="auto"/>
          </w:divBdr>
        </w:div>
        <w:div w:id="1319118136">
          <w:marLeft w:val="0"/>
          <w:marRight w:val="0"/>
          <w:marTop w:val="0"/>
          <w:marBottom w:val="0"/>
          <w:divBdr>
            <w:top w:val="none" w:sz="0" w:space="0" w:color="auto"/>
            <w:left w:val="none" w:sz="0" w:space="0" w:color="auto"/>
            <w:bottom w:val="none" w:sz="0" w:space="0" w:color="auto"/>
            <w:right w:val="none" w:sz="0" w:space="0" w:color="auto"/>
          </w:divBdr>
        </w:div>
        <w:div w:id="1430854967">
          <w:marLeft w:val="0"/>
          <w:marRight w:val="0"/>
          <w:marTop w:val="0"/>
          <w:marBottom w:val="0"/>
          <w:divBdr>
            <w:top w:val="none" w:sz="0" w:space="0" w:color="auto"/>
            <w:left w:val="none" w:sz="0" w:space="0" w:color="auto"/>
            <w:bottom w:val="none" w:sz="0" w:space="0" w:color="auto"/>
            <w:right w:val="none" w:sz="0" w:space="0" w:color="auto"/>
          </w:divBdr>
        </w:div>
        <w:div w:id="1295066279">
          <w:marLeft w:val="0"/>
          <w:marRight w:val="0"/>
          <w:marTop w:val="0"/>
          <w:marBottom w:val="0"/>
          <w:divBdr>
            <w:top w:val="none" w:sz="0" w:space="0" w:color="auto"/>
            <w:left w:val="none" w:sz="0" w:space="0" w:color="auto"/>
            <w:bottom w:val="none" w:sz="0" w:space="0" w:color="auto"/>
            <w:right w:val="none" w:sz="0" w:space="0" w:color="auto"/>
          </w:divBdr>
        </w:div>
        <w:div w:id="654995183">
          <w:marLeft w:val="0"/>
          <w:marRight w:val="0"/>
          <w:marTop w:val="0"/>
          <w:marBottom w:val="0"/>
          <w:divBdr>
            <w:top w:val="none" w:sz="0" w:space="0" w:color="auto"/>
            <w:left w:val="none" w:sz="0" w:space="0" w:color="auto"/>
            <w:bottom w:val="none" w:sz="0" w:space="0" w:color="auto"/>
            <w:right w:val="none" w:sz="0" w:space="0" w:color="auto"/>
          </w:divBdr>
        </w:div>
        <w:div w:id="1752965265">
          <w:marLeft w:val="0"/>
          <w:marRight w:val="0"/>
          <w:marTop w:val="0"/>
          <w:marBottom w:val="0"/>
          <w:divBdr>
            <w:top w:val="none" w:sz="0" w:space="0" w:color="auto"/>
            <w:left w:val="none" w:sz="0" w:space="0" w:color="auto"/>
            <w:bottom w:val="none" w:sz="0" w:space="0" w:color="auto"/>
            <w:right w:val="none" w:sz="0" w:space="0" w:color="auto"/>
          </w:divBdr>
        </w:div>
        <w:div w:id="1513689801">
          <w:marLeft w:val="0"/>
          <w:marRight w:val="0"/>
          <w:marTop w:val="0"/>
          <w:marBottom w:val="0"/>
          <w:divBdr>
            <w:top w:val="none" w:sz="0" w:space="0" w:color="auto"/>
            <w:left w:val="none" w:sz="0" w:space="0" w:color="auto"/>
            <w:bottom w:val="none" w:sz="0" w:space="0" w:color="auto"/>
            <w:right w:val="none" w:sz="0" w:space="0" w:color="auto"/>
          </w:divBdr>
        </w:div>
        <w:div w:id="701325315">
          <w:marLeft w:val="0"/>
          <w:marRight w:val="0"/>
          <w:marTop w:val="0"/>
          <w:marBottom w:val="0"/>
          <w:divBdr>
            <w:top w:val="none" w:sz="0" w:space="0" w:color="auto"/>
            <w:left w:val="none" w:sz="0" w:space="0" w:color="auto"/>
            <w:bottom w:val="none" w:sz="0" w:space="0" w:color="auto"/>
            <w:right w:val="none" w:sz="0" w:space="0" w:color="auto"/>
          </w:divBdr>
        </w:div>
        <w:div w:id="41289783">
          <w:marLeft w:val="0"/>
          <w:marRight w:val="0"/>
          <w:marTop w:val="0"/>
          <w:marBottom w:val="0"/>
          <w:divBdr>
            <w:top w:val="none" w:sz="0" w:space="0" w:color="auto"/>
            <w:left w:val="none" w:sz="0" w:space="0" w:color="auto"/>
            <w:bottom w:val="none" w:sz="0" w:space="0" w:color="auto"/>
            <w:right w:val="none" w:sz="0" w:space="0" w:color="auto"/>
          </w:divBdr>
        </w:div>
        <w:div w:id="1037513293">
          <w:marLeft w:val="0"/>
          <w:marRight w:val="0"/>
          <w:marTop w:val="0"/>
          <w:marBottom w:val="0"/>
          <w:divBdr>
            <w:top w:val="none" w:sz="0" w:space="0" w:color="auto"/>
            <w:left w:val="none" w:sz="0" w:space="0" w:color="auto"/>
            <w:bottom w:val="none" w:sz="0" w:space="0" w:color="auto"/>
            <w:right w:val="none" w:sz="0" w:space="0" w:color="auto"/>
          </w:divBdr>
        </w:div>
        <w:div w:id="1505824996">
          <w:marLeft w:val="0"/>
          <w:marRight w:val="0"/>
          <w:marTop w:val="0"/>
          <w:marBottom w:val="0"/>
          <w:divBdr>
            <w:top w:val="none" w:sz="0" w:space="0" w:color="auto"/>
            <w:left w:val="none" w:sz="0" w:space="0" w:color="auto"/>
            <w:bottom w:val="none" w:sz="0" w:space="0" w:color="auto"/>
            <w:right w:val="none" w:sz="0" w:space="0" w:color="auto"/>
          </w:divBdr>
        </w:div>
        <w:div w:id="1987780106">
          <w:marLeft w:val="0"/>
          <w:marRight w:val="0"/>
          <w:marTop w:val="0"/>
          <w:marBottom w:val="0"/>
          <w:divBdr>
            <w:top w:val="none" w:sz="0" w:space="0" w:color="auto"/>
            <w:left w:val="none" w:sz="0" w:space="0" w:color="auto"/>
            <w:bottom w:val="none" w:sz="0" w:space="0" w:color="auto"/>
            <w:right w:val="none" w:sz="0" w:space="0" w:color="auto"/>
          </w:divBdr>
        </w:div>
        <w:div w:id="1978752374">
          <w:marLeft w:val="0"/>
          <w:marRight w:val="0"/>
          <w:marTop w:val="0"/>
          <w:marBottom w:val="0"/>
          <w:divBdr>
            <w:top w:val="none" w:sz="0" w:space="0" w:color="auto"/>
            <w:left w:val="none" w:sz="0" w:space="0" w:color="auto"/>
            <w:bottom w:val="none" w:sz="0" w:space="0" w:color="auto"/>
            <w:right w:val="none" w:sz="0" w:space="0" w:color="auto"/>
          </w:divBdr>
        </w:div>
        <w:div w:id="308756380">
          <w:marLeft w:val="0"/>
          <w:marRight w:val="0"/>
          <w:marTop w:val="0"/>
          <w:marBottom w:val="0"/>
          <w:divBdr>
            <w:top w:val="none" w:sz="0" w:space="0" w:color="auto"/>
            <w:left w:val="none" w:sz="0" w:space="0" w:color="auto"/>
            <w:bottom w:val="none" w:sz="0" w:space="0" w:color="auto"/>
            <w:right w:val="none" w:sz="0" w:space="0" w:color="auto"/>
          </w:divBdr>
        </w:div>
        <w:div w:id="1269508176">
          <w:marLeft w:val="0"/>
          <w:marRight w:val="0"/>
          <w:marTop w:val="0"/>
          <w:marBottom w:val="0"/>
          <w:divBdr>
            <w:top w:val="none" w:sz="0" w:space="0" w:color="auto"/>
            <w:left w:val="none" w:sz="0" w:space="0" w:color="auto"/>
            <w:bottom w:val="none" w:sz="0" w:space="0" w:color="auto"/>
            <w:right w:val="none" w:sz="0" w:space="0" w:color="auto"/>
          </w:divBdr>
        </w:div>
        <w:div w:id="340595145">
          <w:marLeft w:val="0"/>
          <w:marRight w:val="0"/>
          <w:marTop w:val="0"/>
          <w:marBottom w:val="0"/>
          <w:divBdr>
            <w:top w:val="none" w:sz="0" w:space="0" w:color="auto"/>
            <w:left w:val="none" w:sz="0" w:space="0" w:color="auto"/>
            <w:bottom w:val="none" w:sz="0" w:space="0" w:color="auto"/>
            <w:right w:val="none" w:sz="0" w:space="0" w:color="auto"/>
          </w:divBdr>
        </w:div>
        <w:div w:id="1528911388">
          <w:marLeft w:val="0"/>
          <w:marRight w:val="0"/>
          <w:marTop w:val="0"/>
          <w:marBottom w:val="0"/>
          <w:divBdr>
            <w:top w:val="none" w:sz="0" w:space="0" w:color="auto"/>
            <w:left w:val="none" w:sz="0" w:space="0" w:color="auto"/>
            <w:bottom w:val="none" w:sz="0" w:space="0" w:color="auto"/>
            <w:right w:val="none" w:sz="0" w:space="0" w:color="auto"/>
          </w:divBdr>
        </w:div>
        <w:div w:id="585920645">
          <w:marLeft w:val="0"/>
          <w:marRight w:val="0"/>
          <w:marTop w:val="0"/>
          <w:marBottom w:val="0"/>
          <w:divBdr>
            <w:top w:val="none" w:sz="0" w:space="0" w:color="auto"/>
            <w:left w:val="none" w:sz="0" w:space="0" w:color="auto"/>
            <w:bottom w:val="none" w:sz="0" w:space="0" w:color="auto"/>
            <w:right w:val="none" w:sz="0" w:space="0" w:color="auto"/>
          </w:divBdr>
        </w:div>
        <w:div w:id="1388140330">
          <w:marLeft w:val="0"/>
          <w:marRight w:val="0"/>
          <w:marTop w:val="0"/>
          <w:marBottom w:val="0"/>
          <w:divBdr>
            <w:top w:val="none" w:sz="0" w:space="0" w:color="auto"/>
            <w:left w:val="none" w:sz="0" w:space="0" w:color="auto"/>
            <w:bottom w:val="none" w:sz="0" w:space="0" w:color="auto"/>
            <w:right w:val="none" w:sz="0" w:space="0" w:color="auto"/>
          </w:divBdr>
        </w:div>
        <w:div w:id="413480739">
          <w:marLeft w:val="0"/>
          <w:marRight w:val="0"/>
          <w:marTop w:val="0"/>
          <w:marBottom w:val="0"/>
          <w:divBdr>
            <w:top w:val="none" w:sz="0" w:space="0" w:color="auto"/>
            <w:left w:val="none" w:sz="0" w:space="0" w:color="auto"/>
            <w:bottom w:val="none" w:sz="0" w:space="0" w:color="auto"/>
            <w:right w:val="none" w:sz="0" w:space="0" w:color="auto"/>
          </w:divBdr>
        </w:div>
        <w:div w:id="1097597669">
          <w:marLeft w:val="0"/>
          <w:marRight w:val="0"/>
          <w:marTop w:val="0"/>
          <w:marBottom w:val="0"/>
          <w:divBdr>
            <w:top w:val="none" w:sz="0" w:space="0" w:color="auto"/>
            <w:left w:val="none" w:sz="0" w:space="0" w:color="auto"/>
            <w:bottom w:val="none" w:sz="0" w:space="0" w:color="auto"/>
            <w:right w:val="none" w:sz="0" w:space="0" w:color="auto"/>
          </w:divBdr>
        </w:div>
        <w:div w:id="78214941">
          <w:marLeft w:val="0"/>
          <w:marRight w:val="0"/>
          <w:marTop w:val="0"/>
          <w:marBottom w:val="0"/>
          <w:divBdr>
            <w:top w:val="none" w:sz="0" w:space="0" w:color="auto"/>
            <w:left w:val="none" w:sz="0" w:space="0" w:color="auto"/>
            <w:bottom w:val="none" w:sz="0" w:space="0" w:color="auto"/>
            <w:right w:val="none" w:sz="0" w:space="0" w:color="auto"/>
          </w:divBdr>
        </w:div>
        <w:div w:id="108159934">
          <w:marLeft w:val="0"/>
          <w:marRight w:val="0"/>
          <w:marTop w:val="0"/>
          <w:marBottom w:val="0"/>
          <w:divBdr>
            <w:top w:val="none" w:sz="0" w:space="0" w:color="auto"/>
            <w:left w:val="none" w:sz="0" w:space="0" w:color="auto"/>
            <w:bottom w:val="none" w:sz="0" w:space="0" w:color="auto"/>
            <w:right w:val="none" w:sz="0" w:space="0" w:color="auto"/>
          </w:divBdr>
        </w:div>
        <w:div w:id="268586416">
          <w:marLeft w:val="0"/>
          <w:marRight w:val="0"/>
          <w:marTop w:val="0"/>
          <w:marBottom w:val="0"/>
          <w:divBdr>
            <w:top w:val="none" w:sz="0" w:space="0" w:color="auto"/>
            <w:left w:val="none" w:sz="0" w:space="0" w:color="auto"/>
            <w:bottom w:val="none" w:sz="0" w:space="0" w:color="auto"/>
            <w:right w:val="none" w:sz="0" w:space="0" w:color="auto"/>
          </w:divBdr>
        </w:div>
        <w:div w:id="4407387">
          <w:marLeft w:val="0"/>
          <w:marRight w:val="0"/>
          <w:marTop w:val="0"/>
          <w:marBottom w:val="0"/>
          <w:divBdr>
            <w:top w:val="none" w:sz="0" w:space="0" w:color="auto"/>
            <w:left w:val="none" w:sz="0" w:space="0" w:color="auto"/>
            <w:bottom w:val="none" w:sz="0" w:space="0" w:color="auto"/>
            <w:right w:val="none" w:sz="0" w:space="0" w:color="auto"/>
          </w:divBdr>
        </w:div>
        <w:div w:id="1921015127">
          <w:marLeft w:val="0"/>
          <w:marRight w:val="0"/>
          <w:marTop w:val="0"/>
          <w:marBottom w:val="0"/>
          <w:divBdr>
            <w:top w:val="none" w:sz="0" w:space="0" w:color="auto"/>
            <w:left w:val="none" w:sz="0" w:space="0" w:color="auto"/>
            <w:bottom w:val="none" w:sz="0" w:space="0" w:color="auto"/>
            <w:right w:val="none" w:sz="0" w:space="0" w:color="auto"/>
          </w:divBdr>
        </w:div>
        <w:div w:id="60368503">
          <w:marLeft w:val="0"/>
          <w:marRight w:val="0"/>
          <w:marTop w:val="0"/>
          <w:marBottom w:val="0"/>
          <w:divBdr>
            <w:top w:val="none" w:sz="0" w:space="0" w:color="auto"/>
            <w:left w:val="none" w:sz="0" w:space="0" w:color="auto"/>
            <w:bottom w:val="none" w:sz="0" w:space="0" w:color="auto"/>
            <w:right w:val="none" w:sz="0" w:space="0" w:color="auto"/>
          </w:divBdr>
        </w:div>
        <w:div w:id="1134832450">
          <w:marLeft w:val="0"/>
          <w:marRight w:val="0"/>
          <w:marTop w:val="0"/>
          <w:marBottom w:val="0"/>
          <w:divBdr>
            <w:top w:val="none" w:sz="0" w:space="0" w:color="auto"/>
            <w:left w:val="none" w:sz="0" w:space="0" w:color="auto"/>
            <w:bottom w:val="none" w:sz="0" w:space="0" w:color="auto"/>
            <w:right w:val="none" w:sz="0" w:space="0" w:color="auto"/>
          </w:divBdr>
        </w:div>
        <w:div w:id="88277864">
          <w:marLeft w:val="0"/>
          <w:marRight w:val="0"/>
          <w:marTop w:val="0"/>
          <w:marBottom w:val="0"/>
          <w:divBdr>
            <w:top w:val="none" w:sz="0" w:space="0" w:color="auto"/>
            <w:left w:val="none" w:sz="0" w:space="0" w:color="auto"/>
            <w:bottom w:val="none" w:sz="0" w:space="0" w:color="auto"/>
            <w:right w:val="none" w:sz="0" w:space="0" w:color="auto"/>
          </w:divBdr>
        </w:div>
        <w:div w:id="617955983">
          <w:marLeft w:val="0"/>
          <w:marRight w:val="0"/>
          <w:marTop w:val="0"/>
          <w:marBottom w:val="0"/>
          <w:divBdr>
            <w:top w:val="none" w:sz="0" w:space="0" w:color="auto"/>
            <w:left w:val="none" w:sz="0" w:space="0" w:color="auto"/>
            <w:bottom w:val="none" w:sz="0" w:space="0" w:color="auto"/>
            <w:right w:val="none" w:sz="0" w:space="0" w:color="auto"/>
          </w:divBdr>
        </w:div>
        <w:div w:id="2021082162">
          <w:marLeft w:val="0"/>
          <w:marRight w:val="0"/>
          <w:marTop w:val="0"/>
          <w:marBottom w:val="0"/>
          <w:divBdr>
            <w:top w:val="none" w:sz="0" w:space="0" w:color="auto"/>
            <w:left w:val="none" w:sz="0" w:space="0" w:color="auto"/>
            <w:bottom w:val="none" w:sz="0" w:space="0" w:color="auto"/>
            <w:right w:val="none" w:sz="0" w:space="0" w:color="auto"/>
          </w:divBdr>
        </w:div>
        <w:div w:id="1087311725">
          <w:marLeft w:val="0"/>
          <w:marRight w:val="0"/>
          <w:marTop w:val="0"/>
          <w:marBottom w:val="0"/>
          <w:divBdr>
            <w:top w:val="none" w:sz="0" w:space="0" w:color="auto"/>
            <w:left w:val="none" w:sz="0" w:space="0" w:color="auto"/>
            <w:bottom w:val="none" w:sz="0" w:space="0" w:color="auto"/>
            <w:right w:val="none" w:sz="0" w:space="0" w:color="auto"/>
          </w:divBdr>
        </w:div>
        <w:div w:id="1511872582">
          <w:marLeft w:val="0"/>
          <w:marRight w:val="0"/>
          <w:marTop w:val="0"/>
          <w:marBottom w:val="0"/>
          <w:divBdr>
            <w:top w:val="none" w:sz="0" w:space="0" w:color="auto"/>
            <w:left w:val="none" w:sz="0" w:space="0" w:color="auto"/>
            <w:bottom w:val="none" w:sz="0" w:space="0" w:color="auto"/>
            <w:right w:val="none" w:sz="0" w:space="0" w:color="auto"/>
          </w:divBdr>
        </w:div>
        <w:div w:id="107238846">
          <w:marLeft w:val="0"/>
          <w:marRight w:val="0"/>
          <w:marTop w:val="0"/>
          <w:marBottom w:val="0"/>
          <w:divBdr>
            <w:top w:val="none" w:sz="0" w:space="0" w:color="auto"/>
            <w:left w:val="none" w:sz="0" w:space="0" w:color="auto"/>
            <w:bottom w:val="none" w:sz="0" w:space="0" w:color="auto"/>
            <w:right w:val="none" w:sz="0" w:space="0" w:color="auto"/>
          </w:divBdr>
        </w:div>
        <w:div w:id="2042977253">
          <w:marLeft w:val="0"/>
          <w:marRight w:val="0"/>
          <w:marTop w:val="0"/>
          <w:marBottom w:val="0"/>
          <w:divBdr>
            <w:top w:val="none" w:sz="0" w:space="0" w:color="auto"/>
            <w:left w:val="none" w:sz="0" w:space="0" w:color="auto"/>
            <w:bottom w:val="none" w:sz="0" w:space="0" w:color="auto"/>
            <w:right w:val="none" w:sz="0" w:space="0" w:color="auto"/>
          </w:divBdr>
        </w:div>
        <w:div w:id="277105638">
          <w:marLeft w:val="0"/>
          <w:marRight w:val="0"/>
          <w:marTop w:val="0"/>
          <w:marBottom w:val="0"/>
          <w:divBdr>
            <w:top w:val="none" w:sz="0" w:space="0" w:color="auto"/>
            <w:left w:val="none" w:sz="0" w:space="0" w:color="auto"/>
            <w:bottom w:val="none" w:sz="0" w:space="0" w:color="auto"/>
            <w:right w:val="none" w:sz="0" w:space="0" w:color="auto"/>
          </w:divBdr>
        </w:div>
        <w:div w:id="1512143842">
          <w:marLeft w:val="0"/>
          <w:marRight w:val="0"/>
          <w:marTop w:val="0"/>
          <w:marBottom w:val="0"/>
          <w:divBdr>
            <w:top w:val="none" w:sz="0" w:space="0" w:color="auto"/>
            <w:left w:val="none" w:sz="0" w:space="0" w:color="auto"/>
            <w:bottom w:val="none" w:sz="0" w:space="0" w:color="auto"/>
            <w:right w:val="none" w:sz="0" w:space="0" w:color="auto"/>
          </w:divBdr>
        </w:div>
        <w:div w:id="676032208">
          <w:marLeft w:val="0"/>
          <w:marRight w:val="0"/>
          <w:marTop w:val="0"/>
          <w:marBottom w:val="0"/>
          <w:divBdr>
            <w:top w:val="none" w:sz="0" w:space="0" w:color="auto"/>
            <w:left w:val="none" w:sz="0" w:space="0" w:color="auto"/>
            <w:bottom w:val="none" w:sz="0" w:space="0" w:color="auto"/>
            <w:right w:val="none" w:sz="0" w:space="0" w:color="auto"/>
          </w:divBdr>
        </w:div>
        <w:div w:id="1547328086">
          <w:marLeft w:val="0"/>
          <w:marRight w:val="0"/>
          <w:marTop w:val="0"/>
          <w:marBottom w:val="0"/>
          <w:divBdr>
            <w:top w:val="none" w:sz="0" w:space="0" w:color="auto"/>
            <w:left w:val="none" w:sz="0" w:space="0" w:color="auto"/>
            <w:bottom w:val="none" w:sz="0" w:space="0" w:color="auto"/>
            <w:right w:val="none" w:sz="0" w:space="0" w:color="auto"/>
          </w:divBdr>
        </w:div>
        <w:div w:id="629364742">
          <w:marLeft w:val="0"/>
          <w:marRight w:val="0"/>
          <w:marTop w:val="0"/>
          <w:marBottom w:val="0"/>
          <w:divBdr>
            <w:top w:val="none" w:sz="0" w:space="0" w:color="auto"/>
            <w:left w:val="none" w:sz="0" w:space="0" w:color="auto"/>
            <w:bottom w:val="none" w:sz="0" w:space="0" w:color="auto"/>
            <w:right w:val="none" w:sz="0" w:space="0" w:color="auto"/>
          </w:divBdr>
        </w:div>
        <w:div w:id="2084134652">
          <w:marLeft w:val="0"/>
          <w:marRight w:val="0"/>
          <w:marTop w:val="0"/>
          <w:marBottom w:val="0"/>
          <w:divBdr>
            <w:top w:val="none" w:sz="0" w:space="0" w:color="auto"/>
            <w:left w:val="none" w:sz="0" w:space="0" w:color="auto"/>
            <w:bottom w:val="none" w:sz="0" w:space="0" w:color="auto"/>
            <w:right w:val="none" w:sz="0" w:space="0" w:color="auto"/>
          </w:divBdr>
        </w:div>
        <w:div w:id="2121995607">
          <w:marLeft w:val="0"/>
          <w:marRight w:val="0"/>
          <w:marTop w:val="0"/>
          <w:marBottom w:val="0"/>
          <w:divBdr>
            <w:top w:val="none" w:sz="0" w:space="0" w:color="auto"/>
            <w:left w:val="none" w:sz="0" w:space="0" w:color="auto"/>
            <w:bottom w:val="none" w:sz="0" w:space="0" w:color="auto"/>
            <w:right w:val="none" w:sz="0" w:space="0" w:color="auto"/>
          </w:divBdr>
        </w:div>
        <w:div w:id="776023197">
          <w:marLeft w:val="0"/>
          <w:marRight w:val="0"/>
          <w:marTop w:val="0"/>
          <w:marBottom w:val="0"/>
          <w:divBdr>
            <w:top w:val="none" w:sz="0" w:space="0" w:color="auto"/>
            <w:left w:val="none" w:sz="0" w:space="0" w:color="auto"/>
            <w:bottom w:val="none" w:sz="0" w:space="0" w:color="auto"/>
            <w:right w:val="none" w:sz="0" w:space="0" w:color="auto"/>
          </w:divBdr>
        </w:div>
        <w:div w:id="635574132">
          <w:marLeft w:val="0"/>
          <w:marRight w:val="0"/>
          <w:marTop w:val="0"/>
          <w:marBottom w:val="0"/>
          <w:divBdr>
            <w:top w:val="none" w:sz="0" w:space="0" w:color="auto"/>
            <w:left w:val="none" w:sz="0" w:space="0" w:color="auto"/>
            <w:bottom w:val="none" w:sz="0" w:space="0" w:color="auto"/>
            <w:right w:val="none" w:sz="0" w:space="0" w:color="auto"/>
          </w:divBdr>
        </w:div>
        <w:div w:id="1310986865">
          <w:marLeft w:val="0"/>
          <w:marRight w:val="0"/>
          <w:marTop w:val="0"/>
          <w:marBottom w:val="0"/>
          <w:divBdr>
            <w:top w:val="none" w:sz="0" w:space="0" w:color="auto"/>
            <w:left w:val="none" w:sz="0" w:space="0" w:color="auto"/>
            <w:bottom w:val="none" w:sz="0" w:space="0" w:color="auto"/>
            <w:right w:val="none" w:sz="0" w:space="0" w:color="auto"/>
          </w:divBdr>
        </w:div>
        <w:div w:id="263391758">
          <w:marLeft w:val="0"/>
          <w:marRight w:val="0"/>
          <w:marTop w:val="0"/>
          <w:marBottom w:val="0"/>
          <w:divBdr>
            <w:top w:val="none" w:sz="0" w:space="0" w:color="auto"/>
            <w:left w:val="none" w:sz="0" w:space="0" w:color="auto"/>
            <w:bottom w:val="none" w:sz="0" w:space="0" w:color="auto"/>
            <w:right w:val="none" w:sz="0" w:space="0" w:color="auto"/>
          </w:divBdr>
        </w:div>
        <w:div w:id="1262371525">
          <w:marLeft w:val="0"/>
          <w:marRight w:val="0"/>
          <w:marTop w:val="0"/>
          <w:marBottom w:val="0"/>
          <w:divBdr>
            <w:top w:val="none" w:sz="0" w:space="0" w:color="auto"/>
            <w:left w:val="none" w:sz="0" w:space="0" w:color="auto"/>
            <w:bottom w:val="none" w:sz="0" w:space="0" w:color="auto"/>
            <w:right w:val="none" w:sz="0" w:space="0" w:color="auto"/>
          </w:divBdr>
        </w:div>
        <w:div w:id="160392074">
          <w:marLeft w:val="0"/>
          <w:marRight w:val="0"/>
          <w:marTop w:val="0"/>
          <w:marBottom w:val="0"/>
          <w:divBdr>
            <w:top w:val="none" w:sz="0" w:space="0" w:color="auto"/>
            <w:left w:val="none" w:sz="0" w:space="0" w:color="auto"/>
            <w:bottom w:val="none" w:sz="0" w:space="0" w:color="auto"/>
            <w:right w:val="none" w:sz="0" w:space="0" w:color="auto"/>
          </w:divBdr>
        </w:div>
        <w:div w:id="1279752638">
          <w:marLeft w:val="0"/>
          <w:marRight w:val="0"/>
          <w:marTop w:val="0"/>
          <w:marBottom w:val="0"/>
          <w:divBdr>
            <w:top w:val="none" w:sz="0" w:space="0" w:color="auto"/>
            <w:left w:val="none" w:sz="0" w:space="0" w:color="auto"/>
            <w:bottom w:val="none" w:sz="0" w:space="0" w:color="auto"/>
            <w:right w:val="none" w:sz="0" w:space="0" w:color="auto"/>
          </w:divBdr>
        </w:div>
        <w:div w:id="500509069">
          <w:marLeft w:val="0"/>
          <w:marRight w:val="0"/>
          <w:marTop w:val="0"/>
          <w:marBottom w:val="0"/>
          <w:divBdr>
            <w:top w:val="none" w:sz="0" w:space="0" w:color="auto"/>
            <w:left w:val="none" w:sz="0" w:space="0" w:color="auto"/>
            <w:bottom w:val="none" w:sz="0" w:space="0" w:color="auto"/>
            <w:right w:val="none" w:sz="0" w:space="0" w:color="auto"/>
          </w:divBdr>
        </w:div>
        <w:div w:id="718359024">
          <w:marLeft w:val="0"/>
          <w:marRight w:val="0"/>
          <w:marTop w:val="0"/>
          <w:marBottom w:val="0"/>
          <w:divBdr>
            <w:top w:val="none" w:sz="0" w:space="0" w:color="auto"/>
            <w:left w:val="none" w:sz="0" w:space="0" w:color="auto"/>
            <w:bottom w:val="none" w:sz="0" w:space="0" w:color="auto"/>
            <w:right w:val="none" w:sz="0" w:space="0" w:color="auto"/>
          </w:divBdr>
        </w:div>
        <w:div w:id="234510835">
          <w:marLeft w:val="0"/>
          <w:marRight w:val="0"/>
          <w:marTop w:val="0"/>
          <w:marBottom w:val="0"/>
          <w:divBdr>
            <w:top w:val="none" w:sz="0" w:space="0" w:color="auto"/>
            <w:left w:val="none" w:sz="0" w:space="0" w:color="auto"/>
            <w:bottom w:val="none" w:sz="0" w:space="0" w:color="auto"/>
            <w:right w:val="none" w:sz="0" w:space="0" w:color="auto"/>
          </w:divBdr>
        </w:div>
        <w:div w:id="1726029170">
          <w:marLeft w:val="0"/>
          <w:marRight w:val="0"/>
          <w:marTop w:val="0"/>
          <w:marBottom w:val="0"/>
          <w:divBdr>
            <w:top w:val="none" w:sz="0" w:space="0" w:color="auto"/>
            <w:left w:val="none" w:sz="0" w:space="0" w:color="auto"/>
            <w:bottom w:val="none" w:sz="0" w:space="0" w:color="auto"/>
            <w:right w:val="none" w:sz="0" w:space="0" w:color="auto"/>
          </w:divBdr>
        </w:div>
        <w:div w:id="488516825">
          <w:marLeft w:val="0"/>
          <w:marRight w:val="0"/>
          <w:marTop w:val="0"/>
          <w:marBottom w:val="0"/>
          <w:divBdr>
            <w:top w:val="none" w:sz="0" w:space="0" w:color="auto"/>
            <w:left w:val="none" w:sz="0" w:space="0" w:color="auto"/>
            <w:bottom w:val="none" w:sz="0" w:space="0" w:color="auto"/>
            <w:right w:val="none" w:sz="0" w:space="0" w:color="auto"/>
          </w:divBdr>
        </w:div>
        <w:div w:id="123887304">
          <w:marLeft w:val="0"/>
          <w:marRight w:val="0"/>
          <w:marTop w:val="0"/>
          <w:marBottom w:val="0"/>
          <w:divBdr>
            <w:top w:val="none" w:sz="0" w:space="0" w:color="auto"/>
            <w:left w:val="none" w:sz="0" w:space="0" w:color="auto"/>
            <w:bottom w:val="none" w:sz="0" w:space="0" w:color="auto"/>
            <w:right w:val="none" w:sz="0" w:space="0" w:color="auto"/>
          </w:divBdr>
        </w:div>
        <w:div w:id="1435050968">
          <w:marLeft w:val="0"/>
          <w:marRight w:val="0"/>
          <w:marTop w:val="0"/>
          <w:marBottom w:val="0"/>
          <w:divBdr>
            <w:top w:val="none" w:sz="0" w:space="0" w:color="auto"/>
            <w:left w:val="none" w:sz="0" w:space="0" w:color="auto"/>
            <w:bottom w:val="none" w:sz="0" w:space="0" w:color="auto"/>
            <w:right w:val="none" w:sz="0" w:space="0" w:color="auto"/>
          </w:divBdr>
        </w:div>
        <w:div w:id="448163916">
          <w:marLeft w:val="0"/>
          <w:marRight w:val="0"/>
          <w:marTop w:val="0"/>
          <w:marBottom w:val="0"/>
          <w:divBdr>
            <w:top w:val="none" w:sz="0" w:space="0" w:color="auto"/>
            <w:left w:val="none" w:sz="0" w:space="0" w:color="auto"/>
            <w:bottom w:val="none" w:sz="0" w:space="0" w:color="auto"/>
            <w:right w:val="none" w:sz="0" w:space="0" w:color="auto"/>
          </w:divBdr>
        </w:div>
        <w:div w:id="1126578607">
          <w:marLeft w:val="0"/>
          <w:marRight w:val="0"/>
          <w:marTop w:val="0"/>
          <w:marBottom w:val="0"/>
          <w:divBdr>
            <w:top w:val="none" w:sz="0" w:space="0" w:color="auto"/>
            <w:left w:val="none" w:sz="0" w:space="0" w:color="auto"/>
            <w:bottom w:val="none" w:sz="0" w:space="0" w:color="auto"/>
            <w:right w:val="none" w:sz="0" w:space="0" w:color="auto"/>
          </w:divBdr>
        </w:div>
        <w:div w:id="2010062949">
          <w:marLeft w:val="0"/>
          <w:marRight w:val="0"/>
          <w:marTop w:val="0"/>
          <w:marBottom w:val="0"/>
          <w:divBdr>
            <w:top w:val="none" w:sz="0" w:space="0" w:color="auto"/>
            <w:left w:val="none" w:sz="0" w:space="0" w:color="auto"/>
            <w:bottom w:val="none" w:sz="0" w:space="0" w:color="auto"/>
            <w:right w:val="none" w:sz="0" w:space="0" w:color="auto"/>
          </w:divBdr>
        </w:div>
        <w:div w:id="1342051224">
          <w:marLeft w:val="0"/>
          <w:marRight w:val="0"/>
          <w:marTop w:val="0"/>
          <w:marBottom w:val="0"/>
          <w:divBdr>
            <w:top w:val="none" w:sz="0" w:space="0" w:color="auto"/>
            <w:left w:val="none" w:sz="0" w:space="0" w:color="auto"/>
            <w:bottom w:val="none" w:sz="0" w:space="0" w:color="auto"/>
            <w:right w:val="none" w:sz="0" w:space="0" w:color="auto"/>
          </w:divBdr>
        </w:div>
        <w:div w:id="727145979">
          <w:marLeft w:val="0"/>
          <w:marRight w:val="0"/>
          <w:marTop w:val="0"/>
          <w:marBottom w:val="0"/>
          <w:divBdr>
            <w:top w:val="none" w:sz="0" w:space="0" w:color="auto"/>
            <w:left w:val="none" w:sz="0" w:space="0" w:color="auto"/>
            <w:bottom w:val="none" w:sz="0" w:space="0" w:color="auto"/>
            <w:right w:val="none" w:sz="0" w:space="0" w:color="auto"/>
          </w:divBdr>
        </w:div>
        <w:div w:id="184561604">
          <w:marLeft w:val="0"/>
          <w:marRight w:val="0"/>
          <w:marTop w:val="0"/>
          <w:marBottom w:val="0"/>
          <w:divBdr>
            <w:top w:val="none" w:sz="0" w:space="0" w:color="auto"/>
            <w:left w:val="none" w:sz="0" w:space="0" w:color="auto"/>
            <w:bottom w:val="none" w:sz="0" w:space="0" w:color="auto"/>
            <w:right w:val="none" w:sz="0" w:space="0" w:color="auto"/>
          </w:divBdr>
        </w:div>
        <w:div w:id="2143031852">
          <w:marLeft w:val="0"/>
          <w:marRight w:val="0"/>
          <w:marTop w:val="0"/>
          <w:marBottom w:val="0"/>
          <w:divBdr>
            <w:top w:val="none" w:sz="0" w:space="0" w:color="auto"/>
            <w:left w:val="none" w:sz="0" w:space="0" w:color="auto"/>
            <w:bottom w:val="none" w:sz="0" w:space="0" w:color="auto"/>
            <w:right w:val="none" w:sz="0" w:space="0" w:color="auto"/>
          </w:divBdr>
        </w:div>
        <w:div w:id="535507756">
          <w:marLeft w:val="0"/>
          <w:marRight w:val="0"/>
          <w:marTop w:val="0"/>
          <w:marBottom w:val="0"/>
          <w:divBdr>
            <w:top w:val="none" w:sz="0" w:space="0" w:color="auto"/>
            <w:left w:val="none" w:sz="0" w:space="0" w:color="auto"/>
            <w:bottom w:val="none" w:sz="0" w:space="0" w:color="auto"/>
            <w:right w:val="none" w:sz="0" w:space="0" w:color="auto"/>
          </w:divBdr>
        </w:div>
        <w:div w:id="1194687569">
          <w:marLeft w:val="0"/>
          <w:marRight w:val="0"/>
          <w:marTop w:val="0"/>
          <w:marBottom w:val="0"/>
          <w:divBdr>
            <w:top w:val="none" w:sz="0" w:space="0" w:color="auto"/>
            <w:left w:val="none" w:sz="0" w:space="0" w:color="auto"/>
            <w:bottom w:val="none" w:sz="0" w:space="0" w:color="auto"/>
            <w:right w:val="none" w:sz="0" w:space="0" w:color="auto"/>
          </w:divBdr>
        </w:div>
        <w:div w:id="1340505286">
          <w:marLeft w:val="0"/>
          <w:marRight w:val="0"/>
          <w:marTop w:val="0"/>
          <w:marBottom w:val="0"/>
          <w:divBdr>
            <w:top w:val="none" w:sz="0" w:space="0" w:color="auto"/>
            <w:left w:val="none" w:sz="0" w:space="0" w:color="auto"/>
            <w:bottom w:val="none" w:sz="0" w:space="0" w:color="auto"/>
            <w:right w:val="none" w:sz="0" w:space="0" w:color="auto"/>
          </w:divBdr>
        </w:div>
        <w:div w:id="1681466408">
          <w:marLeft w:val="0"/>
          <w:marRight w:val="0"/>
          <w:marTop w:val="0"/>
          <w:marBottom w:val="0"/>
          <w:divBdr>
            <w:top w:val="none" w:sz="0" w:space="0" w:color="auto"/>
            <w:left w:val="none" w:sz="0" w:space="0" w:color="auto"/>
            <w:bottom w:val="none" w:sz="0" w:space="0" w:color="auto"/>
            <w:right w:val="none" w:sz="0" w:space="0" w:color="auto"/>
          </w:divBdr>
        </w:div>
        <w:div w:id="306250950">
          <w:marLeft w:val="0"/>
          <w:marRight w:val="0"/>
          <w:marTop w:val="0"/>
          <w:marBottom w:val="0"/>
          <w:divBdr>
            <w:top w:val="none" w:sz="0" w:space="0" w:color="auto"/>
            <w:left w:val="none" w:sz="0" w:space="0" w:color="auto"/>
            <w:bottom w:val="none" w:sz="0" w:space="0" w:color="auto"/>
            <w:right w:val="none" w:sz="0" w:space="0" w:color="auto"/>
          </w:divBdr>
        </w:div>
        <w:div w:id="839203227">
          <w:marLeft w:val="0"/>
          <w:marRight w:val="0"/>
          <w:marTop w:val="0"/>
          <w:marBottom w:val="0"/>
          <w:divBdr>
            <w:top w:val="none" w:sz="0" w:space="0" w:color="auto"/>
            <w:left w:val="none" w:sz="0" w:space="0" w:color="auto"/>
            <w:bottom w:val="none" w:sz="0" w:space="0" w:color="auto"/>
            <w:right w:val="none" w:sz="0" w:space="0" w:color="auto"/>
          </w:divBdr>
        </w:div>
        <w:div w:id="204948248">
          <w:marLeft w:val="0"/>
          <w:marRight w:val="0"/>
          <w:marTop w:val="0"/>
          <w:marBottom w:val="0"/>
          <w:divBdr>
            <w:top w:val="none" w:sz="0" w:space="0" w:color="auto"/>
            <w:left w:val="none" w:sz="0" w:space="0" w:color="auto"/>
            <w:bottom w:val="none" w:sz="0" w:space="0" w:color="auto"/>
            <w:right w:val="none" w:sz="0" w:space="0" w:color="auto"/>
          </w:divBdr>
        </w:div>
        <w:div w:id="346297007">
          <w:marLeft w:val="0"/>
          <w:marRight w:val="0"/>
          <w:marTop w:val="0"/>
          <w:marBottom w:val="0"/>
          <w:divBdr>
            <w:top w:val="none" w:sz="0" w:space="0" w:color="auto"/>
            <w:left w:val="none" w:sz="0" w:space="0" w:color="auto"/>
            <w:bottom w:val="none" w:sz="0" w:space="0" w:color="auto"/>
            <w:right w:val="none" w:sz="0" w:space="0" w:color="auto"/>
          </w:divBdr>
        </w:div>
        <w:div w:id="1237129834">
          <w:marLeft w:val="0"/>
          <w:marRight w:val="0"/>
          <w:marTop w:val="0"/>
          <w:marBottom w:val="0"/>
          <w:divBdr>
            <w:top w:val="none" w:sz="0" w:space="0" w:color="auto"/>
            <w:left w:val="none" w:sz="0" w:space="0" w:color="auto"/>
            <w:bottom w:val="none" w:sz="0" w:space="0" w:color="auto"/>
            <w:right w:val="none" w:sz="0" w:space="0" w:color="auto"/>
          </w:divBdr>
        </w:div>
        <w:div w:id="1452362789">
          <w:marLeft w:val="0"/>
          <w:marRight w:val="0"/>
          <w:marTop w:val="0"/>
          <w:marBottom w:val="0"/>
          <w:divBdr>
            <w:top w:val="none" w:sz="0" w:space="0" w:color="auto"/>
            <w:left w:val="none" w:sz="0" w:space="0" w:color="auto"/>
            <w:bottom w:val="none" w:sz="0" w:space="0" w:color="auto"/>
            <w:right w:val="none" w:sz="0" w:space="0" w:color="auto"/>
          </w:divBdr>
        </w:div>
        <w:div w:id="1352101763">
          <w:marLeft w:val="0"/>
          <w:marRight w:val="0"/>
          <w:marTop w:val="0"/>
          <w:marBottom w:val="0"/>
          <w:divBdr>
            <w:top w:val="none" w:sz="0" w:space="0" w:color="auto"/>
            <w:left w:val="none" w:sz="0" w:space="0" w:color="auto"/>
            <w:bottom w:val="none" w:sz="0" w:space="0" w:color="auto"/>
            <w:right w:val="none" w:sz="0" w:space="0" w:color="auto"/>
          </w:divBdr>
        </w:div>
        <w:div w:id="274557319">
          <w:marLeft w:val="0"/>
          <w:marRight w:val="0"/>
          <w:marTop w:val="0"/>
          <w:marBottom w:val="0"/>
          <w:divBdr>
            <w:top w:val="none" w:sz="0" w:space="0" w:color="auto"/>
            <w:left w:val="none" w:sz="0" w:space="0" w:color="auto"/>
            <w:bottom w:val="none" w:sz="0" w:space="0" w:color="auto"/>
            <w:right w:val="none" w:sz="0" w:space="0" w:color="auto"/>
          </w:divBdr>
        </w:div>
        <w:div w:id="250891090">
          <w:marLeft w:val="0"/>
          <w:marRight w:val="0"/>
          <w:marTop w:val="0"/>
          <w:marBottom w:val="0"/>
          <w:divBdr>
            <w:top w:val="none" w:sz="0" w:space="0" w:color="auto"/>
            <w:left w:val="none" w:sz="0" w:space="0" w:color="auto"/>
            <w:bottom w:val="none" w:sz="0" w:space="0" w:color="auto"/>
            <w:right w:val="none" w:sz="0" w:space="0" w:color="auto"/>
          </w:divBdr>
        </w:div>
        <w:div w:id="501167988">
          <w:marLeft w:val="0"/>
          <w:marRight w:val="0"/>
          <w:marTop w:val="0"/>
          <w:marBottom w:val="0"/>
          <w:divBdr>
            <w:top w:val="none" w:sz="0" w:space="0" w:color="auto"/>
            <w:left w:val="none" w:sz="0" w:space="0" w:color="auto"/>
            <w:bottom w:val="none" w:sz="0" w:space="0" w:color="auto"/>
            <w:right w:val="none" w:sz="0" w:space="0" w:color="auto"/>
          </w:divBdr>
        </w:div>
        <w:div w:id="1689212573">
          <w:marLeft w:val="0"/>
          <w:marRight w:val="0"/>
          <w:marTop w:val="0"/>
          <w:marBottom w:val="0"/>
          <w:divBdr>
            <w:top w:val="none" w:sz="0" w:space="0" w:color="auto"/>
            <w:left w:val="none" w:sz="0" w:space="0" w:color="auto"/>
            <w:bottom w:val="none" w:sz="0" w:space="0" w:color="auto"/>
            <w:right w:val="none" w:sz="0" w:space="0" w:color="auto"/>
          </w:divBdr>
        </w:div>
        <w:div w:id="1798255603">
          <w:marLeft w:val="0"/>
          <w:marRight w:val="0"/>
          <w:marTop w:val="0"/>
          <w:marBottom w:val="0"/>
          <w:divBdr>
            <w:top w:val="none" w:sz="0" w:space="0" w:color="auto"/>
            <w:left w:val="none" w:sz="0" w:space="0" w:color="auto"/>
            <w:bottom w:val="none" w:sz="0" w:space="0" w:color="auto"/>
            <w:right w:val="none" w:sz="0" w:space="0" w:color="auto"/>
          </w:divBdr>
        </w:div>
        <w:div w:id="96485701">
          <w:marLeft w:val="0"/>
          <w:marRight w:val="0"/>
          <w:marTop w:val="0"/>
          <w:marBottom w:val="0"/>
          <w:divBdr>
            <w:top w:val="none" w:sz="0" w:space="0" w:color="auto"/>
            <w:left w:val="none" w:sz="0" w:space="0" w:color="auto"/>
            <w:bottom w:val="none" w:sz="0" w:space="0" w:color="auto"/>
            <w:right w:val="none" w:sz="0" w:space="0" w:color="auto"/>
          </w:divBdr>
        </w:div>
        <w:div w:id="249124069">
          <w:marLeft w:val="0"/>
          <w:marRight w:val="0"/>
          <w:marTop w:val="0"/>
          <w:marBottom w:val="0"/>
          <w:divBdr>
            <w:top w:val="none" w:sz="0" w:space="0" w:color="auto"/>
            <w:left w:val="none" w:sz="0" w:space="0" w:color="auto"/>
            <w:bottom w:val="none" w:sz="0" w:space="0" w:color="auto"/>
            <w:right w:val="none" w:sz="0" w:space="0" w:color="auto"/>
          </w:divBdr>
        </w:div>
        <w:div w:id="96801264">
          <w:marLeft w:val="0"/>
          <w:marRight w:val="0"/>
          <w:marTop w:val="0"/>
          <w:marBottom w:val="0"/>
          <w:divBdr>
            <w:top w:val="none" w:sz="0" w:space="0" w:color="auto"/>
            <w:left w:val="none" w:sz="0" w:space="0" w:color="auto"/>
            <w:bottom w:val="none" w:sz="0" w:space="0" w:color="auto"/>
            <w:right w:val="none" w:sz="0" w:space="0" w:color="auto"/>
          </w:divBdr>
        </w:div>
        <w:div w:id="670258027">
          <w:marLeft w:val="0"/>
          <w:marRight w:val="0"/>
          <w:marTop w:val="0"/>
          <w:marBottom w:val="0"/>
          <w:divBdr>
            <w:top w:val="none" w:sz="0" w:space="0" w:color="auto"/>
            <w:left w:val="none" w:sz="0" w:space="0" w:color="auto"/>
            <w:bottom w:val="none" w:sz="0" w:space="0" w:color="auto"/>
            <w:right w:val="none" w:sz="0" w:space="0" w:color="auto"/>
          </w:divBdr>
        </w:div>
        <w:div w:id="1244802124">
          <w:marLeft w:val="0"/>
          <w:marRight w:val="0"/>
          <w:marTop w:val="0"/>
          <w:marBottom w:val="0"/>
          <w:divBdr>
            <w:top w:val="none" w:sz="0" w:space="0" w:color="auto"/>
            <w:left w:val="none" w:sz="0" w:space="0" w:color="auto"/>
            <w:bottom w:val="none" w:sz="0" w:space="0" w:color="auto"/>
            <w:right w:val="none" w:sz="0" w:space="0" w:color="auto"/>
          </w:divBdr>
        </w:div>
        <w:div w:id="112947965">
          <w:marLeft w:val="0"/>
          <w:marRight w:val="0"/>
          <w:marTop w:val="0"/>
          <w:marBottom w:val="0"/>
          <w:divBdr>
            <w:top w:val="none" w:sz="0" w:space="0" w:color="auto"/>
            <w:left w:val="none" w:sz="0" w:space="0" w:color="auto"/>
            <w:bottom w:val="none" w:sz="0" w:space="0" w:color="auto"/>
            <w:right w:val="none" w:sz="0" w:space="0" w:color="auto"/>
          </w:divBdr>
        </w:div>
        <w:div w:id="2049793931">
          <w:marLeft w:val="0"/>
          <w:marRight w:val="0"/>
          <w:marTop w:val="0"/>
          <w:marBottom w:val="0"/>
          <w:divBdr>
            <w:top w:val="none" w:sz="0" w:space="0" w:color="auto"/>
            <w:left w:val="none" w:sz="0" w:space="0" w:color="auto"/>
            <w:bottom w:val="none" w:sz="0" w:space="0" w:color="auto"/>
            <w:right w:val="none" w:sz="0" w:space="0" w:color="auto"/>
          </w:divBdr>
        </w:div>
        <w:div w:id="2120755065">
          <w:marLeft w:val="0"/>
          <w:marRight w:val="0"/>
          <w:marTop w:val="0"/>
          <w:marBottom w:val="0"/>
          <w:divBdr>
            <w:top w:val="none" w:sz="0" w:space="0" w:color="auto"/>
            <w:left w:val="none" w:sz="0" w:space="0" w:color="auto"/>
            <w:bottom w:val="none" w:sz="0" w:space="0" w:color="auto"/>
            <w:right w:val="none" w:sz="0" w:space="0" w:color="auto"/>
          </w:divBdr>
        </w:div>
        <w:div w:id="1939679060">
          <w:marLeft w:val="0"/>
          <w:marRight w:val="0"/>
          <w:marTop w:val="0"/>
          <w:marBottom w:val="0"/>
          <w:divBdr>
            <w:top w:val="none" w:sz="0" w:space="0" w:color="auto"/>
            <w:left w:val="none" w:sz="0" w:space="0" w:color="auto"/>
            <w:bottom w:val="none" w:sz="0" w:space="0" w:color="auto"/>
            <w:right w:val="none" w:sz="0" w:space="0" w:color="auto"/>
          </w:divBdr>
        </w:div>
        <w:div w:id="1154295333">
          <w:marLeft w:val="0"/>
          <w:marRight w:val="0"/>
          <w:marTop w:val="0"/>
          <w:marBottom w:val="0"/>
          <w:divBdr>
            <w:top w:val="none" w:sz="0" w:space="0" w:color="auto"/>
            <w:left w:val="none" w:sz="0" w:space="0" w:color="auto"/>
            <w:bottom w:val="none" w:sz="0" w:space="0" w:color="auto"/>
            <w:right w:val="none" w:sz="0" w:space="0" w:color="auto"/>
          </w:divBdr>
        </w:div>
        <w:div w:id="2077051081">
          <w:marLeft w:val="0"/>
          <w:marRight w:val="0"/>
          <w:marTop w:val="0"/>
          <w:marBottom w:val="0"/>
          <w:divBdr>
            <w:top w:val="none" w:sz="0" w:space="0" w:color="auto"/>
            <w:left w:val="none" w:sz="0" w:space="0" w:color="auto"/>
            <w:bottom w:val="none" w:sz="0" w:space="0" w:color="auto"/>
            <w:right w:val="none" w:sz="0" w:space="0" w:color="auto"/>
          </w:divBdr>
        </w:div>
        <w:div w:id="1558122139">
          <w:marLeft w:val="0"/>
          <w:marRight w:val="0"/>
          <w:marTop w:val="0"/>
          <w:marBottom w:val="0"/>
          <w:divBdr>
            <w:top w:val="none" w:sz="0" w:space="0" w:color="auto"/>
            <w:left w:val="none" w:sz="0" w:space="0" w:color="auto"/>
            <w:bottom w:val="none" w:sz="0" w:space="0" w:color="auto"/>
            <w:right w:val="none" w:sz="0" w:space="0" w:color="auto"/>
          </w:divBdr>
        </w:div>
        <w:div w:id="1240291745">
          <w:marLeft w:val="0"/>
          <w:marRight w:val="0"/>
          <w:marTop w:val="0"/>
          <w:marBottom w:val="0"/>
          <w:divBdr>
            <w:top w:val="none" w:sz="0" w:space="0" w:color="auto"/>
            <w:left w:val="none" w:sz="0" w:space="0" w:color="auto"/>
            <w:bottom w:val="none" w:sz="0" w:space="0" w:color="auto"/>
            <w:right w:val="none" w:sz="0" w:space="0" w:color="auto"/>
          </w:divBdr>
        </w:div>
        <w:div w:id="438793885">
          <w:marLeft w:val="0"/>
          <w:marRight w:val="0"/>
          <w:marTop w:val="0"/>
          <w:marBottom w:val="0"/>
          <w:divBdr>
            <w:top w:val="none" w:sz="0" w:space="0" w:color="auto"/>
            <w:left w:val="none" w:sz="0" w:space="0" w:color="auto"/>
            <w:bottom w:val="none" w:sz="0" w:space="0" w:color="auto"/>
            <w:right w:val="none" w:sz="0" w:space="0" w:color="auto"/>
          </w:divBdr>
        </w:div>
        <w:div w:id="101724967">
          <w:marLeft w:val="0"/>
          <w:marRight w:val="0"/>
          <w:marTop w:val="0"/>
          <w:marBottom w:val="0"/>
          <w:divBdr>
            <w:top w:val="none" w:sz="0" w:space="0" w:color="auto"/>
            <w:left w:val="none" w:sz="0" w:space="0" w:color="auto"/>
            <w:bottom w:val="none" w:sz="0" w:space="0" w:color="auto"/>
            <w:right w:val="none" w:sz="0" w:space="0" w:color="auto"/>
          </w:divBdr>
        </w:div>
        <w:div w:id="158666812">
          <w:marLeft w:val="0"/>
          <w:marRight w:val="0"/>
          <w:marTop w:val="0"/>
          <w:marBottom w:val="0"/>
          <w:divBdr>
            <w:top w:val="none" w:sz="0" w:space="0" w:color="auto"/>
            <w:left w:val="none" w:sz="0" w:space="0" w:color="auto"/>
            <w:bottom w:val="none" w:sz="0" w:space="0" w:color="auto"/>
            <w:right w:val="none" w:sz="0" w:space="0" w:color="auto"/>
          </w:divBdr>
        </w:div>
        <w:div w:id="1498308542">
          <w:marLeft w:val="0"/>
          <w:marRight w:val="0"/>
          <w:marTop w:val="0"/>
          <w:marBottom w:val="0"/>
          <w:divBdr>
            <w:top w:val="none" w:sz="0" w:space="0" w:color="auto"/>
            <w:left w:val="none" w:sz="0" w:space="0" w:color="auto"/>
            <w:bottom w:val="none" w:sz="0" w:space="0" w:color="auto"/>
            <w:right w:val="none" w:sz="0" w:space="0" w:color="auto"/>
          </w:divBdr>
        </w:div>
        <w:div w:id="466162177">
          <w:marLeft w:val="0"/>
          <w:marRight w:val="0"/>
          <w:marTop w:val="0"/>
          <w:marBottom w:val="0"/>
          <w:divBdr>
            <w:top w:val="none" w:sz="0" w:space="0" w:color="auto"/>
            <w:left w:val="none" w:sz="0" w:space="0" w:color="auto"/>
            <w:bottom w:val="none" w:sz="0" w:space="0" w:color="auto"/>
            <w:right w:val="none" w:sz="0" w:space="0" w:color="auto"/>
          </w:divBdr>
        </w:div>
        <w:div w:id="1288119348">
          <w:marLeft w:val="0"/>
          <w:marRight w:val="0"/>
          <w:marTop w:val="0"/>
          <w:marBottom w:val="0"/>
          <w:divBdr>
            <w:top w:val="none" w:sz="0" w:space="0" w:color="auto"/>
            <w:left w:val="none" w:sz="0" w:space="0" w:color="auto"/>
            <w:bottom w:val="none" w:sz="0" w:space="0" w:color="auto"/>
            <w:right w:val="none" w:sz="0" w:space="0" w:color="auto"/>
          </w:divBdr>
        </w:div>
        <w:div w:id="2146851492">
          <w:marLeft w:val="0"/>
          <w:marRight w:val="0"/>
          <w:marTop w:val="0"/>
          <w:marBottom w:val="0"/>
          <w:divBdr>
            <w:top w:val="none" w:sz="0" w:space="0" w:color="auto"/>
            <w:left w:val="none" w:sz="0" w:space="0" w:color="auto"/>
            <w:bottom w:val="none" w:sz="0" w:space="0" w:color="auto"/>
            <w:right w:val="none" w:sz="0" w:space="0" w:color="auto"/>
          </w:divBdr>
        </w:div>
        <w:div w:id="1546872861">
          <w:marLeft w:val="0"/>
          <w:marRight w:val="0"/>
          <w:marTop w:val="0"/>
          <w:marBottom w:val="0"/>
          <w:divBdr>
            <w:top w:val="none" w:sz="0" w:space="0" w:color="auto"/>
            <w:left w:val="none" w:sz="0" w:space="0" w:color="auto"/>
            <w:bottom w:val="none" w:sz="0" w:space="0" w:color="auto"/>
            <w:right w:val="none" w:sz="0" w:space="0" w:color="auto"/>
          </w:divBdr>
        </w:div>
        <w:div w:id="1429540189">
          <w:marLeft w:val="0"/>
          <w:marRight w:val="0"/>
          <w:marTop w:val="0"/>
          <w:marBottom w:val="0"/>
          <w:divBdr>
            <w:top w:val="none" w:sz="0" w:space="0" w:color="auto"/>
            <w:left w:val="none" w:sz="0" w:space="0" w:color="auto"/>
            <w:bottom w:val="none" w:sz="0" w:space="0" w:color="auto"/>
            <w:right w:val="none" w:sz="0" w:space="0" w:color="auto"/>
          </w:divBdr>
        </w:div>
        <w:div w:id="891770606">
          <w:marLeft w:val="0"/>
          <w:marRight w:val="0"/>
          <w:marTop w:val="0"/>
          <w:marBottom w:val="0"/>
          <w:divBdr>
            <w:top w:val="none" w:sz="0" w:space="0" w:color="auto"/>
            <w:left w:val="none" w:sz="0" w:space="0" w:color="auto"/>
            <w:bottom w:val="none" w:sz="0" w:space="0" w:color="auto"/>
            <w:right w:val="none" w:sz="0" w:space="0" w:color="auto"/>
          </w:divBdr>
        </w:div>
        <w:div w:id="102388237">
          <w:marLeft w:val="0"/>
          <w:marRight w:val="0"/>
          <w:marTop w:val="0"/>
          <w:marBottom w:val="0"/>
          <w:divBdr>
            <w:top w:val="none" w:sz="0" w:space="0" w:color="auto"/>
            <w:left w:val="none" w:sz="0" w:space="0" w:color="auto"/>
            <w:bottom w:val="none" w:sz="0" w:space="0" w:color="auto"/>
            <w:right w:val="none" w:sz="0" w:space="0" w:color="auto"/>
          </w:divBdr>
        </w:div>
        <w:div w:id="1748186911">
          <w:marLeft w:val="0"/>
          <w:marRight w:val="0"/>
          <w:marTop w:val="0"/>
          <w:marBottom w:val="0"/>
          <w:divBdr>
            <w:top w:val="none" w:sz="0" w:space="0" w:color="auto"/>
            <w:left w:val="none" w:sz="0" w:space="0" w:color="auto"/>
            <w:bottom w:val="none" w:sz="0" w:space="0" w:color="auto"/>
            <w:right w:val="none" w:sz="0" w:space="0" w:color="auto"/>
          </w:divBdr>
        </w:div>
        <w:div w:id="1100300443">
          <w:marLeft w:val="0"/>
          <w:marRight w:val="0"/>
          <w:marTop w:val="0"/>
          <w:marBottom w:val="0"/>
          <w:divBdr>
            <w:top w:val="none" w:sz="0" w:space="0" w:color="auto"/>
            <w:left w:val="none" w:sz="0" w:space="0" w:color="auto"/>
            <w:bottom w:val="none" w:sz="0" w:space="0" w:color="auto"/>
            <w:right w:val="none" w:sz="0" w:space="0" w:color="auto"/>
          </w:divBdr>
        </w:div>
        <w:div w:id="539629150">
          <w:marLeft w:val="0"/>
          <w:marRight w:val="0"/>
          <w:marTop w:val="0"/>
          <w:marBottom w:val="0"/>
          <w:divBdr>
            <w:top w:val="none" w:sz="0" w:space="0" w:color="auto"/>
            <w:left w:val="none" w:sz="0" w:space="0" w:color="auto"/>
            <w:bottom w:val="none" w:sz="0" w:space="0" w:color="auto"/>
            <w:right w:val="none" w:sz="0" w:space="0" w:color="auto"/>
          </w:divBdr>
        </w:div>
        <w:div w:id="654994818">
          <w:marLeft w:val="0"/>
          <w:marRight w:val="0"/>
          <w:marTop w:val="0"/>
          <w:marBottom w:val="0"/>
          <w:divBdr>
            <w:top w:val="none" w:sz="0" w:space="0" w:color="auto"/>
            <w:left w:val="none" w:sz="0" w:space="0" w:color="auto"/>
            <w:bottom w:val="none" w:sz="0" w:space="0" w:color="auto"/>
            <w:right w:val="none" w:sz="0" w:space="0" w:color="auto"/>
          </w:divBdr>
        </w:div>
        <w:div w:id="905995690">
          <w:marLeft w:val="0"/>
          <w:marRight w:val="0"/>
          <w:marTop w:val="0"/>
          <w:marBottom w:val="0"/>
          <w:divBdr>
            <w:top w:val="none" w:sz="0" w:space="0" w:color="auto"/>
            <w:left w:val="none" w:sz="0" w:space="0" w:color="auto"/>
            <w:bottom w:val="none" w:sz="0" w:space="0" w:color="auto"/>
            <w:right w:val="none" w:sz="0" w:space="0" w:color="auto"/>
          </w:divBdr>
        </w:div>
        <w:div w:id="1601059659">
          <w:marLeft w:val="0"/>
          <w:marRight w:val="0"/>
          <w:marTop w:val="0"/>
          <w:marBottom w:val="0"/>
          <w:divBdr>
            <w:top w:val="none" w:sz="0" w:space="0" w:color="auto"/>
            <w:left w:val="none" w:sz="0" w:space="0" w:color="auto"/>
            <w:bottom w:val="none" w:sz="0" w:space="0" w:color="auto"/>
            <w:right w:val="none" w:sz="0" w:space="0" w:color="auto"/>
          </w:divBdr>
        </w:div>
        <w:div w:id="1155758473">
          <w:marLeft w:val="0"/>
          <w:marRight w:val="0"/>
          <w:marTop w:val="0"/>
          <w:marBottom w:val="0"/>
          <w:divBdr>
            <w:top w:val="none" w:sz="0" w:space="0" w:color="auto"/>
            <w:left w:val="none" w:sz="0" w:space="0" w:color="auto"/>
            <w:bottom w:val="none" w:sz="0" w:space="0" w:color="auto"/>
            <w:right w:val="none" w:sz="0" w:space="0" w:color="auto"/>
          </w:divBdr>
        </w:div>
        <w:div w:id="538933340">
          <w:marLeft w:val="0"/>
          <w:marRight w:val="0"/>
          <w:marTop w:val="0"/>
          <w:marBottom w:val="0"/>
          <w:divBdr>
            <w:top w:val="none" w:sz="0" w:space="0" w:color="auto"/>
            <w:left w:val="none" w:sz="0" w:space="0" w:color="auto"/>
            <w:bottom w:val="none" w:sz="0" w:space="0" w:color="auto"/>
            <w:right w:val="none" w:sz="0" w:space="0" w:color="auto"/>
          </w:divBdr>
        </w:div>
        <w:div w:id="636031096">
          <w:marLeft w:val="0"/>
          <w:marRight w:val="0"/>
          <w:marTop w:val="0"/>
          <w:marBottom w:val="0"/>
          <w:divBdr>
            <w:top w:val="none" w:sz="0" w:space="0" w:color="auto"/>
            <w:left w:val="none" w:sz="0" w:space="0" w:color="auto"/>
            <w:bottom w:val="none" w:sz="0" w:space="0" w:color="auto"/>
            <w:right w:val="none" w:sz="0" w:space="0" w:color="auto"/>
          </w:divBdr>
        </w:div>
        <w:div w:id="1649433341">
          <w:marLeft w:val="0"/>
          <w:marRight w:val="0"/>
          <w:marTop w:val="0"/>
          <w:marBottom w:val="0"/>
          <w:divBdr>
            <w:top w:val="none" w:sz="0" w:space="0" w:color="auto"/>
            <w:left w:val="none" w:sz="0" w:space="0" w:color="auto"/>
            <w:bottom w:val="none" w:sz="0" w:space="0" w:color="auto"/>
            <w:right w:val="none" w:sz="0" w:space="0" w:color="auto"/>
          </w:divBdr>
        </w:div>
        <w:div w:id="1181165460">
          <w:marLeft w:val="0"/>
          <w:marRight w:val="0"/>
          <w:marTop w:val="0"/>
          <w:marBottom w:val="0"/>
          <w:divBdr>
            <w:top w:val="none" w:sz="0" w:space="0" w:color="auto"/>
            <w:left w:val="none" w:sz="0" w:space="0" w:color="auto"/>
            <w:bottom w:val="none" w:sz="0" w:space="0" w:color="auto"/>
            <w:right w:val="none" w:sz="0" w:space="0" w:color="auto"/>
          </w:divBdr>
        </w:div>
        <w:div w:id="1868326124">
          <w:marLeft w:val="0"/>
          <w:marRight w:val="0"/>
          <w:marTop w:val="0"/>
          <w:marBottom w:val="0"/>
          <w:divBdr>
            <w:top w:val="none" w:sz="0" w:space="0" w:color="auto"/>
            <w:left w:val="none" w:sz="0" w:space="0" w:color="auto"/>
            <w:bottom w:val="none" w:sz="0" w:space="0" w:color="auto"/>
            <w:right w:val="none" w:sz="0" w:space="0" w:color="auto"/>
          </w:divBdr>
        </w:div>
        <w:div w:id="1242333016">
          <w:marLeft w:val="0"/>
          <w:marRight w:val="0"/>
          <w:marTop w:val="0"/>
          <w:marBottom w:val="0"/>
          <w:divBdr>
            <w:top w:val="none" w:sz="0" w:space="0" w:color="auto"/>
            <w:left w:val="none" w:sz="0" w:space="0" w:color="auto"/>
            <w:bottom w:val="none" w:sz="0" w:space="0" w:color="auto"/>
            <w:right w:val="none" w:sz="0" w:space="0" w:color="auto"/>
          </w:divBdr>
        </w:div>
        <w:div w:id="90248869">
          <w:marLeft w:val="0"/>
          <w:marRight w:val="0"/>
          <w:marTop w:val="0"/>
          <w:marBottom w:val="0"/>
          <w:divBdr>
            <w:top w:val="none" w:sz="0" w:space="0" w:color="auto"/>
            <w:left w:val="none" w:sz="0" w:space="0" w:color="auto"/>
            <w:bottom w:val="none" w:sz="0" w:space="0" w:color="auto"/>
            <w:right w:val="none" w:sz="0" w:space="0" w:color="auto"/>
          </w:divBdr>
        </w:div>
        <w:div w:id="1334723926">
          <w:marLeft w:val="0"/>
          <w:marRight w:val="0"/>
          <w:marTop w:val="0"/>
          <w:marBottom w:val="0"/>
          <w:divBdr>
            <w:top w:val="none" w:sz="0" w:space="0" w:color="auto"/>
            <w:left w:val="none" w:sz="0" w:space="0" w:color="auto"/>
            <w:bottom w:val="none" w:sz="0" w:space="0" w:color="auto"/>
            <w:right w:val="none" w:sz="0" w:space="0" w:color="auto"/>
          </w:divBdr>
        </w:div>
        <w:div w:id="74937947">
          <w:marLeft w:val="0"/>
          <w:marRight w:val="0"/>
          <w:marTop w:val="0"/>
          <w:marBottom w:val="0"/>
          <w:divBdr>
            <w:top w:val="none" w:sz="0" w:space="0" w:color="auto"/>
            <w:left w:val="none" w:sz="0" w:space="0" w:color="auto"/>
            <w:bottom w:val="none" w:sz="0" w:space="0" w:color="auto"/>
            <w:right w:val="none" w:sz="0" w:space="0" w:color="auto"/>
          </w:divBdr>
        </w:div>
        <w:div w:id="718480089">
          <w:marLeft w:val="0"/>
          <w:marRight w:val="0"/>
          <w:marTop w:val="0"/>
          <w:marBottom w:val="0"/>
          <w:divBdr>
            <w:top w:val="none" w:sz="0" w:space="0" w:color="auto"/>
            <w:left w:val="none" w:sz="0" w:space="0" w:color="auto"/>
            <w:bottom w:val="none" w:sz="0" w:space="0" w:color="auto"/>
            <w:right w:val="none" w:sz="0" w:space="0" w:color="auto"/>
          </w:divBdr>
        </w:div>
        <w:div w:id="1981959706">
          <w:marLeft w:val="0"/>
          <w:marRight w:val="0"/>
          <w:marTop w:val="0"/>
          <w:marBottom w:val="0"/>
          <w:divBdr>
            <w:top w:val="none" w:sz="0" w:space="0" w:color="auto"/>
            <w:left w:val="none" w:sz="0" w:space="0" w:color="auto"/>
            <w:bottom w:val="none" w:sz="0" w:space="0" w:color="auto"/>
            <w:right w:val="none" w:sz="0" w:space="0" w:color="auto"/>
          </w:divBdr>
        </w:div>
        <w:div w:id="1748725061">
          <w:marLeft w:val="0"/>
          <w:marRight w:val="0"/>
          <w:marTop w:val="0"/>
          <w:marBottom w:val="0"/>
          <w:divBdr>
            <w:top w:val="none" w:sz="0" w:space="0" w:color="auto"/>
            <w:left w:val="none" w:sz="0" w:space="0" w:color="auto"/>
            <w:bottom w:val="none" w:sz="0" w:space="0" w:color="auto"/>
            <w:right w:val="none" w:sz="0" w:space="0" w:color="auto"/>
          </w:divBdr>
        </w:div>
        <w:div w:id="546379425">
          <w:marLeft w:val="0"/>
          <w:marRight w:val="0"/>
          <w:marTop w:val="0"/>
          <w:marBottom w:val="0"/>
          <w:divBdr>
            <w:top w:val="none" w:sz="0" w:space="0" w:color="auto"/>
            <w:left w:val="none" w:sz="0" w:space="0" w:color="auto"/>
            <w:bottom w:val="none" w:sz="0" w:space="0" w:color="auto"/>
            <w:right w:val="none" w:sz="0" w:space="0" w:color="auto"/>
          </w:divBdr>
        </w:div>
        <w:div w:id="767502816">
          <w:marLeft w:val="0"/>
          <w:marRight w:val="0"/>
          <w:marTop w:val="0"/>
          <w:marBottom w:val="0"/>
          <w:divBdr>
            <w:top w:val="none" w:sz="0" w:space="0" w:color="auto"/>
            <w:left w:val="none" w:sz="0" w:space="0" w:color="auto"/>
            <w:bottom w:val="none" w:sz="0" w:space="0" w:color="auto"/>
            <w:right w:val="none" w:sz="0" w:space="0" w:color="auto"/>
          </w:divBdr>
        </w:div>
        <w:div w:id="2123303979">
          <w:marLeft w:val="0"/>
          <w:marRight w:val="0"/>
          <w:marTop w:val="0"/>
          <w:marBottom w:val="0"/>
          <w:divBdr>
            <w:top w:val="none" w:sz="0" w:space="0" w:color="auto"/>
            <w:left w:val="none" w:sz="0" w:space="0" w:color="auto"/>
            <w:bottom w:val="none" w:sz="0" w:space="0" w:color="auto"/>
            <w:right w:val="none" w:sz="0" w:space="0" w:color="auto"/>
          </w:divBdr>
        </w:div>
        <w:div w:id="1301232250">
          <w:marLeft w:val="0"/>
          <w:marRight w:val="0"/>
          <w:marTop w:val="0"/>
          <w:marBottom w:val="0"/>
          <w:divBdr>
            <w:top w:val="none" w:sz="0" w:space="0" w:color="auto"/>
            <w:left w:val="none" w:sz="0" w:space="0" w:color="auto"/>
            <w:bottom w:val="none" w:sz="0" w:space="0" w:color="auto"/>
            <w:right w:val="none" w:sz="0" w:space="0" w:color="auto"/>
          </w:divBdr>
        </w:div>
        <w:div w:id="1779527297">
          <w:marLeft w:val="0"/>
          <w:marRight w:val="0"/>
          <w:marTop w:val="0"/>
          <w:marBottom w:val="0"/>
          <w:divBdr>
            <w:top w:val="none" w:sz="0" w:space="0" w:color="auto"/>
            <w:left w:val="none" w:sz="0" w:space="0" w:color="auto"/>
            <w:bottom w:val="none" w:sz="0" w:space="0" w:color="auto"/>
            <w:right w:val="none" w:sz="0" w:space="0" w:color="auto"/>
          </w:divBdr>
        </w:div>
        <w:div w:id="62027401">
          <w:marLeft w:val="0"/>
          <w:marRight w:val="0"/>
          <w:marTop w:val="0"/>
          <w:marBottom w:val="0"/>
          <w:divBdr>
            <w:top w:val="none" w:sz="0" w:space="0" w:color="auto"/>
            <w:left w:val="none" w:sz="0" w:space="0" w:color="auto"/>
            <w:bottom w:val="none" w:sz="0" w:space="0" w:color="auto"/>
            <w:right w:val="none" w:sz="0" w:space="0" w:color="auto"/>
          </w:divBdr>
        </w:div>
        <w:div w:id="369695276">
          <w:marLeft w:val="0"/>
          <w:marRight w:val="0"/>
          <w:marTop w:val="0"/>
          <w:marBottom w:val="0"/>
          <w:divBdr>
            <w:top w:val="none" w:sz="0" w:space="0" w:color="auto"/>
            <w:left w:val="none" w:sz="0" w:space="0" w:color="auto"/>
            <w:bottom w:val="none" w:sz="0" w:space="0" w:color="auto"/>
            <w:right w:val="none" w:sz="0" w:space="0" w:color="auto"/>
          </w:divBdr>
        </w:div>
        <w:div w:id="663125280">
          <w:marLeft w:val="0"/>
          <w:marRight w:val="0"/>
          <w:marTop w:val="0"/>
          <w:marBottom w:val="0"/>
          <w:divBdr>
            <w:top w:val="none" w:sz="0" w:space="0" w:color="auto"/>
            <w:left w:val="none" w:sz="0" w:space="0" w:color="auto"/>
            <w:bottom w:val="none" w:sz="0" w:space="0" w:color="auto"/>
            <w:right w:val="none" w:sz="0" w:space="0" w:color="auto"/>
          </w:divBdr>
        </w:div>
        <w:div w:id="1485589074">
          <w:marLeft w:val="0"/>
          <w:marRight w:val="0"/>
          <w:marTop w:val="0"/>
          <w:marBottom w:val="0"/>
          <w:divBdr>
            <w:top w:val="none" w:sz="0" w:space="0" w:color="auto"/>
            <w:left w:val="none" w:sz="0" w:space="0" w:color="auto"/>
            <w:bottom w:val="none" w:sz="0" w:space="0" w:color="auto"/>
            <w:right w:val="none" w:sz="0" w:space="0" w:color="auto"/>
          </w:divBdr>
        </w:div>
        <w:div w:id="1532457939">
          <w:marLeft w:val="0"/>
          <w:marRight w:val="0"/>
          <w:marTop w:val="0"/>
          <w:marBottom w:val="0"/>
          <w:divBdr>
            <w:top w:val="none" w:sz="0" w:space="0" w:color="auto"/>
            <w:left w:val="none" w:sz="0" w:space="0" w:color="auto"/>
            <w:bottom w:val="none" w:sz="0" w:space="0" w:color="auto"/>
            <w:right w:val="none" w:sz="0" w:space="0" w:color="auto"/>
          </w:divBdr>
        </w:div>
        <w:div w:id="544292265">
          <w:marLeft w:val="0"/>
          <w:marRight w:val="0"/>
          <w:marTop w:val="0"/>
          <w:marBottom w:val="0"/>
          <w:divBdr>
            <w:top w:val="none" w:sz="0" w:space="0" w:color="auto"/>
            <w:left w:val="none" w:sz="0" w:space="0" w:color="auto"/>
            <w:bottom w:val="none" w:sz="0" w:space="0" w:color="auto"/>
            <w:right w:val="none" w:sz="0" w:space="0" w:color="auto"/>
          </w:divBdr>
        </w:div>
        <w:div w:id="326369368">
          <w:marLeft w:val="0"/>
          <w:marRight w:val="0"/>
          <w:marTop w:val="0"/>
          <w:marBottom w:val="0"/>
          <w:divBdr>
            <w:top w:val="none" w:sz="0" w:space="0" w:color="auto"/>
            <w:left w:val="none" w:sz="0" w:space="0" w:color="auto"/>
            <w:bottom w:val="none" w:sz="0" w:space="0" w:color="auto"/>
            <w:right w:val="none" w:sz="0" w:space="0" w:color="auto"/>
          </w:divBdr>
        </w:div>
        <w:div w:id="1218977514">
          <w:marLeft w:val="0"/>
          <w:marRight w:val="0"/>
          <w:marTop w:val="0"/>
          <w:marBottom w:val="0"/>
          <w:divBdr>
            <w:top w:val="none" w:sz="0" w:space="0" w:color="auto"/>
            <w:left w:val="none" w:sz="0" w:space="0" w:color="auto"/>
            <w:bottom w:val="none" w:sz="0" w:space="0" w:color="auto"/>
            <w:right w:val="none" w:sz="0" w:space="0" w:color="auto"/>
          </w:divBdr>
        </w:div>
        <w:div w:id="372466916">
          <w:marLeft w:val="0"/>
          <w:marRight w:val="0"/>
          <w:marTop w:val="0"/>
          <w:marBottom w:val="0"/>
          <w:divBdr>
            <w:top w:val="none" w:sz="0" w:space="0" w:color="auto"/>
            <w:left w:val="none" w:sz="0" w:space="0" w:color="auto"/>
            <w:bottom w:val="none" w:sz="0" w:space="0" w:color="auto"/>
            <w:right w:val="none" w:sz="0" w:space="0" w:color="auto"/>
          </w:divBdr>
        </w:div>
        <w:div w:id="700667122">
          <w:marLeft w:val="0"/>
          <w:marRight w:val="0"/>
          <w:marTop w:val="0"/>
          <w:marBottom w:val="0"/>
          <w:divBdr>
            <w:top w:val="none" w:sz="0" w:space="0" w:color="auto"/>
            <w:left w:val="none" w:sz="0" w:space="0" w:color="auto"/>
            <w:bottom w:val="none" w:sz="0" w:space="0" w:color="auto"/>
            <w:right w:val="none" w:sz="0" w:space="0" w:color="auto"/>
          </w:divBdr>
        </w:div>
        <w:div w:id="1871868781">
          <w:marLeft w:val="0"/>
          <w:marRight w:val="0"/>
          <w:marTop w:val="0"/>
          <w:marBottom w:val="0"/>
          <w:divBdr>
            <w:top w:val="none" w:sz="0" w:space="0" w:color="auto"/>
            <w:left w:val="none" w:sz="0" w:space="0" w:color="auto"/>
            <w:bottom w:val="none" w:sz="0" w:space="0" w:color="auto"/>
            <w:right w:val="none" w:sz="0" w:space="0" w:color="auto"/>
          </w:divBdr>
        </w:div>
        <w:div w:id="1458832978">
          <w:marLeft w:val="0"/>
          <w:marRight w:val="0"/>
          <w:marTop w:val="0"/>
          <w:marBottom w:val="0"/>
          <w:divBdr>
            <w:top w:val="none" w:sz="0" w:space="0" w:color="auto"/>
            <w:left w:val="none" w:sz="0" w:space="0" w:color="auto"/>
            <w:bottom w:val="none" w:sz="0" w:space="0" w:color="auto"/>
            <w:right w:val="none" w:sz="0" w:space="0" w:color="auto"/>
          </w:divBdr>
        </w:div>
        <w:div w:id="2108693844">
          <w:marLeft w:val="0"/>
          <w:marRight w:val="0"/>
          <w:marTop w:val="0"/>
          <w:marBottom w:val="0"/>
          <w:divBdr>
            <w:top w:val="none" w:sz="0" w:space="0" w:color="auto"/>
            <w:left w:val="none" w:sz="0" w:space="0" w:color="auto"/>
            <w:bottom w:val="none" w:sz="0" w:space="0" w:color="auto"/>
            <w:right w:val="none" w:sz="0" w:space="0" w:color="auto"/>
          </w:divBdr>
        </w:div>
        <w:div w:id="1603608280">
          <w:marLeft w:val="0"/>
          <w:marRight w:val="0"/>
          <w:marTop w:val="0"/>
          <w:marBottom w:val="0"/>
          <w:divBdr>
            <w:top w:val="none" w:sz="0" w:space="0" w:color="auto"/>
            <w:left w:val="none" w:sz="0" w:space="0" w:color="auto"/>
            <w:bottom w:val="none" w:sz="0" w:space="0" w:color="auto"/>
            <w:right w:val="none" w:sz="0" w:space="0" w:color="auto"/>
          </w:divBdr>
        </w:div>
        <w:div w:id="1262879329">
          <w:marLeft w:val="0"/>
          <w:marRight w:val="0"/>
          <w:marTop w:val="0"/>
          <w:marBottom w:val="0"/>
          <w:divBdr>
            <w:top w:val="none" w:sz="0" w:space="0" w:color="auto"/>
            <w:left w:val="none" w:sz="0" w:space="0" w:color="auto"/>
            <w:bottom w:val="none" w:sz="0" w:space="0" w:color="auto"/>
            <w:right w:val="none" w:sz="0" w:space="0" w:color="auto"/>
          </w:divBdr>
        </w:div>
        <w:div w:id="1109860836">
          <w:marLeft w:val="0"/>
          <w:marRight w:val="0"/>
          <w:marTop w:val="0"/>
          <w:marBottom w:val="0"/>
          <w:divBdr>
            <w:top w:val="none" w:sz="0" w:space="0" w:color="auto"/>
            <w:left w:val="none" w:sz="0" w:space="0" w:color="auto"/>
            <w:bottom w:val="none" w:sz="0" w:space="0" w:color="auto"/>
            <w:right w:val="none" w:sz="0" w:space="0" w:color="auto"/>
          </w:divBdr>
        </w:div>
        <w:div w:id="1178234405">
          <w:marLeft w:val="0"/>
          <w:marRight w:val="0"/>
          <w:marTop w:val="0"/>
          <w:marBottom w:val="0"/>
          <w:divBdr>
            <w:top w:val="none" w:sz="0" w:space="0" w:color="auto"/>
            <w:left w:val="none" w:sz="0" w:space="0" w:color="auto"/>
            <w:bottom w:val="none" w:sz="0" w:space="0" w:color="auto"/>
            <w:right w:val="none" w:sz="0" w:space="0" w:color="auto"/>
          </w:divBdr>
        </w:div>
        <w:div w:id="458229789">
          <w:marLeft w:val="0"/>
          <w:marRight w:val="0"/>
          <w:marTop w:val="0"/>
          <w:marBottom w:val="0"/>
          <w:divBdr>
            <w:top w:val="none" w:sz="0" w:space="0" w:color="auto"/>
            <w:left w:val="none" w:sz="0" w:space="0" w:color="auto"/>
            <w:bottom w:val="none" w:sz="0" w:space="0" w:color="auto"/>
            <w:right w:val="none" w:sz="0" w:space="0" w:color="auto"/>
          </w:divBdr>
        </w:div>
        <w:div w:id="1539314230">
          <w:marLeft w:val="0"/>
          <w:marRight w:val="0"/>
          <w:marTop w:val="0"/>
          <w:marBottom w:val="0"/>
          <w:divBdr>
            <w:top w:val="none" w:sz="0" w:space="0" w:color="auto"/>
            <w:left w:val="none" w:sz="0" w:space="0" w:color="auto"/>
            <w:bottom w:val="none" w:sz="0" w:space="0" w:color="auto"/>
            <w:right w:val="none" w:sz="0" w:space="0" w:color="auto"/>
          </w:divBdr>
        </w:div>
        <w:div w:id="823398704">
          <w:marLeft w:val="0"/>
          <w:marRight w:val="0"/>
          <w:marTop w:val="0"/>
          <w:marBottom w:val="0"/>
          <w:divBdr>
            <w:top w:val="none" w:sz="0" w:space="0" w:color="auto"/>
            <w:left w:val="none" w:sz="0" w:space="0" w:color="auto"/>
            <w:bottom w:val="none" w:sz="0" w:space="0" w:color="auto"/>
            <w:right w:val="none" w:sz="0" w:space="0" w:color="auto"/>
          </w:divBdr>
        </w:div>
        <w:div w:id="1801457394">
          <w:marLeft w:val="0"/>
          <w:marRight w:val="0"/>
          <w:marTop w:val="0"/>
          <w:marBottom w:val="0"/>
          <w:divBdr>
            <w:top w:val="none" w:sz="0" w:space="0" w:color="auto"/>
            <w:left w:val="none" w:sz="0" w:space="0" w:color="auto"/>
            <w:bottom w:val="none" w:sz="0" w:space="0" w:color="auto"/>
            <w:right w:val="none" w:sz="0" w:space="0" w:color="auto"/>
          </w:divBdr>
        </w:div>
        <w:div w:id="1967806584">
          <w:marLeft w:val="0"/>
          <w:marRight w:val="0"/>
          <w:marTop w:val="0"/>
          <w:marBottom w:val="0"/>
          <w:divBdr>
            <w:top w:val="none" w:sz="0" w:space="0" w:color="auto"/>
            <w:left w:val="none" w:sz="0" w:space="0" w:color="auto"/>
            <w:bottom w:val="none" w:sz="0" w:space="0" w:color="auto"/>
            <w:right w:val="none" w:sz="0" w:space="0" w:color="auto"/>
          </w:divBdr>
        </w:div>
        <w:div w:id="191962606">
          <w:marLeft w:val="0"/>
          <w:marRight w:val="0"/>
          <w:marTop w:val="0"/>
          <w:marBottom w:val="0"/>
          <w:divBdr>
            <w:top w:val="none" w:sz="0" w:space="0" w:color="auto"/>
            <w:left w:val="none" w:sz="0" w:space="0" w:color="auto"/>
            <w:bottom w:val="none" w:sz="0" w:space="0" w:color="auto"/>
            <w:right w:val="none" w:sz="0" w:space="0" w:color="auto"/>
          </w:divBdr>
        </w:div>
        <w:div w:id="1311982932">
          <w:marLeft w:val="0"/>
          <w:marRight w:val="0"/>
          <w:marTop w:val="0"/>
          <w:marBottom w:val="0"/>
          <w:divBdr>
            <w:top w:val="none" w:sz="0" w:space="0" w:color="auto"/>
            <w:left w:val="none" w:sz="0" w:space="0" w:color="auto"/>
            <w:bottom w:val="none" w:sz="0" w:space="0" w:color="auto"/>
            <w:right w:val="none" w:sz="0" w:space="0" w:color="auto"/>
          </w:divBdr>
        </w:div>
        <w:div w:id="1306082285">
          <w:marLeft w:val="0"/>
          <w:marRight w:val="0"/>
          <w:marTop w:val="0"/>
          <w:marBottom w:val="0"/>
          <w:divBdr>
            <w:top w:val="none" w:sz="0" w:space="0" w:color="auto"/>
            <w:left w:val="none" w:sz="0" w:space="0" w:color="auto"/>
            <w:bottom w:val="none" w:sz="0" w:space="0" w:color="auto"/>
            <w:right w:val="none" w:sz="0" w:space="0" w:color="auto"/>
          </w:divBdr>
        </w:div>
        <w:div w:id="148441769">
          <w:marLeft w:val="0"/>
          <w:marRight w:val="0"/>
          <w:marTop w:val="0"/>
          <w:marBottom w:val="0"/>
          <w:divBdr>
            <w:top w:val="none" w:sz="0" w:space="0" w:color="auto"/>
            <w:left w:val="none" w:sz="0" w:space="0" w:color="auto"/>
            <w:bottom w:val="none" w:sz="0" w:space="0" w:color="auto"/>
            <w:right w:val="none" w:sz="0" w:space="0" w:color="auto"/>
          </w:divBdr>
        </w:div>
        <w:div w:id="220288888">
          <w:marLeft w:val="0"/>
          <w:marRight w:val="0"/>
          <w:marTop w:val="0"/>
          <w:marBottom w:val="0"/>
          <w:divBdr>
            <w:top w:val="none" w:sz="0" w:space="0" w:color="auto"/>
            <w:left w:val="none" w:sz="0" w:space="0" w:color="auto"/>
            <w:bottom w:val="none" w:sz="0" w:space="0" w:color="auto"/>
            <w:right w:val="none" w:sz="0" w:space="0" w:color="auto"/>
          </w:divBdr>
        </w:div>
        <w:div w:id="960762901">
          <w:marLeft w:val="0"/>
          <w:marRight w:val="0"/>
          <w:marTop w:val="0"/>
          <w:marBottom w:val="0"/>
          <w:divBdr>
            <w:top w:val="none" w:sz="0" w:space="0" w:color="auto"/>
            <w:left w:val="none" w:sz="0" w:space="0" w:color="auto"/>
            <w:bottom w:val="none" w:sz="0" w:space="0" w:color="auto"/>
            <w:right w:val="none" w:sz="0" w:space="0" w:color="auto"/>
          </w:divBdr>
        </w:div>
        <w:div w:id="127672048">
          <w:marLeft w:val="0"/>
          <w:marRight w:val="0"/>
          <w:marTop w:val="0"/>
          <w:marBottom w:val="0"/>
          <w:divBdr>
            <w:top w:val="none" w:sz="0" w:space="0" w:color="auto"/>
            <w:left w:val="none" w:sz="0" w:space="0" w:color="auto"/>
            <w:bottom w:val="none" w:sz="0" w:space="0" w:color="auto"/>
            <w:right w:val="none" w:sz="0" w:space="0" w:color="auto"/>
          </w:divBdr>
        </w:div>
        <w:div w:id="1712801270">
          <w:marLeft w:val="0"/>
          <w:marRight w:val="0"/>
          <w:marTop w:val="0"/>
          <w:marBottom w:val="0"/>
          <w:divBdr>
            <w:top w:val="none" w:sz="0" w:space="0" w:color="auto"/>
            <w:left w:val="none" w:sz="0" w:space="0" w:color="auto"/>
            <w:bottom w:val="none" w:sz="0" w:space="0" w:color="auto"/>
            <w:right w:val="none" w:sz="0" w:space="0" w:color="auto"/>
          </w:divBdr>
        </w:div>
        <w:div w:id="108164756">
          <w:marLeft w:val="0"/>
          <w:marRight w:val="0"/>
          <w:marTop w:val="0"/>
          <w:marBottom w:val="0"/>
          <w:divBdr>
            <w:top w:val="none" w:sz="0" w:space="0" w:color="auto"/>
            <w:left w:val="none" w:sz="0" w:space="0" w:color="auto"/>
            <w:bottom w:val="none" w:sz="0" w:space="0" w:color="auto"/>
            <w:right w:val="none" w:sz="0" w:space="0" w:color="auto"/>
          </w:divBdr>
        </w:div>
        <w:div w:id="657923327">
          <w:marLeft w:val="0"/>
          <w:marRight w:val="0"/>
          <w:marTop w:val="0"/>
          <w:marBottom w:val="0"/>
          <w:divBdr>
            <w:top w:val="none" w:sz="0" w:space="0" w:color="auto"/>
            <w:left w:val="none" w:sz="0" w:space="0" w:color="auto"/>
            <w:bottom w:val="none" w:sz="0" w:space="0" w:color="auto"/>
            <w:right w:val="none" w:sz="0" w:space="0" w:color="auto"/>
          </w:divBdr>
        </w:div>
        <w:div w:id="82459385">
          <w:marLeft w:val="0"/>
          <w:marRight w:val="0"/>
          <w:marTop w:val="0"/>
          <w:marBottom w:val="0"/>
          <w:divBdr>
            <w:top w:val="none" w:sz="0" w:space="0" w:color="auto"/>
            <w:left w:val="none" w:sz="0" w:space="0" w:color="auto"/>
            <w:bottom w:val="none" w:sz="0" w:space="0" w:color="auto"/>
            <w:right w:val="none" w:sz="0" w:space="0" w:color="auto"/>
          </w:divBdr>
        </w:div>
        <w:div w:id="77674145">
          <w:marLeft w:val="0"/>
          <w:marRight w:val="0"/>
          <w:marTop w:val="0"/>
          <w:marBottom w:val="0"/>
          <w:divBdr>
            <w:top w:val="none" w:sz="0" w:space="0" w:color="auto"/>
            <w:left w:val="none" w:sz="0" w:space="0" w:color="auto"/>
            <w:bottom w:val="none" w:sz="0" w:space="0" w:color="auto"/>
            <w:right w:val="none" w:sz="0" w:space="0" w:color="auto"/>
          </w:divBdr>
        </w:div>
        <w:div w:id="1135022661">
          <w:marLeft w:val="0"/>
          <w:marRight w:val="0"/>
          <w:marTop w:val="0"/>
          <w:marBottom w:val="0"/>
          <w:divBdr>
            <w:top w:val="none" w:sz="0" w:space="0" w:color="auto"/>
            <w:left w:val="none" w:sz="0" w:space="0" w:color="auto"/>
            <w:bottom w:val="none" w:sz="0" w:space="0" w:color="auto"/>
            <w:right w:val="none" w:sz="0" w:space="0" w:color="auto"/>
          </w:divBdr>
        </w:div>
        <w:div w:id="1818524927">
          <w:marLeft w:val="0"/>
          <w:marRight w:val="0"/>
          <w:marTop w:val="0"/>
          <w:marBottom w:val="0"/>
          <w:divBdr>
            <w:top w:val="none" w:sz="0" w:space="0" w:color="auto"/>
            <w:left w:val="none" w:sz="0" w:space="0" w:color="auto"/>
            <w:bottom w:val="none" w:sz="0" w:space="0" w:color="auto"/>
            <w:right w:val="none" w:sz="0" w:space="0" w:color="auto"/>
          </w:divBdr>
        </w:div>
        <w:div w:id="2036736138">
          <w:marLeft w:val="0"/>
          <w:marRight w:val="0"/>
          <w:marTop w:val="0"/>
          <w:marBottom w:val="0"/>
          <w:divBdr>
            <w:top w:val="none" w:sz="0" w:space="0" w:color="auto"/>
            <w:left w:val="none" w:sz="0" w:space="0" w:color="auto"/>
            <w:bottom w:val="none" w:sz="0" w:space="0" w:color="auto"/>
            <w:right w:val="none" w:sz="0" w:space="0" w:color="auto"/>
          </w:divBdr>
        </w:div>
        <w:div w:id="1725063752">
          <w:marLeft w:val="0"/>
          <w:marRight w:val="0"/>
          <w:marTop w:val="0"/>
          <w:marBottom w:val="0"/>
          <w:divBdr>
            <w:top w:val="none" w:sz="0" w:space="0" w:color="auto"/>
            <w:left w:val="none" w:sz="0" w:space="0" w:color="auto"/>
            <w:bottom w:val="none" w:sz="0" w:space="0" w:color="auto"/>
            <w:right w:val="none" w:sz="0" w:space="0" w:color="auto"/>
          </w:divBdr>
        </w:div>
        <w:div w:id="416682340">
          <w:marLeft w:val="0"/>
          <w:marRight w:val="0"/>
          <w:marTop w:val="0"/>
          <w:marBottom w:val="0"/>
          <w:divBdr>
            <w:top w:val="none" w:sz="0" w:space="0" w:color="auto"/>
            <w:left w:val="none" w:sz="0" w:space="0" w:color="auto"/>
            <w:bottom w:val="none" w:sz="0" w:space="0" w:color="auto"/>
            <w:right w:val="none" w:sz="0" w:space="0" w:color="auto"/>
          </w:divBdr>
        </w:div>
        <w:div w:id="1051348204">
          <w:marLeft w:val="0"/>
          <w:marRight w:val="0"/>
          <w:marTop w:val="0"/>
          <w:marBottom w:val="0"/>
          <w:divBdr>
            <w:top w:val="none" w:sz="0" w:space="0" w:color="auto"/>
            <w:left w:val="none" w:sz="0" w:space="0" w:color="auto"/>
            <w:bottom w:val="none" w:sz="0" w:space="0" w:color="auto"/>
            <w:right w:val="none" w:sz="0" w:space="0" w:color="auto"/>
          </w:divBdr>
        </w:div>
        <w:div w:id="181012467">
          <w:marLeft w:val="0"/>
          <w:marRight w:val="0"/>
          <w:marTop w:val="0"/>
          <w:marBottom w:val="0"/>
          <w:divBdr>
            <w:top w:val="none" w:sz="0" w:space="0" w:color="auto"/>
            <w:left w:val="none" w:sz="0" w:space="0" w:color="auto"/>
            <w:bottom w:val="none" w:sz="0" w:space="0" w:color="auto"/>
            <w:right w:val="none" w:sz="0" w:space="0" w:color="auto"/>
          </w:divBdr>
        </w:div>
        <w:div w:id="1898009846">
          <w:marLeft w:val="0"/>
          <w:marRight w:val="0"/>
          <w:marTop w:val="0"/>
          <w:marBottom w:val="0"/>
          <w:divBdr>
            <w:top w:val="none" w:sz="0" w:space="0" w:color="auto"/>
            <w:left w:val="none" w:sz="0" w:space="0" w:color="auto"/>
            <w:bottom w:val="none" w:sz="0" w:space="0" w:color="auto"/>
            <w:right w:val="none" w:sz="0" w:space="0" w:color="auto"/>
          </w:divBdr>
        </w:div>
        <w:div w:id="907108187">
          <w:marLeft w:val="0"/>
          <w:marRight w:val="0"/>
          <w:marTop w:val="0"/>
          <w:marBottom w:val="0"/>
          <w:divBdr>
            <w:top w:val="none" w:sz="0" w:space="0" w:color="auto"/>
            <w:left w:val="none" w:sz="0" w:space="0" w:color="auto"/>
            <w:bottom w:val="none" w:sz="0" w:space="0" w:color="auto"/>
            <w:right w:val="none" w:sz="0" w:space="0" w:color="auto"/>
          </w:divBdr>
        </w:div>
        <w:div w:id="1248492741">
          <w:marLeft w:val="0"/>
          <w:marRight w:val="0"/>
          <w:marTop w:val="0"/>
          <w:marBottom w:val="0"/>
          <w:divBdr>
            <w:top w:val="none" w:sz="0" w:space="0" w:color="auto"/>
            <w:left w:val="none" w:sz="0" w:space="0" w:color="auto"/>
            <w:bottom w:val="none" w:sz="0" w:space="0" w:color="auto"/>
            <w:right w:val="none" w:sz="0" w:space="0" w:color="auto"/>
          </w:divBdr>
        </w:div>
        <w:div w:id="975598198">
          <w:marLeft w:val="0"/>
          <w:marRight w:val="0"/>
          <w:marTop w:val="0"/>
          <w:marBottom w:val="0"/>
          <w:divBdr>
            <w:top w:val="none" w:sz="0" w:space="0" w:color="auto"/>
            <w:left w:val="none" w:sz="0" w:space="0" w:color="auto"/>
            <w:bottom w:val="none" w:sz="0" w:space="0" w:color="auto"/>
            <w:right w:val="none" w:sz="0" w:space="0" w:color="auto"/>
          </w:divBdr>
        </w:div>
        <w:div w:id="876548015">
          <w:marLeft w:val="0"/>
          <w:marRight w:val="0"/>
          <w:marTop w:val="0"/>
          <w:marBottom w:val="0"/>
          <w:divBdr>
            <w:top w:val="none" w:sz="0" w:space="0" w:color="auto"/>
            <w:left w:val="none" w:sz="0" w:space="0" w:color="auto"/>
            <w:bottom w:val="none" w:sz="0" w:space="0" w:color="auto"/>
            <w:right w:val="none" w:sz="0" w:space="0" w:color="auto"/>
          </w:divBdr>
        </w:div>
        <w:div w:id="1090008328">
          <w:marLeft w:val="0"/>
          <w:marRight w:val="0"/>
          <w:marTop w:val="0"/>
          <w:marBottom w:val="0"/>
          <w:divBdr>
            <w:top w:val="none" w:sz="0" w:space="0" w:color="auto"/>
            <w:left w:val="none" w:sz="0" w:space="0" w:color="auto"/>
            <w:bottom w:val="none" w:sz="0" w:space="0" w:color="auto"/>
            <w:right w:val="none" w:sz="0" w:space="0" w:color="auto"/>
          </w:divBdr>
        </w:div>
        <w:div w:id="44644686">
          <w:marLeft w:val="0"/>
          <w:marRight w:val="0"/>
          <w:marTop w:val="0"/>
          <w:marBottom w:val="0"/>
          <w:divBdr>
            <w:top w:val="none" w:sz="0" w:space="0" w:color="auto"/>
            <w:left w:val="none" w:sz="0" w:space="0" w:color="auto"/>
            <w:bottom w:val="none" w:sz="0" w:space="0" w:color="auto"/>
            <w:right w:val="none" w:sz="0" w:space="0" w:color="auto"/>
          </w:divBdr>
        </w:div>
        <w:div w:id="111100093">
          <w:marLeft w:val="0"/>
          <w:marRight w:val="0"/>
          <w:marTop w:val="0"/>
          <w:marBottom w:val="0"/>
          <w:divBdr>
            <w:top w:val="none" w:sz="0" w:space="0" w:color="auto"/>
            <w:left w:val="none" w:sz="0" w:space="0" w:color="auto"/>
            <w:bottom w:val="none" w:sz="0" w:space="0" w:color="auto"/>
            <w:right w:val="none" w:sz="0" w:space="0" w:color="auto"/>
          </w:divBdr>
        </w:div>
        <w:div w:id="781611195">
          <w:marLeft w:val="0"/>
          <w:marRight w:val="0"/>
          <w:marTop w:val="0"/>
          <w:marBottom w:val="0"/>
          <w:divBdr>
            <w:top w:val="none" w:sz="0" w:space="0" w:color="auto"/>
            <w:left w:val="none" w:sz="0" w:space="0" w:color="auto"/>
            <w:bottom w:val="none" w:sz="0" w:space="0" w:color="auto"/>
            <w:right w:val="none" w:sz="0" w:space="0" w:color="auto"/>
          </w:divBdr>
        </w:div>
        <w:div w:id="1884252373">
          <w:marLeft w:val="0"/>
          <w:marRight w:val="0"/>
          <w:marTop w:val="0"/>
          <w:marBottom w:val="0"/>
          <w:divBdr>
            <w:top w:val="none" w:sz="0" w:space="0" w:color="auto"/>
            <w:left w:val="none" w:sz="0" w:space="0" w:color="auto"/>
            <w:bottom w:val="none" w:sz="0" w:space="0" w:color="auto"/>
            <w:right w:val="none" w:sz="0" w:space="0" w:color="auto"/>
          </w:divBdr>
        </w:div>
        <w:div w:id="1256986509">
          <w:marLeft w:val="0"/>
          <w:marRight w:val="0"/>
          <w:marTop w:val="0"/>
          <w:marBottom w:val="0"/>
          <w:divBdr>
            <w:top w:val="none" w:sz="0" w:space="0" w:color="auto"/>
            <w:left w:val="none" w:sz="0" w:space="0" w:color="auto"/>
            <w:bottom w:val="none" w:sz="0" w:space="0" w:color="auto"/>
            <w:right w:val="none" w:sz="0" w:space="0" w:color="auto"/>
          </w:divBdr>
        </w:div>
        <w:div w:id="437260481">
          <w:marLeft w:val="0"/>
          <w:marRight w:val="0"/>
          <w:marTop w:val="0"/>
          <w:marBottom w:val="0"/>
          <w:divBdr>
            <w:top w:val="none" w:sz="0" w:space="0" w:color="auto"/>
            <w:left w:val="none" w:sz="0" w:space="0" w:color="auto"/>
            <w:bottom w:val="none" w:sz="0" w:space="0" w:color="auto"/>
            <w:right w:val="none" w:sz="0" w:space="0" w:color="auto"/>
          </w:divBdr>
        </w:div>
        <w:div w:id="1402752054">
          <w:marLeft w:val="0"/>
          <w:marRight w:val="0"/>
          <w:marTop w:val="0"/>
          <w:marBottom w:val="0"/>
          <w:divBdr>
            <w:top w:val="none" w:sz="0" w:space="0" w:color="auto"/>
            <w:left w:val="none" w:sz="0" w:space="0" w:color="auto"/>
            <w:bottom w:val="none" w:sz="0" w:space="0" w:color="auto"/>
            <w:right w:val="none" w:sz="0" w:space="0" w:color="auto"/>
          </w:divBdr>
        </w:div>
        <w:div w:id="1417628374">
          <w:marLeft w:val="0"/>
          <w:marRight w:val="0"/>
          <w:marTop w:val="0"/>
          <w:marBottom w:val="0"/>
          <w:divBdr>
            <w:top w:val="none" w:sz="0" w:space="0" w:color="auto"/>
            <w:left w:val="none" w:sz="0" w:space="0" w:color="auto"/>
            <w:bottom w:val="none" w:sz="0" w:space="0" w:color="auto"/>
            <w:right w:val="none" w:sz="0" w:space="0" w:color="auto"/>
          </w:divBdr>
        </w:div>
        <w:div w:id="456682238">
          <w:marLeft w:val="0"/>
          <w:marRight w:val="0"/>
          <w:marTop w:val="0"/>
          <w:marBottom w:val="0"/>
          <w:divBdr>
            <w:top w:val="none" w:sz="0" w:space="0" w:color="auto"/>
            <w:left w:val="none" w:sz="0" w:space="0" w:color="auto"/>
            <w:bottom w:val="none" w:sz="0" w:space="0" w:color="auto"/>
            <w:right w:val="none" w:sz="0" w:space="0" w:color="auto"/>
          </w:divBdr>
        </w:div>
        <w:div w:id="879516328">
          <w:marLeft w:val="0"/>
          <w:marRight w:val="0"/>
          <w:marTop w:val="0"/>
          <w:marBottom w:val="0"/>
          <w:divBdr>
            <w:top w:val="none" w:sz="0" w:space="0" w:color="auto"/>
            <w:left w:val="none" w:sz="0" w:space="0" w:color="auto"/>
            <w:bottom w:val="none" w:sz="0" w:space="0" w:color="auto"/>
            <w:right w:val="none" w:sz="0" w:space="0" w:color="auto"/>
          </w:divBdr>
        </w:div>
        <w:div w:id="211772822">
          <w:marLeft w:val="0"/>
          <w:marRight w:val="0"/>
          <w:marTop w:val="0"/>
          <w:marBottom w:val="0"/>
          <w:divBdr>
            <w:top w:val="none" w:sz="0" w:space="0" w:color="auto"/>
            <w:left w:val="none" w:sz="0" w:space="0" w:color="auto"/>
            <w:bottom w:val="none" w:sz="0" w:space="0" w:color="auto"/>
            <w:right w:val="none" w:sz="0" w:space="0" w:color="auto"/>
          </w:divBdr>
        </w:div>
        <w:div w:id="1157455314">
          <w:marLeft w:val="0"/>
          <w:marRight w:val="0"/>
          <w:marTop w:val="0"/>
          <w:marBottom w:val="0"/>
          <w:divBdr>
            <w:top w:val="none" w:sz="0" w:space="0" w:color="auto"/>
            <w:left w:val="none" w:sz="0" w:space="0" w:color="auto"/>
            <w:bottom w:val="none" w:sz="0" w:space="0" w:color="auto"/>
            <w:right w:val="none" w:sz="0" w:space="0" w:color="auto"/>
          </w:divBdr>
        </w:div>
        <w:div w:id="1404764632">
          <w:marLeft w:val="0"/>
          <w:marRight w:val="0"/>
          <w:marTop w:val="0"/>
          <w:marBottom w:val="0"/>
          <w:divBdr>
            <w:top w:val="none" w:sz="0" w:space="0" w:color="auto"/>
            <w:left w:val="none" w:sz="0" w:space="0" w:color="auto"/>
            <w:bottom w:val="none" w:sz="0" w:space="0" w:color="auto"/>
            <w:right w:val="none" w:sz="0" w:space="0" w:color="auto"/>
          </w:divBdr>
        </w:div>
        <w:div w:id="1276717931">
          <w:marLeft w:val="0"/>
          <w:marRight w:val="0"/>
          <w:marTop w:val="0"/>
          <w:marBottom w:val="0"/>
          <w:divBdr>
            <w:top w:val="none" w:sz="0" w:space="0" w:color="auto"/>
            <w:left w:val="none" w:sz="0" w:space="0" w:color="auto"/>
            <w:bottom w:val="none" w:sz="0" w:space="0" w:color="auto"/>
            <w:right w:val="none" w:sz="0" w:space="0" w:color="auto"/>
          </w:divBdr>
        </w:div>
        <w:div w:id="830635396">
          <w:marLeft w:val="0"/>
          <w:marRight w:val="0"/>
          <w:marTop w:val="0"/>
          <w:marBottom w:val="0"/>
          <w:divBdr>
            <w:top w:val="none" w:sz="0" w:space="0" w:color="auto"/>
            <w:left w:val="none" w:sz="0" w:space="0" w:color="auto"/>
            <w:bottom w:val="none" w:sz="0" w:space="0" w:color="auto"/>
            <w:right w:val="none" w:sz="0" w:space="0" w:color="auto"/>
          </w:divBdr>
        </w:div>
        <w:div w:id="1705906682">
          <w:marLeft w:val="0"/>
          <w:marRight w:val="0"/>
          <w:marTop w:val="0"/>
          <w:marBottom w:val="0"/>
          <w:divBdr>
            <w:top w:val="none" w:sz="0" w:space="0" w:color="auto"/>
            <w:left w:val="none" w:sz="0" w:space="0" w:color="auto"/>
            <w:bottom w:val="none" w:sz="0" w:space="0" w:color="auto"/>
            <w:right w:val="none" w:sz="0" w:space="0" w:color="auto"/>
          </w:divBdr>
        </w:div>
        <w:div w:id="967398245">
          <w:marLeft w:val="0"/>
          <w:marRight w:val="0"/>
          <w:marTop w:val="0"/>
          <w:marBottom w:val="0"/>
          <w:divBdr>
            <w:top w:val="none" w:sz="0" w:space="0" w:color="auto"/>
            <w:left w:val="none" w:sz="0" w:space="0" w:color="auto"/>
            <w:bottom w:val="none" w:sz="0" w:space="0" w:color="auto"/>
            <w:right w:val="none" w:sz="0" w:space="0" w:color="auto"/>
          </w:divBdr>
        </w:div>
        <w:div w:id="2049378953">
          <w:marLeft w:val="0"/>
          <w:marRight w:val="0"/>
          <w:marTop w:val="0"/>
          <w:marBottom w:val="0"/>
          <w:divBdr>
            <w:top w:val="none" w:sz="0" w:space="0" w:color="auto"/>
            <w:left w:val="none" w:sz="0" w:space="0" w:color="auto"/>
            <w:bottom w:val="none" w:sz="0" w:space="0" w:color="auto"/>
            <w:right w:val="none" w:sz="0" w:space="0" w:color="auto"/>
          </w:divBdr>
        </w:div>
        <w:div w:id="954407072">
          <w:marLeft w:val="0"/>
          <w:marRight w:val="0"/>
          <w:marTop w:val="0"/>
          <w:marBottom w:val="0"/>
          <w:divBdr>
            <w:top w:val="none" w:sz="0" w:space="0" w:color="auto"/>
            <w:left w:val="none" w:sz="0" w:space="0" w:color="auto"/>
            <w:bottom w:val="none" w:sz="0" w:space="0" w:color="auto"/>
            <w:right w:val="none" w:sz="0" w:space="0" w:color="auto"/>
          </w:divBdr>
        </w:div>
        <w:div w:id="1319840130">
          <w:marLeft w:val="0"/>
          <w:marRight w:val="0"/>
          <w:marTop w:val="0"/>
          <w:marBottom w:val="0"/>
          <w:divBdr>
            <w:top w:val="none" w:sz="0" w:space="0" w:color="auto"/>
            <w:left w:val="none" w:sz="0" w:space="0" w:color="auto"/>
            <w:bottom w:val="none" w:sz="0" w:space="0" w:color="auto"/>
            <w:right w:val="none" w:sz="0" w:space="0" w:color="auto"/>
          </w:divBdr>
        </w:div>
        <w:div w:id="2028168043">
          <w:marLeft w:val="0"/>
          <w:marRight w:val="0"/>
          <w:marTop w:val="0"/>
          <w:marBottom w:val="0"/>
          <w:divBdr>
            <w:top w:val="none" w:sz="0" w:space="0" w:color="auto"/>
            <w:left w:val="none" w:sz="0" w:space="0" w:color="auto"/>
            <w:bottom w:val="none" w:sz="0" w:space="0" w:color="auto"/>
            <w:right w:val="none" w:sz="0" w:space="0" w:color="auto"/>
          </w:divBdr>
        </w:div>
        <w:div w:id="739207657">
          <w:marLeft w:val="0"/>
          <w:marRight w:val="0"/>
          <w:marTop w:val="0"/>
          <w:marBottom w:val="0"/>
          <w:divBdr>
            <w:top w:val="none" w:sz="0" w:space="0" w:color="auto"/>
            <w:left w:val="none" w:sz="0" w:space="0" w:color="auto"/>
            <w:bottom w:val="none" w:sz="0" w:space="0" w:color="auto"/>
            <w:right w:val="none" w:sz="0" w:space="0" w:color="auto"/>
          </w:divBdr>
        </w:div>
        <w:div w:id="1229850037">
          <w:marLeft w:val="0"/>
          <w:marRight w:val="0"/>
          <w:marTop w:val="0"/>
          <w:marBottom w:val="0"/>
          <w:divBdr>
            <w:top w:val="none" w:sz="0" w:space="0" w:color="auto"/>
            <w:left w:val="none" w:sz="0" w:space="0" w:color="auto"/>
            <w:bottom w:val="none" w:sz="0" w:space="0" w:color="auto"/>
            <w:right w:val="none" w:sz="0" w:space="0" w:color="auto"/>
          </w:divBdr>
        </w:div>
        <w:div w:id="1743529864">
          <w:marLeft w:val="0"/>
          <w:marRight w:val="0"/>
          <w:marTop w:val="0"/>
          <w:marBottom w:val="0"/>
          <w:divBdr>
            <w:top w:val="none" w:sz="0" w:space="0" w:color="auto"/>
            <w:left w:val="none" w:sz="0" w:space="0" w:color="auto"/>
            <w:bottom w:val="none" w:sz="0" w:space="0" w:color="auto"/>
            <w:right w:val="none" w:sz="0" w:space="0" w:color="auto"/>
          </w:divBdr>
        </w:div>
        <w:div w:id="699205581">
          <w:marLeft w:val="0"/>
          <w:marRight w:val="0"/>
          <w:marTop w:val="0"/>
          <w:marBottom w:val="0"/>
          <w:divBdr>
            <w:top w:val="none" w:sz="0" w:space="0" w:color="auto"/>
            <w:left w:val="none" w:sz="0" w:space="0" w:color="auto"/>
            <w:bottom w:val="none" w:sz="0" w:space="0" w:color="auto"/>
            <w:right w:val="none" w:sz="0" w:space="0" w:color="auto"/>
          </w:divBdr>
        </w:div>
        <w:div w:id="128673481">
          <w:marLeft w:val="0"/>
          <w:marRight w:val="0"/>
          <w:marTop w:val="0"/>
          <w:marBottom w:val="0"/>
          <w:divBdr>
            <w:top w:val="none" w:sz="0" w:space="0" w:color="auto"/>
            <w:left w:val="none" w:sz="0" w:space="0" w:color="auto"/>
            <w:bottom w:val="none" w:sz="0" w:space="0" w:color="auto"/>
            <w:right w:val="none" w:sz="0" w:space="0" w:color="auto"/>
          </w:divBdr>
        </w:div>
        <w:div w:id="1495682400">
          <w:marLeft w:val="0"/>
          <w:marRight w:val="0"/>
          <w:marTop w:val="0"/>
          <w:marBottom w:val="0"/>
          <w:divBdr>
            <w:top w:val="none" w:sz="0" w:space="0" w:color="auto"/>
            <w:left w:val="none" w:sz="0" w:space="0" w:color="auto"/>
            <w:bottom w:val="none" w:sz="0" w:space="0" w:color="auto"/>
            <w:right w:val="none" w:sz="0" w:space="0" w:color="auto"/>
          </w:divBdr>
        </w:div>
        <w:div w:id="75169843">
          <w:marLeft w:val="0"/>
          <w:marRight w:val="0"/>
          <w:marTop w:val="0"/>
          <w:marBottom w:val="0"/>
          <w:divBdr>
            <w:top w:val="none" w:sz="0" w:space="0" w:color="auto"/>
            <w:left w:val="none" w:sz="0" w:space="0" w:color="auto"/>
            <w:bottom w:val="none" w:sz="0" w:space="0" w:color="auto"/>
            <w:right w:val="none" w:sz="0" w:space="0" w:color="auto"/>
          </w:divBdr>
        </w:div>
        <w:div w:id="936791425">
          <w:marLeft w:val="0"/>
          <w:marRight w:val="0"/>
          <w:marTop w:val="0"/>
          <w:marBottom w:val="0"/>
          <w:divBdr>
            <w:top w:val="none" w:sz="0" w:space="0" w:color="auto"/>
            <w:left w:val="none" w:sz="0" w:space="0" w:color="auto"/>
            <w:bottom w:val="none" w:sz="0" w:space="0" w:color="auto"/>
            <w:right w:val="none" w:sz="0" w:space="0" w:color="auto"/>
          </w:divBdr>
        </w:div>
        <w:div w:id="1817337712">
          <w:marLeft w:val="0"/>
          <w:marRight w:val="0"/>
          <w:marTop w:val="0"/>
          <w:marBottom w:val="0"/>
          <w:divBdr>
            <w:top w:val="none" w:sz="0" w:space="0" w:color="auto"/>
            <w:left w:val="none" w:sz="0" w:space="0" w:color="auto"/>
            <w:bottom w:val="none" w:sz="0" w:space="0" w:color="auto"/>
            <w:right w:val="none" w:sz="0" w:space="0" w:color="auto"/>
          </w:divBdr>
        </w:div>
        <w:div w:id="45035875">
          <w:marLeft w:val="0"/>
          <w:marRight w:val="0"/>
          <w:marTop w:val="0"/>
          <w:marBottom w:val="0"/>
          <w:divBdr>
            <w:top w:val="none" w:sz="0" w:space="0" w:color="auto"/>
            <w:left w:val="none" w:sz="0" w:space="0" w:color="auto"/>
            <w:bottom w:val="none" w:sz="0" w:space="0" w:color="auto"/>
            <w:right w:val="none" w:sz="0" w:space="0" w:color="auto"/>
          </w:divBdr>
        </w:div>
        <w:div w:id="897857209">
          <w:marLeft w:val="0"/>
          <w:marRight w:val="0"/>
          <w:marTop w:val="0"/>
          <w:marBottom w:val="0"/>
          <w:divBdr>
            <w:top w:val="none" w:sz="0" w:space="0" w:color="auto"/>
            <w:left w:val="none" w:sz="0" w:space="0" w:color="auto"/>
            <w:bottom w:val="none" w:sz="0" w:space="0" w:color="auto"/>
            <w:right w:val="none" w:sz="0" w:space="0" w:color="auto"/>
          </w:divBdr>
        </w:div>
        <w:div w:id="1837304240">
          <w:marLeft w:val="0"/>
          <w:marRight w:val="0"/>
          <w:marTop w:val="0"/>
          <w:marBottom w:val="0"/>
          <w:divBdr>
            <w:top w:val="none" w:sz="0" w:space="0" w:color="auto"/>
            <w:left w:val="none" w:sz="0" w:space="0" w:color="auto"/>
            <w:bottom w:val="none" w:sz="0" w:space="0" w:color="auto"/>
            <w:right w:val="none" w:sz="0" w:space="0" w:color="auto"/>
          </w:divBdr>
        </w:div>
        <w:div w:id="739251150">
          <w:marLeft w:val="0"/>
          <w:marRight w:val="0"/>
          <w:marTop w:val="0"/>
          <w:marBottom w:val="0"/>
          <w:divBdr>
            <w:top w:val="none" w:sz="0" w:space="0" w:color="auto"/>
            <w:left w:val="none" w:sz="0" w:space="0" w:color="auto"/>
            <w:bottom w:val="none" w:sz="0" w:space="0" w:color="auto"/>
            <w:right w:val="none" w:sz="0" w:space="0" w:color="auto"/>
          </w:divBdr>
        </w:div>
        <w:div w:id="1389182508">
          <w:marLeft w:val="0"/>
          <w:marRight w:val="0"/>
          <w:marTop w:val="0"/>
          <w:marBottom w:val="0"/>
          <w:divBdr>
            <w:top w:val="none" w:sz="0" w:space="0" w:color="auto"/>
            <w:left w:val="none" w:sz="0" w:space="0" w:color="auto"/>
            <w:bottom w:val="none" w:sz="0" w:space="0" w:color="auto"/>
            <w:right w:val="none" w:sz="0" w:space="0" w:color="auto"/>
          </w:divBdr>
        </w:div>
        <w:div w:id="688602271">
          <w:marLeft w:val="0"/>
          <w:marRight w:val="0"/>
          <w:marTop w:val="0"/>
          <w:marBottom w:val="0"/>
          <w:divBdr>
            <w:top w:val="none" w:sz="0" w:space="0" w:color="auto"/>
            <w:left w:val="none" w:sz="0" w:space="0" w:color="auto"/>
            <w:bottom w:val="none" w:sz="0" w:space="0" w:color="auto"/>
            <w:right w:val="none" w:sz="0" w:space="0" w:color="auto"/>
          </w:divBdr>
        </w:div>
        <w:div w:id="1033071500">
          <w:marLeft w:val="0"/>
          <w:marRight w:val="0"/>
          <w:marTop w:val="0"/>
          <w:marBottom w:val="0"/>
          <w:divBdr>
            <w:top w:val="none" w:sz="0" w:space="0" w:color="auto"/>
            <w:left w:val="none" w:sz="0" w:space="0" w:color="auto"/>
            <w:bottom w:val="none" w:sz="0" w:space="0" w:color="auto"/>
            <w:right w:val="none" w:sz="0" w:space="0" w:color="auto"/>
          </w:divBdr>
        </w:div>
        <w:div w:id="1890727681">
          <w:marLeft w:val="0"/>
          <w:marRight w:val="0"/>
          <w:marTop w:val="0"/>
          <w:marBottom w:val="0"/>
          <w:divBdr>
            <w:top w:val="none" w:sz="0" w:space="0" w:color="auto"/>
            <w:left w:val="none" w:sz="0" w:space="0" w:color="auto"/>
            <w:bottom w:val="none" w:sz="0" w:space="0" w:color="auto"/>
            <w:right w:val="none" w:sz="0" w:space="0" w:color="auto"/>
          </w:divBdr>
        </w:div>
        <w:div w:id="926495930">
          <w:marLeft w:val="0"/>
          <w:marRight w:val="0"/>
          <w:marTop w:val="0"/>
          <w:marBottom w:val="0"/>
          <w:divBdr>
            <w:top w:val="none" w:sz="0" w:space="0" w:color="auto"/>
            <w:left w:val="none" w:sz="0" w:space="0" w:color="auto"/>
            <w:bottom w:val="none" w:sz="0" w:space="0" w:color="auto"/>
            <w:right w:val="none" w:sz="0" w:space="0" w:color="auto"/>
          </w:divBdr>
        </w:div>
        <w:div w:id="1788350671">
          <w:marLeft w:val="0"/>
          <w:marRight w:val="0"/>
          <w:marTop w:val="0"/>
          <w:marBottom w:val="0"/>
          <w:divBdr>
            <w:top w:val="none" w:sz="0" w:space="0" w:color="auto"/>
            <w:left w:val="none" w:sz="0" w:space="0" w:color="auto"/>
            <w:bottom w:val="none" w:sz="0" w:space="0" w:color="auto"/>
            <w:right w:val="none" w:sz="0" w:space="0" w:color="auto"/>
          </w:divBdr>
        </w:div>
        <w:div w:id="1840341707">
          <w:marLeft w:val="0"/>
          <w:marRight w:val="0"/>
          <w:marTop w:val="0"/>
          <w:marBottom w:val="0"/>
          <w:divBdr>
            <w:top w:val="none" w:sz="0" w:space="0" w:color="auto"/>
            <w:left w:val="none" w:sz="0" w:space="0" w:color="auto"/>
            <w:bottom w:val="none" w:sz="0" w:space="0" w:color="auto"/>
            <w:right w:val="none" w:sz="0" w:space="0" w:color="auto"/>
          </w:divBdr>
        </w:div>
        <w:div w:id="917178894">
          <w:marLeft w:val="0"/>
          <w:marRight w:val="0"/>
          <w:marTop w:val="0"/>
          <w:marBottom w:val="0"/>
          <w:divBdr>
            <w:top w:val="none" w:sz="0" w:space="0" w:color="auto"/>
            <w:left w:val="none" w:sz="0" w:space="0" w:color="auto"/>
            <w:bottom w:val="none" w:sz="0" w:space="0" w:color="auto"/>
            <w:right w:val="none" w:sz="0" w:space="0" w:color="auto"/>
          </w:divBdr>
        </w:div>
        <w:div w:id="1165704336">
          <w:marLeft w:val="0"/>
          <w:marRight w:val="0"/>
          <w:marTop w:val="0"/>
          <w:marBottom w:val="0"/>
          <w:divBdr>
            <w:top w:val="none" w:sz="0" w:space="0" w:color="auto"/>
            <w:left w:val="none" w:sz="0" w:space="0" w:color="auto"/>
            <w:bottom w:val="none" w:sz="0" w:space="0" w:color="auto"/>
            <w:right w:val="none" w:sz="0" w:space="0" w:color="auto"/>
          </w:divBdr>
        </w:div>
        <w:div w:id="1738169705">
          <w:marLeft w:val="0"/>
          <w:marRight w:val="0"/>
          <w:marTop w:val="0"/>
          <w:marBottom w:val="0"/>
          <w:divBdr>
            <w:top w:val="none" w:sz="0" w:space="0" w:color="auto"/>
            <w:left w:val="none" w:sz="0" w:space="0" w:color="auto"/>
            <w:bottom w:val="none" w:sz="0" w:space="0" w:color="auto"/>
            <w:right w:val="none" w:sz="0" w:space="0" w:color="auto"/>
          </w:divBdr>
        </w:div>
        <w:div w:id="469443097">
          <w:marLeft w:val="0"/>
          <w:marRight w:val="0"/>
          <w:marTop w:val="0"/>
          <w:marBottom w:val="0"/>
          <w:divBdr>
            <w:top w:val="none" w:sz="0" w:space="0" w:color="auto"/>
            <w:left w:val="none" w:sz="0" w:space="0" w:color="auto"/>
            <w:bottom w:val="none" w:sz="0" w:space="0" w:color="auto"/>
            <w:right w:val="none" w:sz="0" w:space="0" w:color="auto"/>
          </w:divBdr>
        </w:div>
        <w:div w:id="876698581">
          <w:marLeft w:val="0"/>
          <w:marRight w:val="0"/>
          <w:marTop w:val="0"/>
          <w:marBottom w:val="0"/>
          <w:divBdr>
            <w:top w:val="none" w:sz="0" w:space="0" w:color="auto"/>
            <w:left w:val="none" w:sz="0" w:space="0" w:color="auto"/>
            <w:bottom w:val="none" w:sz="0" w:space="0" w:color="auto"/>
            <w:right w:val="none" w:sz="0" w:space="0" w:color="auto"/>
          </w:divBdr>
        </w:div>
        <w:div w:id="812991903">
          <w:marLeft w:val="0"/>
          <w:marRight w:val="0"/>
          <w:marTop w:val="0"/>
          <w:marBottom w:val="0"/>
          <w:divBdr>
            <w:top w:val="none" w:sz="0" w:space="0" w:color="auto"/>
            <w:left w:val="none" w:sz="0" w:space="0" w:color="auto"/>
            <w:bottom w:val="none" w:sz="0" w:space="0" w:color="auto"/>
            <w:right w:val="none" w:sz="0" w:space="0" w:color="auto"/>
          </w:divBdr>
        </w:div>
        <w:div w:id="2111309995">
          <w:marLeft w:val="0"/>
          <w:marRight w:val="0"/>
          <w:marTop w:val="0"/>
          <w:marBottom w:val="0"/>
          <w:divBdr>
            <w:top w:val="none" w:sz="0" w:space="0" w:color="auto"/>
            <w:left w:val="none" w:sz="0" w:space="0" w:color="auto"/>
            <w:bottom w:val="none" w:sz="0" w:space="0" w:color="auto"/>
            <w:right w:val="none" w:sz="0" w:space="0" w:color="auto"/>
          </w:divBdr>
        </w:div>
        <w:div w:id="138427401">
          <w:marLeft w:val="0"/>
          <w:marRight w:val="0"/>
          <w:marTop w:val="0"/>
          <w:marBottom w:val="0"/>
          <w:divBdr>
            <w:top w:val="none" w:sz="0" w:space="0" w:color="auto"/>
            <w:left w:val="none" w:sz="0" w:space="0" w:color="auto"/>
            <w:bottom w:val="none" w:sz="0" w:space="0" w:color="auto"/>
            <w:right w:val="none" w:sz="0" w:space="0" w:color="auto"/>
          </w:divBdr>
        </w:div>
        <w:div w:id="856968440">
          <w:marLeft w:val="0"/>
          <w:marRight w:val="0"/>
          <w:marTop w:val="0"/>
          <w:marBottom w:val="0"/>
          <w:divBdr>
            <w:top w:val="none" w:sz="0" w:space="0" w:color="auto"/>
            <w:left w:val="none" w:sz="0" w:space="0" w:color="auto"/>
            <w:bottom w:val="none" w:sz="0" w:space="0" w:color="auto"/>
            <w:right w:val="none" w:sz="0" w:space="0" w:color="auto"/>
          </w:divBdr>
        </w:div>
        <w:div w:id="1966346411">
          <w:marLeft w:val="0"/>
          <w:marRight w:val="0"/>
          <w:marTop w:val="0"/>
          <w:marBottom w:val="0"/>
          <w:divBdr>
            <w:top w:val="none" w:sz="0" w:space="0" w:color="auto"/>
            <w:left w:val="none" w:sz="0" w:space="0" w:color="auto"/>
            <w:bottom w:val="none" w:sz="0" w:space="0" w:color="auto"/>
            <w:right w:val="none" w:sz="0" w:space="0" w:color="auto"/>
          </w:divBdr>
        </w:div>
        <w:div w:id="1851984772">
          <w:marLeft w:val="0"/>
          <w:marRight w:val="0"/>
          <w:marTop w:val="0"/>
          <w:marBottom w:val="0"/>
          <w:divBdr>
            <w:top w:val="none" w:sz="0" w:space="0" w:color="auto"/>
            <w:left w:val="none" w:sz="0" w:space="0" w:color="auto"/>
            <w:bottom w:val="none" w:sz="0" w:space="0" w:color="auto"/>
            <w:right w:val="none" w:sz="0" w:space="0" w:color="auto"/>
          </w:divBdr>
        </w:div>
        <w:div w:id="1534920026">
          <w:marLeft w:val="0"/>
          <w:marRight w:val="0"/>
          <w:marTop w:val="0"/>
          <w:marBottom w:val="0"/>
          <w:divBdr>
            <w:top w:val="none" w:sz="0" w:space="0" w:color="auto"/>
            <w:left w:val="none" w:sz="0" w:space="0" w:color="auto"/>
            <w:bottom w:val="none" w:sz="0" w:space="0" w:color="auto"/>
            <w:right w:val="none" w:sz="0" w:space="0" w:color="auto"/>
          </w:divBdr>
        </w:div>
        <w:div w:id="1524516087">
          <w:marLeft w:val="0"/>
          <w:marRight w:val="0"/>
          <w:marTop w:val="0"/>
          <w:marBottom w:val="0"/>
          <w:divBdr>
            <w:top w:val="none" w:sz="0" w:space="0" w:color="auto"/>
            <w:left w:val="none" w:sz="0" w:space="0" w:color="auto"/>
            <w:bottom w:val="none" w:sz="0" w:space="0" w:color="auto"/>
            <w:right w:val="none" w:sz="0" w:space="0" w:color="auto"/>
          </w:divBdr>
        </w:div>
        <w:div w:id="2072314064">
          <w:marLeft w:val="0"/>
          <w:marRight w:val="0"/>
          <w:marTop w:val="0"/>
          <w:marBottom w:val="0"/>
          <w:divBdr>
            <w:top w:val="none" w:sz="0" w:space="0" w:color="auto"/>
            <w:left w:val="none" w:sz="0" w:space="0" w:color="auto"/>
            <w:bottom w:val="none" w:sz="0" w:space="0" w:color="auto"/>
            <w:right w:val="none" w:sz="0" w:space="0" w:color="auto"/>
          </w:divBdr>
        </w:div>
        <w:div w:id="1106195609">
          <w:marLeft w:val="0"/>
          <w:marRight w:val="0"/>
          <w:marTop w:val="0"/>
          <w:marBottom w:val="0"/>
          <w:divBdr>
            <w:top w:val="none" w:sz="0" w:space="0" w:color="auto"/>
            <w:left w:val="none" w:sz="0" w:space="0" w:color="auto"/>
            <w:bottom w:val="none" w:sz="0" w:space="0" w:color="auto"/>
            <w:right w:val="none" w:sz="0" w:space="0" w:color="auto"/>
          </w:divBdr>
        </w:div>
        <w:div w:id="1750536082">
          <w:marLeft w:val="0"/>
          <w:marRight w:val="0"/>
          <w:marTop w:val="0"/>
          <w:marBottom w:val="0"/>
          <w:divBdr>
            <w:top w:val="none" w:sz="0" w:space="0" w:color="auto"/>
            <w:left w:val="none" w:sz="0" w:space="0" w:color="auto"/>
            <w:bottom w:val="none" w:sz="0" w:space="0" w:color="auto"/>
            <w:right w:val="none" w:sz="0" w:space="0" w:color="auto"/>
          </w:divBdr>
        </w:div>
        <w:div w:id="1886798098">
          <w:marLeft w:val="0"/>
          <w:marRight w:val="0"/>
          <w:marTop w:val="0"/>
          <w:marBottom w:val="0"/>
          <w:divBdr>
            <w:top w:val="none" w:sz="0" w:space="0" w:color="auto"/>
            <w:left w:val="none" w:sz="0" w:space="0" w:color="auto"/>
            <w:bottom w:val="none" w:sz="0" w:space="0" w:color="auto"/>
            <w:right w:val="none" w:sz="0" w:space="0" w:color="auto"/>
          </w:divBdr>
        </w:div>
        <w:div w:id="2085687281">
          <w:marLeft w:val="0"/>
          <w:marRight w:val="0"/>
          <w:marTop w:val="0"/>
          <w:marBottom w:val="0"/>
          <w:divBdr>
            <w:top w:val="none" w:sz="0" w:space="0" w:color="auto"/>
            <w:left w:val="none" w:sz="0" w:space="0" w:color="auto"/>
            <w:bottom w:val="none" w:sz="0" w:space="0" w:color="auto"/>
            <w:right w:val="none" w:sz="0" w:space="0" w:color="auto"/>
          </w:divBdr>
        </w:div>
        <w:div w:id="358817779">
          <w:marLeft w:val="0"/>
          <w:marRight w:val="0"/>
          <w:marTop w:val="0"/>
          <w:marBottom w:val="0"/>
          <w:divBdr>
            <w:top w:val="none" w:sz="0" w:space="0" w:color="auto"/>
            <w:left w:val="none" w:sz="0" w:space="0" w:color="auto"/>
            <w:bottom w:val="none" w:sz="0" w:space="0" w:color="auto"/>
            <w:right w:val="none" w:sz="0" w:space="0" w:color="auto"/>
          </w:divBdr>
        </w:div>
        <w:div w:id="1034115894">
          <w:marLeft w:val="0"/>
          <w:marRight w:val="0"/>
          <w:marTop w:val="0"/>
          <w:marBottom w:val="0"/>
          <w:divBdr>
            <w:top w:val="none" w:sz="0" w:space="0" w:color="auto"/>
            <w:left w:val="none" w:sz="0" w:space="0" w:color="auto"/>
            <w:bottom w:val="none" w:sz="0" w:space="0" w:color="auto"/>
            <w:right w:val="none" w:sz="0" w:space="0" w:color="auto"/>
          </w:divBdr>
        </w:div>
        <w:div w:id="1439449532">
          <w:marLeft w:val="0"/>
          <w:marRight w:val="0"/>
          <w:marTop w:val="0"/>
          <w:marBottom w:val="0"/>
          <w:divBdr>
            <w:top w:val="none" w:sz="0" w:space="0" w:color="auto"/>
            <w:left w:val="none" w:sz="0" w:space="0" w:color="auto"/>
            <w:bottom w:val="none" w:sz="0" w:space="0" w:color="auto"/>
            <w:right w:val="none" w:sz="0" w:space="0" w:color="auto"/>
          </w:divBdr>
        </w:div>
        <w:div w:id="1515337810">
          <w:marLeft w:val="0"/>
          <w:marRight w:val="0"/>
          <w:marTop w:val="0"/>
          <w:marBottom w:val="0"/>
          <w:divBdr>
            <w:top w:val="none" w:sz="0" w:space="0" w:color="auto"/>
            <w:left w:val="none" w:sz="0" w:space="0" w:color="auto"/>
            <w:bottom w:val="none" w:sz="0" w:space="0" w:color="auto"/>
            <w:right w:val="none" w:sz="0" w:space="0" w:color="auto"/>
          </w:divBdr>
        </w:div>
        <w:div w:id="1012029287">
          <w:marLeft w:val="0"/>
          <w:marRight w:val="0"/>
          <w:marTop w:val="0"/>
          <w:marBottom w:val="0"/>
          <w:divBdr>
            <w:top w:val="none" w:sz="0" w:space="0" w:color="auto"/>
            <w:left w:val="none" w:sz="0" w:space="0" w:color="auto"/>
            <w:bottom w:val="none" w:sz="0" w:space="0" w:color="auto"/>
            <w:right w:val="none" w:sz="0" w:space="0" w:color="auto"/>
          </w:divBdr>
        </w:div>
        <w:div w:id="908727806">
          <w:marLeft w:val="0"/>
          <w:marRight w:val="0"/>
          <w:marTop w:val="0"/>
          <w:marBottom w:val="0"/>
          <w:divBdr>
            <w:top w:val="none" w:sz="0" w:space="0" w:color="auto"/>
            <w:left w:val="none" w:sz="0" w:space="0" w:color="auto"/>
            <w:bottom w:val="none" w:sz="0" w:space="0" w:color="auto"/>
            <w:right w:val="none" w:sz="0" w:space="0" w:color="auto"/>
          </w:divBdr>
        </w:div>
        <w:div w:id="1063795133">
          <w:marLeft w:val="0"/>
          <w:marRight w:val="0"/>
          <w:marTop w:val="0"/>
          <w:marBottom w:val="0"/>
          <w:divBdr>
            <w:top w:val="none" w:sz="0" w:space="0" w:color="auto"/>
            <w:left w:val="none" w:sz="0" w:space="0" w:color="auto"/>
            <w:bottom w:val="none" w:sz="0" w:space="0" w:color="auto"/>
            <w:right w:val="none" w:sz="0" w:space="0" w:color="auto"/>
          </w:divBdr>
        </w:div>
        <w:div w:id="758603857">
          <w:marLeft w:val="0"/>
          <w:marRight w:val="0"/>
          <w:marTop w:val="0"/>
          <w:marBottom w:val="0"/>
          <w:divBdr>
            <w:top w:val="none" w:sz="0" w:space="0" w:color="auto"/>
            <w:left w:val="none" w:sz="0" w:space="0" w:color="auto"/>
            <w:bottom w:val="none" w:sz="0" w:space="0" w:color="auto"/>
            <w:right w:val="none" w:sz="0" w:space="0" w:color="auto"/>
          </w:divBdr>
        </w:div>
        <w:div w:id="883910019">
          <w:marLeft w:val="0"/>
          <w:marRight w:val="0"/>
          <w:marTop w:val="0"/>
          <w:marBottom w:val="0"/>
          <w:divBdr>
            <w:top w:val="none" w:sz="0" w:space="0" w:color="auto"/>
            <w:left w:val="none" w:sz="0" w:space="0" w:color="auto"/>
            <w:bottom w:val="none" w:sz="0" w:space="0" w:color="auto"/>
            <w:right w:val="none" w:sz="0" w:space="0" w:color="auto"/>
          </w:divBdr>
        </w:div>
        <w:div w:id="2038922395">
          <w:marLeft w:val="0"/>
          <w:marRight w:val="0"/>
          <w:marTop w:val="0"/>
          <w:marBottom w:val="0"/>
          <w:divBdr>
            <w:top w:val="none" w:sz="0" w:space="0" w:color="auto"/>
            <w:left w:val="none" w:sz="0" w:space="0" w:color="auto"/>
            <w:bottom w:val="none" w:sz="0" w:space="0" w:color="auto"/>
            <w:right w:val="none" w:sz="0" w:space="0" w:color="auto"/>
          </w:divBdr>
        </w:div>
        <w:div w:id="85421402">
          <w:marLeft w:val="0"/>
          <w:marRight w:val="0"/>
          <w:marTop w:val="0"/>
          <w:marBottom w:val="0"/>
          <w:divBdr>
            <w:top w:val="none" w:sz="0" w:space="0" w:color="auto"/>
            <w:left w:val="none" w:sz="0" w:space="0" w:color="auto"/>
            <w:bottom w:val="none" w:sz="0" w:space="0" w:color="auto"/>
            <w:right w:val="none" w:sz="0" w:space="0" w:color="auto"/>
          </w:divBdr>
        </w:div>
        <w:div w:id="1307927456">
          <w:marLeft w:val="0"/>
          <w:marRight w:val="0"/>
          <w:marTop w:val="0"/>
          <w:marBottom w:val="0"/>
          <w:divBdr>
            <w:top w:val="none" w:sz="0" w:space="0" w:color="auto"/>
            <w:left w:val="none" w:sz="0" w:space="0" w:color="auto"/>
            <w:bottom w:val="none" w:sz="0" w:space="0" w:color="auto"/>
            <w:right w:val="none" w:sz="0" w:space="0" w:color="auto"/>
          </w:divBdr>
        </w:div>
        <w:div w:id="294408383">
          <w:marLeft w:val="0"/>
          <w:marRight w:val="0"/>
          <w:marTop w:val="0"/>
          <w:marBottom w:val="0"/>
          <w:divBdr>
            <w:top w:val="none" w:sz="0" w:space="0" w:color="auto"/>
            <w:left w:val="none" w:sz="0" w:space="0" w:color="auto"/>
            <w:bottom w:val="none" w:sz="0" w:space="0" w:color="auto"/>
            <w:right w:val="none" w:sz="0" w:space="0" w:color="auto"/>
          </w:divBdr>
        </w:div>
        <w:div w:id="1166356920">
          <w:marLeft w:val="0"/>
          <w:marRight w:val="0"/>
          <w:marTop w:val="0"/>
          <w:marBottom w:val="0"/>
          <w:divBdr>
            <w:top w:val="none" w:sz="0" w:space="0" w:color="auto"/>
            <w:left w:val="none" w:sz="0" w:space="0" w:color="auto"/>
            <w:bottom w:val="none" w:sz="0" w:space="0" w:color="auto"/>
            <w:right w:val="none" w:sz="0" w:space="0" w:color="auto"/>
          </w:divBdr>
        </w:div>
        <w:div w:id="1717703567">
          <w:marLeft w:val="0"/>
          <w:marRight w:val="0"/>
          <w:marTop w:val="0"/>
          <w:marBottom w:val="0"/>
          <w:divBdr>
            <w:top w:val="none" w:sz="0" w:space="0" w:color="auto"/>
            <w:left w:val="none" w:sz="0" w:space="0" w:color="auto"/>
            <w:bottom w:val="none" w:sz="0" w:space="0" w:color="auto"/>
            <w:right w:val="none" w:sz="0" w:space="0" w:color="auto"/>
          </w:divBdr>
        </w:div>
        <w:div w:id="1743218140">
          <w:marLeft w:val="0"/>
          <w:marRight w:val="0"/>
          <w:marTop w:val="0"/>
          <w:marBottom w:val="0"/>
          <w:divBdr>
            <w:top w:val="none" w:sz="0" w:space="0" w:color="auto"/>
            <w:left w:val="none" w:sz="0" w:space="0" w:color="auto"/>
            <w:bottom w:val="none" w:sz="0" w:space="0" w:color="auto"/>
            <w:right w:val="none" w:sz="0" w:space="0" w:color="auto"/>
          </w:divBdr>
        </w:div>
        <w:div w:id="1147895405">
          <w:marLeft w:val="0"/>
          <w:marRight w:val="0"/>
          <w:marTop w:val="0"/>
          <w:marBottom w:val="0"/>
          <w:divBdr>
            <w:top w:val="none" w:sz="0" w:space="0" w:color="auto"/>
            <w:left w:val="none" w:sz="0" w:space="0" w:color="auto"/>
            <w:bottom w:val="none" w:sz="0" w:space="0" w:color="auto"/>
            <w:right w:val="none" w:sz="0" w:space="0" w:color="auto"/>
          </w:divBdr>
        </w:div>
        <w:div w:id="1072585405">
          <w:marLeft w:val="0"/>
          <w:marRight w:val="0"/>
          <w:marTop w:val="0"/>
          <w:marBottom w:val="0"/>
          <w:divBdr>
            <w:top w:val="none" w:sz="0" w:space="0" w:color="auto"/>
            <w:left w:val="none" w:sz="0" w:space="0" w:color="auto"/>
            <w:bottom w:val="none" w:sz="0" w:space="0" w:color="auto"/>
            <w:right w:val="none" w:sz="0" w:space="0" w:color="auto"/>
          </w:divBdr>
        </w:div>
        <w:div w:id="701370668">
          <w:marLeft w:val="0"/>
          <w:marRight w:val="0"/>
          <w:marTop w:val="0"/>
          <w:marBottom w:val="0"/>
          <w:divBdr>
            <w:top w:val="none" w:sz="0" w:space="0" w:color="auto"/>
            <w:left w:val="none" w:sz="0" w:space="0" w:color="auto"/>
            <w:bottom w:val="none" w:sz="0" w:space="0" w:color="auto"/>
            <w:right w:val="none" w:sz="0" w:space="0" w:color="auto"/>
          </w:divBdr>
        </w:div>
        <w:div w:id="1613441736">
          <w:marLeft w:val="0"/>
          <w:marRight w:val="0"/>
          <w:marTop w:val="0"/>
          <w:marBottom w:val="0"/>
          <w:divBdr>
            <w:top w:val="none" w:sz="0" w:space="0" w:color="auto"/>
            <w:left w:val="none" w:sz="0" w:space="0" w:color="auto"/>
            <w:bottom w:val="none" w:sz="0" w:space="0" w:color="auto"/>
            <w:right w:val="none" w:sz="0" w:space="0" w:color="auto"/>
          </w:divBdr>
        </w:div>
        <w:div w:id="1122378985">
          <w:marLeft w:val="0"/>
          <w:marRight w:val="0"/>
          <w:marTop w:val="0"/>
          <w:marBottom w:val="0"/>
          <w:divBdr>
            <w:top w:val="none" w:sz="0" w:space="0" w:color="auto"/>
            <w:left w:val="none" w:sz="0" w:space="0" w:color="auto"/>
            <w:bottom w:val="none" w:sz="0" w:space="0" w:color="auto"/>
            <w:right w:val="none" w:sz="0" w:space="0" w:color="auto"/>
          </w:divBdr>
        </w:div>
        <w:div w:id="2135639162">
          <w:marLeft w:val="0"/>
          <w:marRight w:val="0"/>
          <w:marTop w:val="0"/>
          <w:marBottom w:val="0"/>
          <w:divBdr>
            <w:top w:val="none" w:sz="0" w:space="0" w:color="auto"/>
            <w:left w:val="none" w:sz="0" w:space="0" w:color="auto"/>
            <w:bottom w:val="none" w:sz="0" w:space="0" w:color="auto"/>
            <w:right w:val="none" w:sz="0" w:space="0" w:color="auto"/>
          </w:divBdr>
        </w:div>
        <w:div w:id="519391820">
          <w:marLeft w:val="0"/>
          <w:marRight w:val="0"/>
          <w:marTop w:val="0"/>
          <w:marBottom w:val="0"/>
          <w:divBdr>
            <w:top w:val="none" w:sz="0" w:space="0" w:color="auto"/>
            <w:left w:val="none" w:sz="0" w:space="0" w:color="auto"/>
            <w:bottom w:val="none" w:sz="0" w:space="0" w:color="auto"/>
            <w:right w:val="none" w:sz="0" w:space="0" w:color="auto"/>
          </w:divBdr>
        </w:div>
        <w:div w:id="1884948074">
          <w:marLeft w:val="0"/>
          <w:marRight w:val="0"/>
          <w:marTop w:val="0"/>
          <w:marBottom w:val="0"/>
          <w:divBdr>
            <w:top w:val="none" w:sz="0" w:space="0" w:color="auto"/>
            <w:left w:val="none" w:sz="0" w:space="0" w:color="auto"/>
            <w:bottom w:val="none" w:sz="0" w:space="0" w:color="auto"/>
            <w:right w:val="none" w:sz="0" w:space="0" w:color="auto"/>
          </w:divBdr>
        </w:div>
        <w:div w:id="2030989951">
          <w:marLeft w:val="0"/>
          <w:marRight w:val="0"/>
          <w:marTop w:val="0"/>
          <w:marBottom w:val="0"/>
          <w:divBdr>
            <w:top w:val="none" w:sz="0" w:space="0" w:color="auto"/>
            <w:left w:val="none" w:sz="0" w:space="0" w:color="auto"/>
            <w:bottom w:val="none" w:sz="0" w:space="0" w:color="auto"/>
            <w:right w:val="none" w:sz="0" w:space="0" w:color="auto"/>
          </w:divBdr>
        </w:div>
        <w:div w:id="604581731">
          <w:marLeft w:val="0"/>
          <w:marRight w:val="0"/>
          <w:marTop w:val="0"/>
          <w:marBottom w:val="0"/>
          <w:divBdr>
            <w:top w:val="none" w:sz="0" w:space="0" w:color="auto"/>
            <w:left w:val="none" w:sz="0" w:space="0" w:color="auto"/>
            <w:bottom w:val="none" w:sz="0" w:space="0" w:color="auto"/>
            <w:right w:val="none" w:sz="0" w:space="0" w:color="auto"/>
          </w:divBdr>
        </w:div>
        <w:div w:id="73094486">
          <w:marLeft w:val="0"/>
          <w:marRight w:val="0"/>
          <w:marTop w:val="0"/>
          <w:marBottom w:val="0"/>
          <w:divBdr>
            <w:top w:val="none" w:sz="0" w:space="0" w:color="auto"/>
            <w:left w:val="none" w:sz="0" w:space="0" w:color="auto"/>
            <w:bottom w:val="none" w:sz="0" w:space="0" w:color="auto"/>
            <w:right w:val="none" w:sz="0" w:space="0" w:color="auto"/>
          </w:divBdr>
        </w:div>
        <w:div w:id="1914928356">
          <w:marLeft w:val="0"/>
          <w:marRight w:val="0"/>
          <w:marTop w:val="0"/>
          <w:marBottom w:val="0"/>
          <w:divBdr>
            <w:top w:val="none" w:sz="0" w:space="0" w:color="auto"/>
            <w:left w:val="none" w:sz="0" w:space="0" w:color="auto"/>
            <w:bottom w:val="none" w:sz="0" w:space="0" w:color="auto"/>
            <w:right w:val="none" w:sz="0" w:space="0" w:color="auto"/>
          </w:divBdr>
        </w:div>
        <w:div w:id="1512909180">
          <w:marLeft w:val="0"/>
          <w:marRight w:val="0"/>
          <w:marTop w:val="0"/>
          <w:marBottom w:val="0"/>
          <w:divBdr>
            <w:top w:val="none" w:sz="0" w:space="0" w:color="auto"/>
            <w:left w:val="none" w:sz="0" w:space="0" w:color="auto"/>
            <w:bottom w:val="none" w:sz="0" w:space="0" w:color="auto"/>
            <w:right w:val="none" w:sz="0" w:space="0" w:color="auto"/>
          </w:divBdr>
        </w:div>
        <w:div w:id="511921104">
          <w:marLeft w:val="0"/>
          <w:marRight w:val="0"/>
          <w:marTop w:val="0"/>
          <w:marBottom w:val="0"/>
          <w:divBdr>
            <w:top w:val="none" w:sz="0" w:space="0" w:color="auto"/>
            <w:left w:val="none" w:sz="0" w:space="0" w:color="auto"/>
            <w:bottom w:val="none" w:sz="0" w:space="0" w:color="auto"/>
            <w:right w:val="none" w:sz="0" w:space="0" w:color="auto"/>
          </w:divBdr>
        </w:div>
        <w:div w:id="246574975">
          <w:marLeft w:val="0"/>
          <w:marRight w:val="0"/>
          <w:marTop w:val="0"/>
          <w:marBottom w:val="0"/>
          <w:divBdr>
            <w:top w:val="none" w:sz="0" w:space="0" w:color="auto"/>
            <w:left w:val="none" w:sz="0" w:space="0" w:color="auto"/>
            <w:bottom w:val="none" w:sz="0" w:space="0" w:color="auto"/>
            <w:right w:val="none" w:sz="0" w:space="0" w:color="auto"/>
          </w:divBdr>
        </w:div>
        <w:div w:id="317226999">
          <w:marLeft w:val="0"/>
          <w:marRight w:val="0"/>
          <w:marTop w:val="0"/>
          <w:marBottom w:val="0"/>
          <w:divBdr>
            <w:top w:val="none" w:sz="0" w:space="0" w:color="auto"/>
            <w:left w:val="none" w:sz="0" w:space="0" w:color="auto"/>
            <w:bottom w:val="none" w:sz="0" w:space="0" w:color="auto"/>
            <w:right w:val="none" w:sz="0" w:space="0" w:color="auto"/>
          </w:divBdr>
        </w:div>
        <w:div w:id="1555701641">
          <w:marLeft w:val="0"/>
          <w:marRight w:val="0"/>
          <w:marTop w:val="0"/>
          <w:marBottom w:val="0"/>
          <w:divBdr>
            <w:top w:val="none" w:sz="0" w:space="0" w:color="auto"/>
            <w:left w:val="none" w:sz="0" w:space="0" w:color="auto"/>
            <w:bottom w:val="none" w:sz="0" w:space="0" w:color="auto"/>
            <w:right w:val="none" w:sz="0" w:space="0" w:color="auto"/>
          </w:divBdr>
        </w:div>
        <w:div w:id="1233392518">
          <w:marLeft w:val="0"/>
          <w:marRight w:val="0"/>
          <w:marTop w:val="0"/>
          <w:marBottom w:val="0"/>
          <w:divBdr>
            <w:top w:val="none" w:sz="0" w:space="0" w:color="auto"/>
            <w:left w:val="none" w:sz="0" w:space="0" w:color="auto"/>
            <w:bottom w:val="none" w:sz="0" w:space="0" w:color="auto"/>
            <w:right w:val="none" w:sz="0" w:space="0" w:color="auto"/>
          </w:divBdr>
        </w:div>
        <w:div w:id="279648132">
          <w:marLeft w:val="0"/>
          <w:marRight w:val="0"/>
          <w:marTop w:val="0"/>
          <w:marBottom w:val="0"/>
          <w:divBdr>
            <w:top w:val="none" w:sz="0" w:space="0" w:color="auto"/>
            <w:left w:val="none" w:sz="0" w:space="0" w:color="auto"/>
            <w:bottom w:val="none" w:sz="0" w:space="0" w:color="auto"/>
            <w:right w:val="none" w:sz="0" w:space="0" w:color="auto"/>
          </w:divBdr>
        </w:div>
        <w:div w:id="1154293994">
          <w:marLeft w:val="0"/>
          <w:marRight w:val="0"/>
          <w:marTop w:val="0"/>
          <w:marBottom w:val="0"/>
          <w:divBdr>
            <w:top w:val="none" w:sz="0" w:space="0" w:color="auto"/>
            <w:left w:val="none" w:sz="0" w:space="0" w:color="auto"/>
            <w:bottom w:val="none" w:sz="0" w:space="0" w:color="auto"/>
            <w:right w:val="none" w:sz="0" w:space="0" w:color="auto"/>
          </w:divBdr>
        </w:div>
        <w:div w:id="866527332">
          <w:marLeft w:val="0"/>
          <w:marRight w:val="0"/>
          <w:marTop w:val="0"/>
          <w:marBottom w:val="0"/>
          <w:divBdr>
            <w:top w:val="none" w:sz="0" w:space="0" w:color="auto"/>
            <w:left w:val="none" w:sz="0" w:space="0" w:color="auto"/>
            <w:bottom w:val="none" w:sz="0" w:space="0" w:color="auto"/>
            <w:right w:val="none" w:sz="0" w:space="0" w:color="auto"/>
          </w:divBdr>
        </w:div>
        <w:div w:id="218440723">
          <w:marLeft w:val="0"/>
          <w:marRight w:val="0"/>
          <w:marTop w:val="0"/>
          <w:marBottom w:val="0"/>
          <w:divBdr>
            <w:top w:val="none" w:sz="0" w:space="0" w:color="auto"/>
            <w:left w:val="none" w:sz="0" w:space="0" w:color="auto"/>
            <w:bottom w:val="none" w:sz="0" w:space="0" w:color="auto"/>
            <w:right w:val="none" w:sz="0" w:space="0" w:color="auto"/>
          </w:divBdr>
        </w:div>
        <w:div w:id="2079209372">
          <w:marLeft w:val="0"/>
          <w:marRight w:val="0"/>
          <w:marTop w:val="0"/>
          <w:marBottom w:val="0"/>
          <w:divBdr>
            <w:top w:val="none" w:sz="0" w:space="0" w:color="auto"/>
            <w:left w:val="none" w:sz="0" w:space="0" w:color="auto"/>
            <w:bottom w:val="none" w:sz="0" w:space="0" w:color="auto"/>
            <w:right w:val="none" w:sz="0" w:space="0" w:color="auto"/>
          </w:divBdr>
        </w:div>
        <w:div w:id="1723213140">
          <w:marLeft w:val="0"/>
          <w:marRight w:val="0"/>
          <w:marTop w:val="0"/>
          <w:marBottom w:val="0"/>
          <w:divBdr>
            <w:top w:val="none" w:sz="0" w:space="0" w:color="auto"/>
            <w:left w:val="none" w:sz="0" w:space="0" w:color="auto"/>
            <w:bottom w:val="none" w:sz="0" w:space="0" w:color="auto"/>
            <w:right w:val="none" w:sz="0" w:space="0" w:color="auto"/>
          </w:divBdr>
        </w:div>
        <w:div w:id="599803933">
          <w:marLeft w:val="0"/>
          <w:marRight w:val="0"/>
          <w:marTop w:val="0"/>
          <w:marBottom w:val="0"/>
          <w:divBdr>
            <w:top w:val="none" w:sz="0" w:space="0" w:color="auto"/>
            <w:left w:val="none" w:sz="0" w:space="0" w:color="auto"/>
            <w:bottom w:val="none" w:sz="0" w:space="0" w:color="auto"/>
            <w:right w:val="none" w:sz="0" w:space="0" w:color="auto"/>
          </w:divBdr>
        </w:div>
        <w:div w:id="599678635">
          <w:marLeft w:val="0"/>
          <w:marRight w:val="0"/>
          <w:marTop w:val="0"/>
          <w:marBottom w:val="0"/>
          <w:divBdr>
            <w:top w:val="none" w:sz="0" w:space="0" w:color="auto"/>
            <w:left w:val="none" w:sz="0" w:space="0" w:color="auto"/>
            <w:bottom w:val="none" w:sz="0" w:space="0" w:color="auto"/>
            <w:right w:val="none" w:sz="0" w:space="0" w:color="auto"/>
          </w:divBdr>
        </w:div>
        <w:div w:id="1857425944">
          <w:marLeft w:val="0"/>
          <w:marRight w:val="0"/>
          <w:marTop w:val="0"/>
          <w:marBottom w:val="0"/>
          <w:divBdr>
            <w:top w:val="none" w:sz="0" w:space="0" w:color="auto"/>
            <w:left w:val="none" w:sz="0" w:space="0" w:color="auto"/>
            <w:bottom w:val="none" w:sz="0" w:space="0" w:color="auto"/>
            <w:right w:val="none" w:sz="0" w:space="0" w:color="auto"/>
          </w:divBdr>
        </w:div>
        <w:div w:id="979652546">
          <w:marLeft w:val="0"/>
          <w:marRight w:val="0"/>
          <w:marTop w:val="0"/>
          <w:marBottom w:val="0"/>
          <w:divBdr>
            <w:top w:val="none" w:sz="0" w:space="0" w:color="auto"/>
            <w:left w:val="none" w:sz="0" w:space="0" w:color="auto"/>
            <w:bottom w:val="none" w:sz="0" w:space="0" w:color="auto"/>
            <w:right w:val="none" w:sz="0" w:space="0" w:color="auto"/>
          </w:divBdr>
        </w:div>
        <w:div w:id="1537086231">
          <w:marLeft w:val="0"/>
          <w:marRight w:val="0"/>
          <w:marTop w:val="0"/>
          <w:marBottom w:val="0"/>
          <w:divBdr>
            <w:top w:val="none" w:sz="0" w:space="0" w:color="auto"/>
            <w:left w:val="none" w:sz="0" w:space="0" w:color="auto"/>
            <w:bottom w:val="none" w:sz="0" w:space="0" w:color="auto"/>
            <w:right w:val="none" w:sz="0" w:space="0" w:color="auto"/>
          </w:divBdr>
        </w:div>
        <w:div w:id="1473979743">
          <w:marLeft w:val="0"/>
          <w:marRight w:val="0"/>
          <w:marTop w:val="0"/>
          <w:marBottom w:val="0"/>
          <w:divBdr>
            <w:top w:val="none" w:sz="0" w:space="0" w:color="auto"/>
            <w:left w:val="none" w:sz="0" w:space="0" w:color="auto"/>
            <w:bottom w:val="none" w:sz="0" w:space="0" w:color="auto"/>
            <w:right w:val="none" w:sz="0" w:space="0" w:color="auto"/>
          </w:divBdr>
        </w:div>
        <w:div w:id="1264728500">
          <w:marLeft w:val="0"/>
          <w:marRight w:val="0"/>
          <w:marTop w:val="0"/>
          <w:marBottom w:val="0"/>
          <w:divBdr>
            <w:top w:val="none" w:sz="0" w:space="0" w:color="auto"/>
            <w:left w:val="none" w:sz="0" w:space="0" w:color="auto"/>
            <w:bottom w:val="none" w:sz="0" w:space="0" w:color="auto"/>
            <w:right w:val="none" w:sz="0" w:space="0" w:color="auto"/>
          </w:divBdr>
        </w:div>
        <w:div w:id="931203742">
          <w:marLeft w:val="0"/>
          <w:marRight w:val="0"/>
          <w:marTop w:val="0"/>
          <w:marBottom w:val="0"/>
          <w:divBdr>
            <w:top w:val="none" w:sz="0" w:space="0" w:color="auto"/>
            <w:left w:val="none" w:sz="0" w:space="0" w:color="auto"/>
            <w:bottom w:val="none" w:sz="0" w:space="0" w:color="auto"/>
            <w:right w:val="none" w:sz="0" w:space="0" w:color="auto"/>
          </w:divBdr>
        </w:div>
        <w:div w:id="1758208171">
          <w:marLeft w:val="0"/>
          <w:marRight w:val="0"/>
          <w:marTop w:val="0"/>
          <w:marBottom w:val="0"/>
          <w:divBdr>
            <w:top w:val="none" w:sz="0" w:space="0" w:color="auto"/>
            <w:left w:val="none" w:sz="0" w:space="0" w:color="auto"/>
            <w:bottom w:val="none" w:sz="0" w:space="0" w:color="auto"/>
            <w:right w:val="none" w:sz="0" w:space="0" w:color="auto"/>
          </w:divBdr>
        </w:div>
        <w:div w:id="1208756926">
          <w:marLeft w:val="0"/>
          <w:marRight w:val="0"/>
          <w:marTop w:val="0"/>
          <w:marBottom w:val="0"/>
          <w:divBdr>
            <w:top w:val="none" w:sz="0" w:space="0" w:color="auto"/>
            <w:left w:val="none" w:sz="0" w:space="0" w:color="auto"/>
            <w:bottom w:val="none" w:sz="0" w:space="0" w:color="auto"/>
            <w:right w:val="none" w:sz="0" w:space="0" w:color="auto"/>
          </w:divBdr>
        </w:div>
        <w:div w:id="1029797359">
          <w:marLeft w:val="0"/>
          <w:marRight w:val="0"/>
          <w:marTop w:val="0"/>
          <w:marBottom w:val="0"/>
          <w:divBdr>
            <w:top w:val="none" w:sz="0" w:space="0" w:color="auto"/>
            <w:left w:val="none" w:sz="0" w:space="0" w:color="auto"/>
            <w:bottom w:val="none" w:sz="0" w:space="0" w:color="auto"/>
            <w:right w:val="none" w:sz="0" w:space="0" w:color="auto"/>
          </w:divBdr>
        </w:div>
        <w:div w:id="178928945">
          <w:marLeft w:val="0"/>
          <w:marRight w:val="0"/>
          <w:marTop w:val="0"/>
          <w:marBottom w:val="0"/>
          <w:divBdr>
            <w:top w:val="none" w:sz="0" w:space="0" w:color="auto"/>
            <w:left w:val="none" w:sz="0" w:space="0" w:color="auto"/>
            <w:bottom w:val="none" w:sz="0" w:space="0" w:color="auto"/>
            <w:right w:val="none" w:sz="0" w:space="0" w:color="auto"/>
          </w:divBdr>
        </w:div>
        <w:div w:id="393704176">
          <w:marLeft w:val="0"/>
          <w:marRight w:val="0"/>
          <w:marTop w:val="0"/>
          <w:marBottom w:val="0"/>
          <w:divBdr>
            <w:top w:val="none" w:sz="0" w:space="0" w:color="auto"/>
            <w:left w:val="none" w:sz="0" w:space="0" w:color="auto"/>
            <w:bottom w:val="none" w:sz="0" w:space="0" w:color="auto"/>
            <w:right w:val="none" w:sz="0" w:space="0" w:color="auto"/>
          </w:divBdr>
        </w:div>
        <w:div w:id="1706057507">
          <w:marLeft w:val="0"/>
          <w:marRight w:val="0"/>
          <w:marTop w:val="0"/>
          <w:marBottom w:val="0"/>
          <w:divBdr>
            <w:top w:val="none" w:sz="0" w:space="0" w:color="auto"/>
            <w:left w:val="none" w:sz="0" w:space="0" w:color="auto"/>
            <w:bottom w:val="none" w:sz="0" w:space="0" w:color="auto"/>
            <w:right w:val="none" w:sz="0" w:space="0" w:color="auto"/>
          </w:divBdr>
        </w:div>
        <w:div w:id="1524590746">
          <w:marLeft w:val="0"/>
          <w:marRight w:val="0"/>
          <w:marTop w:val="0"/>
          <w:marBottom w:val="0"/>
          <w:divBdr>
            <w:top w:val="none" w:sz="0" w:space="0" w:color="auto"/>
            <w:left w:val="none" w:sz="0" w:space="0" w:color="auto"/>
            <w:bottom w:val="none" w:sz="0" w:space="0" w:color="auto"/>
            <w:right w:val="none" w:sz="0" w:space="0" w:color="auto"/>
          </w:divBdr>
        </w:div>
        <w:div w:id="1939630822">
          <w:marLeft w:val="0"/>
          <w:marRight w:val="0"/>
          <w:marTop w:val="0"/>
          <w:marBottom w:val="0"/>
          <w:divBdr>
            <w:top w:val="none" w:sz="0" w:space="0" w:color="auto"/>
            <w:left w:val="none" w:sz="0" w:space="0" w:color="auto"/>
            <w:bottom w:val="none" w:sz="0" w:space="0" w:color="auto"/>
            <w:right w:val="none" w:sz="0" w:space="0" w:color="auto"/>
          </w:divBdr>
        </w:div>
        <w:div w:id="582682885">
          <w:marLeft w:val="0"/>
          <w:marRight w:val="0"/>
          <w:marTop w:val="0"/>
          <w:marBottom w:val="0"/>
          <w:divBdr>
            <w:top w:val="none" w:sz="0" w:space="0" w:color="auto"/>
            <w:left w:val="none" w:sz="0" w:space="0" w:color="auto"/>
            <w:bottom w:val="none" w:sz="0" w:space="0" w:color="auto"/>
            <w:right w:val="none" w:sz="0" w:space="0" w:color="auto"/>
          </w:divBdr>
        </w:div>
        <w:div w:id="233928717">
          <w:marLeft w:val="0"/>
          <w:marRight w:val="0"/>
          <w:marTop w:val="0"/>
          <w:marBottom w:val="0"/>
          <w:divBdr>
            <w:top w:val="none" w:sz="0" w:space="0" w:color="auto"/>
            <w:left w:val="none" w:sz="0" w:space="0" w:color="auto"/>
            <w:bottom w:val="none" w:sz="0" w:space="0" w:color="auto"/>
            <w:right w:val="none" w:sz="0" w:space="0" w:color="auto"/>
          </w:divBdr>
        </w:div>
        <w:div w:id="1142230243">
          <w:marLeft w:val="0"/>
          <w:marRight w:val="0"/>
          <w:marTop w:val="0"/>
          <w:marBottom w:val="0"/>
          <w:divBdr>
            <w:top w:val="none" w:sz="0" w:space="0" w:color="auto"/>
            <w:left w:val="none" w:sz="0" w:space="0" w:color="auto"/>
            <w:bottom w:val="none" w:sz="0" w:space="0" w:color="auto"/>
            <w:right w:val="none" w:sz="0" w:space="0" w:color="auto"/>
          </w:divBdr>
        </w:div>
        <w:div w:id="1526291012">
          <w:marLeft w:val="0"/>
          <w:marRight w:val="0"/>
          <w:marTop w:val="0"/>
          <w:marBottom w:val="0"/>
          <w:divBdr>
            <w:top w:val="none" w:sz="0" w:space="0" w:color="auto"/>
            <w:left w:val="none" w:sz="0" w:space="0" w:color="auto"/>
            <w:bottom w:val="none" w:sz="0" w:space="0" w:color="auto"/>
            <w:right w:val="none" w:sz="0" w:space="0" w:color="auto"/>
          </w:divBdr>
        </w:div>
        <w:div w:id="136917518">
          <w:marLeft w:val="0"/>
          <w:marRight w:val="0"/>
          <w:marTop w:val="0"/>
          <w:marBottom w:val="0"/>
          <w:divBdr>
            <w:top w:val="none" w:sz="0" w:space="0" w:color="auto"/>
            <w:left w:val="none" w:sz="0" w:space="0" w:color="auto"/>
            <w:bottom w:val="none" w:sz="0" w:space="0" w:color="auto"/>
            <w:right w:val="none" w:sz="0" w:space="0" w:color="auto"/>
          </w:divBdr>
        </w:div>
        <w:div w:id="1567446821">
          <w:marLeft w:val="0"/>
          <w:marRight w:val="0"/>
          <w:marTop w:val="0"/>
          <w:marBottom w:val="0"/>
          <w:divBdr>
            <w:top w:val="none" w:sz="0" w:space="0" w:color="auto"/>
            <w:left w:val="none" w:sz="0" w:space="0" w:color="auto"/>
            <w:bottom w:val="none" w:sz="0" w:space="0" w:color="auto"/>
            <w:right w:val="none" w:sz="0" w:space="0" w:color="auto"/>
          </w:divBdr>
        </w:div>
        <w:div w:id="1125737215">
          <w:marLeft w:val="0"/>
          <w:marRight w:val="0"/>
          <w:marTop w:val="0"/>
          <w:marBottom w:val="0"/>
          <w:divBdr>
            <w:top w:val="none" w:sz="0" w:space="0" w:color="auto"/>
            <w:left w:val="none" w:sz="0" w:space="0" w:color="auto"/>
            <w:bottom w:val="none" w:sz="0" w:space="0" w:color="auto"/>
            <w:right w:val="none" w:sz="0" w:space="0" w:color="auto"/>
          </w:divBdr>
        </w:div>
        <w:div w:id="2038577102">
          <w:marLeft w:val="0"/>
          <w:marRight w:val="0"/>
          <w:marTop w:val="0"/>
          <w:marBottom w:val="0"/>
          <w:divBdr>
            <w:top w:val="none" w:sz="0" w:space="0" w:color="auto"/>
            <w:left w:val="none" w:sz="0" w:space="0" w:color="auto"/>
            <w:bottom w:val="none" w:sz="0" w:space="0" w:color="auto"/>
            <w:right w:val="none" w:sz="0" w:space="0" w:color="auto"/>
          </w:divBdr>
        </w:div>
        <w:div w:id="2065912831">
          <w:marLeft w:val="0"/>
          <w:marRight w:val="0"/>
          <w:marTop w:val="0"/>
          <w:marBottom w:val="0"/>
          <w:divBdr>
            <w:top w:val="none" w:sz="0" w:space="0" w:color="auto"/>
            <w:left w:val="none" w:sz="0" w:space="0" w:color="auto"/>
            <w:bottom w:val="none" w:sz="0" w:space="0" w:color="auto"/>
            <w:right w:val="none" w:sz="0" w:space="0" w:color="auto"/>
          </w:divBdr>
        </w:div>
        <w:div w:id="125510465">
          <w:marLeft w:val="0"/>
          <w:marRight w:val="0"/>
          <w:marTop w:val="0"/>
          <w:marBottom w:val="0"/>
          <w:divBdr>
            <w:top w:val="none" w:sz="0" w:space="0" w:color="auto"/>
            <w:left w:val="none" w:sz="0" w:space="0" w:color="auto"/>
            <w:bottom w:val="none" w:sz="0" w:space="0" w:color="auto"/>
            <w:right w:val="none" w:sz="0" w:space="0" w:color="auto"/>
          </w:divBdr>
        </w:div>
        <w:div w:id="337007091">
          <w:marLeft w:val="0"/>
          <w:marRight w:val="0"/>
          <w:marTop w:val="0"/>
          <w:marBottom w:val="0"/>
          <w:divBdr>
            <w:top w:val="none" w:sz="0" w:space="0" w:color="auto"/>
            <w:left w:val="none" w:sz="0" w:space="0" w:color="auto"/>
            <w:bottom w:val="none" w:sz="0" w:space="0" w:color="auto"/>
            <w:right w:val="none" w:sz="0" w:space="0" w:color="auto"/>
          </w:divBdr>
        </w:div>
        <w:div w:id="2101943823">
          <w:marLeft w:val="0"/>
          <w:marRight w:val="0"/>
          <w:marTop w:val="0"/>
          <w:marBottom w:val="0"/>
          <w:divBdr>
            <w:top w:val="none" w:sz="0" w:space="0" w:color="auto"/>
            <w:left w:val="none" w:sz="0" w:space="0" w:color="auto"/>
            <w:bottom w:val="none" w:sz="0" w:space="0" w:color="auto"/>
            <w:right w:val="none" w:sz="0" w:space="0" w:color="auto"/>
          </w:divBdr>
        </w:div>
        <w:div w:id="650596951">
          <w:marLeft w:val="0"/>
          <w:marRight w:val="0"/>
          <w:marTop w:val="0"/>
          <w:marBottom w:val="0"/>
          <w:divBdr>
            <w:top w:val="none" w:sz="0" w:space="0" w:color="auto"/>
            <w:left w:val="none" w:sz="0" w:space="0" w:color="auto"/>
            <w:bottom w:val="none" w:sz="0" w:space="0" w:color="auto"/>
            <w:right w:val="none" w:sz="0" w:space="0" w:color="auto"/>
          </w:divBdr>
        </w:div>
        <w:div w:id="1700352324">
          <w:marLeft w:val="0"/>
          <w:marRight w:val="0"/>
          <w:marTop w:val="0"/>
          <w:marBottom w:val="0"/>
          <w:divBdr>
            <w:top w:val="none" w:sz="0" w:space="0" w:color="auto"/>
            <w:left w:val="none" w:sz="0" w:space="0" w:color="auto"/>
            <w:bottom w:val="none" w:sz="0" w:space="0" w:color="auto"/>
            <w:right w:val="none" w:sz="0" w:space="0" w:color="auto"/>
          </w:divBdr>
        </w:div>
        <w:div w:id="823736289">
          <w:marLeft w:val="0"/>
          <w:marRight w:val="0"/>
          <w:marTop w:val="0"/>
          <w:marBottom w:val="0"/>
          <w:divBdr>
            <w:top w:val="none" w:sz="0" w:space="0" w:color="auto"/>
            <w:left w:val="none" w:sz="0" w:space="0" w:color="auto"/>
            <w:bottom w:val="none" w:sz="0" w:space="0" w:color="auto"/>
            <w:right w:val="none" w:sz="0" w:space="0" w:color="auto"/>
          </w:divBdr>
        </w:div>
        <w:div w:id="1182937910">
          <w:marLeft w:val="0"/>
          <w:marRight w:val="0"/>
          <w:marTop w:val="0"/>
          <w:marBottom w:val="0"/>
          <w:divBdr>
            <w:top w:val="none" w:sz="0" w:space="0" w:color="auto"/>
            <w:left w:val="none" w:sz="0" w:space="0" w:color="auto"/>
            <w:bottom w:val="none" w:sz="0" w:space="0" w:color="auto"/>
            <w:right w:val="none" w:sz="0" w:space="0" w:color="auto"/>
          </w:divBdr>
        </w:div>
        <w:div w:id="649945674">
          <w:marLeft w:val="0"/>
          <w:marRight w:val="0"/>
          <w:marTop w:val="0"/>
          <w:marBottom w:val="0"/>
          <w:divBdr>
            <w:top w:val="none" w:sz="0" w:space="0" w:color="auto"/>
            <w:left w:val="none" w:sz="0" w:space="0" w:color="auto"/>
            <w:bottom w:val="none" w:sz="0" w:space="0" w:color="auto"/>
            <w:right w:val="none" w:sz="0" w:space="0" w:color="auto"/>
          </w:divBdr>
        </w:div>
        <w:div w:id="1628194132">
          <w:marLeft w:val="0"/>
          <w:marRight w:val="0"/>
          <w:marTop w:val="0"/>
          <w:marBottom w:val="0"/>
          <w:divBdr>
            <w:top w:val="none" w:sz="0" w:space="0" w:color="auto"/>
            <w:left w:val="none" w:sz="0" w:space="0" w:color="auto"/>
            <w:bottom w:val="none" w:sz="0" w:space="0" w:color="auto"/>
            <w:right w:val="none" w:sz="0" w:space="0" w:color="auto"/>
          </w:divBdr>
        </w:div>
        <w:div w:id="1359502465">
          <w:marLeft w:val="0"/>
          <w:marRight w:val="0"/>
          <w:marTop w:val="0"/>
          <w:marBottom w:val="0"/>
          <w:divBdr>
            <w:top w:val="none" w:sz="0" w:space="0" w:color="auto"/>
            <w:left w:val="none" w:sz="0" w:space="0" w:color="auto"/>
            <w:bottom w:val="none" w:sz="0" w:space="0" w:color="auto"/>
            <w:right w:val="none" w:sz="0" w:space="0" w:color="auto"/>
          </w:divBdr>
        </w:div>
        <w:div w:id="1376614338">
          <w:marLeft w:val="0"/>
          <w:marRight w:val="0"/>
          <w:marTop w:val="0"/>
          <w:marBottom w:val="0"/>
          <w:divBdr>
            <w:top w:val="none" w:sz="0" w:space="0" w:color="auto"/>
            <w:left w:val="none" w:sz="0" w:space="0" w:color="auto"/>
            <w:bottom w:val="none" w:sz="0" w:space="0" w:color="auto"/>
            <w:right w:val="none" w:sz="0" w:space="0" w:color="auto"/>
          </w:divBdr>
        </w:div>
        <w:div w:id="1793552863">
          <w:marLeft w:val="0"/>
          <w:marRight w:val="0"/>
          <w:marTop w:val="0"/>
          <w:marBottom w:val="0"/>
          <w:divBdr>
            <w:top w:val="none" w:sz="0" w:space="0" w:color="auto"/>
            <w:left w:val="none" w:sz="0" w:space="0" w:color="auto"/>
            <w:bottom w:val="none" w:sz="0" w:space="0" w:color="auto"/>
            <w:right w:val="none" w:sz="0" w:space="0" w:color="auto"/>
          </w:divBdr>
        </w:div>
        <w:div w:id="472909177">
          <w:marLeft w:val="0"/>
          <w:marRight w:val="0"/>
          <w:marTop w:val="0"/>
          <w:marBottom w:val="0"/>
          <w:divBdr>
            <w:top w:val="none" w:sz="0" w:space="0" w:color="auto"/>
            <w:left w:val="none" w:sz="0" w:space="0" w:color="auto"/>
            <w:bottom w:val="none" w:sz="0" w:space="0" w:color="auto"/>
            <w:right w:val="none" w:sz="0" w:space="0" w:color="auto"/>
          </w:divBdr>
        </w:div>
        <w:div w:id="2127574618">
          <w:marLeft w:val="0"/>
          <w:marRight w:val="0"/>
          <w:marTop w:val="0"/>
          <w:marBottom w:val="0"/>
          <w:divBdr>
            <w:top w:val="none" w:sz="0" w:space="0" w:color="auto"/>
            <w:left w:val="none" w:sz="0" w:space="0" w:color="auto"/>
            <w:bottom w:val="none" w:sz="0" w:space="0" w:color="auto"/>
            <w:right w:val="none" w:sz="0" w:space="0" w:color="auto"/>
          </w:divBdr>
        </w:div>
        <w:div w:id="568197879">
          <w:marLeft w:val="0"/>
          <w:marRight w:val="0"/>
          <w:marTop w:val="0"/>
          <w:marBottom w:val="0"/>
          <w:divBdr>
            <w:top w:val="none" w:sz="0" w:space="0" w:color="auto"/>
            <w:left w:val="none" w:sz="0" w:space="0" w:color="auto"/>
            <w:bottom w:val="none" w:sz="0" w:space="0" w:color="auto"/>
            <w:right w:val="none" w:sz="0" w:space="0" w:color="auto"/>
          </w:divBdr>
        </w:div>
        <w:div w:id="1316643742">
          <w:marLeft w:val="0"/>
          <w:marRight w:val="0"/>
          <w:marTop w:val="0"/>
          <w:marBottom w:val="0"/>
          <w:divBdr>
            <w:top w:val="none" w:sz="0" w:space="0" w:color="auto"/>
            <w:left w:val="none" w:sz="0" w:space="0" w:color="auto"/>
            <w:bottom w:val="none" w:sz="0" w:space="0" w:color="auto"/>
            <w:right w:val="none" w:sz="0" w:space="0" w:color="auto"/>
          </w:divBdr>
        </w:div>
        <w:div w:id="992294740">
          <w:marLeft w:val="0"/>
          <w:marRight w:val="0"/>
          <w:marTop w:val="0"/>
          <w:marBottom w:val="0"/>
          <w:divBdr>
            <w:top w:val="none" w:sz="0" w:space="0" w:color="auto"/>
            <w:left w:val="none" w:sz="0" w:space="0" w:color="auto"/>
            <w:bottom w:val="none" w:sz="0" w:space="0" w:color="auto"/>
            <w:right w:val="none" w:sz="0" w:space="0" w:color="auto"/>
          </w:divBdr>
        </w:div>
        <w:div w:id="433937670">
          <w:marLeft w:val="0"/>
          <w:marRight w:val="0"/>
          <w:marTop w:val="0"/>
          <w:marBottom w:val="0"/>
          <w:divBdr>
            <w:top w:val="none" w:sz="0" w:space="0" w:color="auto"/>
            <w:left w:val="none" w:sz="0" w:space="0" w:color="auto"/>
            <w:bottom w:val="none" w:sz="0" w:space="0" w:color="auto"/>
            <w:right w:val="none" w:sz="0" w:space="0" w:color="auto"/>
          </w:divBdr>
        </w:div>
        <w:div w:id="1337148063">
          <w:marLeft w:val="0"/>
          <w:marRight w:val="0"/>
          <w:marTop w:val="0"/>
          <w:marBottom w:val="0"/>
          <w:divBdr>
            <w:top w:val="none" w:sz="0" w:space="0" w:color="auto"/>
            <w:left w:val="none" w:sz="0" w:space="0" w:color="auto"/>
            <w:bottom w:val="none" w:sz="0" w:space="0" w:color="auto"/>
            <w:right w:val="none" w:sz="0" w:space="0" w:color="auto"/>
          </w:divBdr>
        </w:div>
        <w:div w:id="1050762138">
          <w:marLeft w:val="0"/>
          <w:marRight w:val="0"/>
          <w:marTop w:val="0"/>
          <w:marBottom w:val="0"/>
          <w:divBdr>
            <w:top w:val="none" w:sz="0" w:space="0" w:color="auto"/>
            <w:left w:val="none" w:sz="0" w:space="0" w:color="auto"/>
            <w:bottom w:val="none" w:sz="0" w:space="0" w:color="auto"/>
            <w:right w:val="none" w:sz="0" w:space="0" w:color="auto"/>
          </w:divBdr>
        </w:div>
        <w:div w:id="1014110199">
          <w:marLeft w:val="0"/>
          <w:marRight w:val="0"/>
          <w:marTop w:val="0"/>
          <w:marBottom w:val="0"/>
          <w:divBdr>
            <w:top w:val="none" w:sz="0" w:space="0" w:color="auto"/>
            <w:left w:val="none" w:sz="0" w:space="0" w:color="auto"/>
            <w:bottom w:val="none" w:sz="0" w:space="0" w:color="auto"/>
            <w:right w:val="none" w:sz="0" w:space="0" w:color="auto"/>
          </w:divBdr>
        </w:div>
        <w:div w:id="1782988313">
          <w:marLeft w:val="0"/>
          <w:marRight w:val="0"/>
          <w:marTop w:val="0"/>
          <w:marBottom w:val="0"/>
          <w:divBdr>
            <w:top w:val="none" w:sz="0" w:space="0" w:color="auto"/>
            <w:left w:val="none" w:sz="0" w:space="0" w:color="auto"/>
            <w:bottom w:val="none" w:sz="0" w:space="0" w:color="auto"/>
            <w:right w:val="none" w:sz="0" w:space="0" w:color="auto"/>
          </w:divBdr>
        </w:div>
        <w:div w:id="1588228507">
          <w:marLeft w:val="0"/>
          <w:marRight w:val="0"/>
          <w:marTop w:val="0"/>
          <w:marBottom w:val="0"/>
          <w:divBdr>
            <w:top w:val="none" w:sz="0" w:space="0" w:color="auto"/>
            <w:left w:val="none" w:sz="0" w:space="0" w:color="auto"/>
            <w:bottom w:val="none" w:sz="0" w:space="0" w:color="auto"/>
            <w:right w:val="none" w:sz="0" w:space="0" w:color="auto"/>
          </w:divBdr>
        </w:div>
        <w:div w:id="2050256320">
          <w:marLeft w:val="0"/>
          <w:marRight w:val="0"/>
          <w:marTop w:val="0"/>
          <w:marBottom w:val="0"/>
          <w:divBdr>
            <w:top w:val="none" w:sz="0" w:space="0" w:color="auto"/>
            <w:left w:val="none" w:sz="0" w:space="0" w:color="auto"/>
            <w:bottom w:val="none" w:sz="0" w:space="0" w:color="auto"/>
            <w:right w:val="none" w:sz="0" w:space="0" w:color="auto"/>
          </w:divBdr>
        </w:div>
        <w:div w:id="2022051359">
          <w:marLeft w:val="0"/>
          <w:marRight w:val="0"/>
          <w:marTop w:val="0"/>
          <w:marBottom w:val="0"/>
          <w:divBdr>
            <w:top w:val="none" w:sz="0" w:space="0" w:color="auto"/>
            <w:left w:val="none" w:sz="0" w:space="0" w:color="auto"/>
            <w:bottom w:val="none" w:sz="0" w:space="0" w:color="auto"/>
            <w:right w:val="none" w:sz="0" w:space="0" w:color="auto"/>
          </w:divBdr>
        </w:div>
        <w:div w:id="1510287885">
          <w:marLeft w:val="0"/>
          <w:marRight w:val="0"/>
          <w:marTop w:val="0"/>
          <w:marBottom w:val="0"/>
          <w:divBdr>
            <w:top w:val="none" w:sz="0" w:space="0" w:color="auto"/>
            <w:left w:val="none" w:sz="0" w:space="0" w:color="auto"/>
            <w:bottom w:val="none" w:sz="0" w:space="0" w:color="auto"/>
            <w:right w:val="none" w:sz="0" w:space="0" w:color="auto"/>
          </w:divBdr>
        </w:div>
        <w:div w:id="1068267122">
          <w:marLeft w:val="0"/>
          <w:marRight w:val="0"/>
          <w:marTop w:val="0"/>
          <w:marBottom w:val="0"/>
          <w:divBdr>
            <w:top w:val="none" w:sz="0" w:space="0" w:color="auto"/>
            <w:left w:val="none" w:sz="0" w:space="0" w:color="auto"/>
            <w:bottom w:val="none" w:sz="0" w:space="0" w:color="auto"/>
            <w:right w:val="none" w:sz="0" w:space="0" w:color="auto"/>
          </w:divBdr>
        </w:div>
        <w:div w:id="834759548">
          <w:marLeft w:val="0"/>
          <w:marRight w:val="0"/>
          <w:marTop w:val="0"/>
          <w:marBottom w:val="0"/>
          <w:divBdr>
            <w:top w:val="none" w:sz="0" w:space="0" w:color="auto"/>
            <w:left w:val="none" w:sz="0" w:space="0" w:color="auto"/>
            <w:bottom w:val="none" w:sz="0" w:space="0" w:color="auto"/>
            <w:right w:val="none" w:sz="0" w:space="0" w:color="auto"/>
          </w:divBdr>
        </w:div>
        <w:div w:id="685905087">
          <w:marLeft w:val="0"/>
          <w:marRight w:val="0"/>
          <w:marTop w:val="0"/>
          <w:marBottom w:val="0"/>
          <w:divBdr>
            <w:top w:val="none" w:sz="0" w:space="0" w:color="auto"/>
            <w:left w:val="none" w:sz="0" w:space="0" w:color="auto"/>
            <w:bottom w:val="none" w:sz="0" w:space="0" w:color="auto"/>
            <w:right w:val="none" w:sz="0" w:space="0" w:color="auto"/>
          </w:divBdr>
        </w:div>
        <w:div w:id="1677997794">
          <w:marLeft w:val="0"/>
          <w:marRight w:val="0"/>
          <w:marTop w:val="0"/>
          <w:marBottom w:val="0"/>
          <w:divBdr>
            <w:top w:val="none" w:sz="0" w:space="0" w:color="auto"/>
            <w:left w:val="none" w:sz="0" w:space="0" w:color="auto"/>
            <w:bottom w:val="none" w:sz="0" w:space="0" w:color="auto"/>
            <w:right w:val="none" w:sz="0" w:space="0" w:color="auto"/>
          </w:divBdr>
        </w:div>
        <w:div w:id="249125892">
          <w:marLeft w:val="0"/>
          <w:marRight w:val="0"/>
          <w:marTop w:val="0"/>
          <w:marBottom w:val="0"/>
          <w:divBdr>
            <w:top w:val="none" w:sz="0" w:space="0" w:color="auto"/>
            <w:left w:val="none" w:sz="0" w:space="0" w:color="auto"/>
            <w:bottom w:val="none" w:sz="0" w:space="0" w:color="auto"/>
            <w:right w:val="none" w:sz="0" w:space="0" w:color="auto"/>
          </w:divBdr>
        </w:div>
        <w:div w:id="376929678">
          <w:marLeft w:val="0"/>
          <w:marRight w:val="0"/>
          <w:marTop w:val="0"/>
          <w:marBottom w:val="0"/>
          <w:divBdr>
            <w:top w:val="none" w:sz="0" w:space="0" w:color="auto"/>
            <w:left w:val="none" w:sz="0" w:space="0" w:color="auto"/>
            <w:bottom w:val="none" w:sz="0" w:space="0" w:color="auto"/>
            <w:right w:val="none" w:sz="0" w:space="0" w:color="auto"/>
          </w:divBdr>
        </w:div>
        <w:div w:id="1821463668">
          <w:marLeft w:val="0"/>
          <w:marRight w:val="0"/>
          <w:marTop w:val="0"/>
          <w:marBottom w:val="0"/>
          <w:divBdr>
            <w:top w:val="none" w:sz="0" w:space="0" w:color="auto"/>
            <w:left w:val="none" w:sz="0" w:space="0" w:color="auto"/>
            <w:bottom w:val="none" w:sz="0" w:space="0" w:color="auto"/>
            <w:right w:val="none" w:sz="0" w:space="0" w:color="auto"/>
          </w:divBdr>
        </w:div>
        <w:div w:id="242182416">
          <w:marLeft w:val="0"/>
          <w:marRight w:val="0"/>
          <w:marTop w:val="0"/>
          <w:marBottom w:val="0"/>
          <w:divBdr>
            <w:top w:val="none" w:sz="0" w:space="0" w:color="auto"/>
            <w:left w:val="none" w:sz="0" w:space="0" w:color="auto"/>
            <w:bottom w:val="none" w:sz="0" w:space="0" w:color="auto"/>
            <w:right w:val="none" w:sz="0" w:space="0" w:color="auto"/>
          </w:divBdr>
        </w:div>
        <w:div w:id="643586158">
          <w:marLeft w:val="0"/>
          <w:marRight w:val="0"/>
          <w:marTop w:val="0"/>
          <w:marBottom w:val="0"/>
          <w:divBdr>
            <w:top w:val="none" w:sz="0" w:space="0" w:color="auto"/>
            <w:left w:val="none" w:sz="0" w:space="0" w:color="auto"/>
            <w:bottom w:val="none" w:sz="0" w:space="0" w:color="auto"/>
            <w:right w:val="none" w:sz="0" w:space="0" w:color="auto"/>
          </w:divBdr>
        </w:div>
        <w:div w:id="222067441">
          <w:marLeft w:val="0"/>
          <w:marRight w:val="0"/>
          <w:marTop w:val="0"/>
          <w:marBottom w:val="0"/>
          <w:divBdr>
            <w:top w:val="none" w:sz="0" w:space="0" w:color="auto"/>
            <w:left w:val="none" w:sz="0" w:space="0" w:color="auto"/>
            <w:bottom w:val="none" w:sz="0" w:space="0" w:color="auto"/>
            <w:right w:val="none" w:sz="0" w:space="0" w:color="auto"/>
          </w:divBdr>
        </w:div>
        <w:div w:id="236983302">
          <w:marLeft w:val="0"/>
          <w:marRight w:val="0"/>
          <w:marTop w:val="0"/>
          <w:marBottom w:val="0"/>
          <w:divBdr>
            <w:top w:val="none" w:sz="0" w:space="0" w:color="auto"/>
            <w:left w:val="none" w:sz="0" w:space="0" w:color="auto"/>
            <w:bottom w:val="none" w:sz="0" w:space="0" w:color="auto"/>
            <w:right w:val="none" w:sz="0" w:space="0" w:color="auto"/>
          </w:divBdr>
        </w:div>
        <w:div w:id="817184372">
          <w:marLeft w:val="0"/>
          <w:marRight w:val="0"/>
          <w:marTop w:val="0"/>
          <w:marBottom w:val="0"/>
          <w:divBdr>
            <w:top w:val="none" w:sz="0" w:space="0" w:color="auto"/>
            <w:left w:val="none" w:sz="0" w:space="0" w:color="auto"/>
            <w:bottom w:val="none" w:sz="0" w:space="0" w:color="auto"/>
            <w:right w:val="none" w:sz="0" w:space="0" w:color="auto"/>
          </w:divBdr>
        </w:div>
        <w:div w:id="42758623">
          <w:marLeft w:val="0"/>
          <w:marRight w:val="0"/>
          <w:marTop w:val="0"/>
          <w:marBottom w:val="0"/>
          <w:divBdr>
            <w:top w:val="none" w:sz="0" w:space="0" w:color="auto"/>
            <w:left w:val="none" w:sz="0" w:space="0" w:color="auto"/>
            <w:bottom w:val="none" w:sz="0" w:space="0" w:color="auto"/>
            <w:right w:val="none" w:sz="0" w:space="0" w:color="auto"/>
          </w:divBdr>
        </w:div>
        <w:div w:id="641037590">
          <w:marLeft w:val="0"/>
          <w:marRight w:val="0"/>
          <w:marTop w:val="0"/>
          <w:marBottom w:val="0"/>
          <w:divBdr>
            <w:top w:val="none" w:sz="0" w:space="0" w:color="auto"/>
            <w:left w:val="none" w:sz="0" w:space="0" w:color="auto"/>
            <w:bottom w:val="none" w:sz="0" w:space="0" w:color="auto"/>
            <w:right w:val="none" w:sz="0" w:space="0" w:color="auto"/>
          </w:divBdr>
        </w:div>
        <w:div w:id="93600464">
          <w:marLeft w:val="0"/>
          <w:marRight w:val="0"/>
          <w:marTop w:val="0"/>
          <w:marBottom w:val="0"/>
          <w:divBdr>
            <w:top w:val="none" w:sz="0" w:space="0" w:color="auto"/>
            <w:left w:val="none" w:sz="0" w:space="0" w:color="auto"/>
            <w:bottom w:val="none" w:sz="0" w:space="0" w:color="auto"/>
            <w:right w:val="none" w:sz="0" w:space="0" w:color="auto"/>
          </w:divBdr>
        </w:div>
        <w:div w:id="1167020816">
          <w:marLeft w:val="0"/>
          <w:marRight w:val="0"/>
          <w:marTop w:val="0"/>
          <w:marBottom w:val="0"/>
          <w:divBdr>
            <w:top w:val="none" w:sz="0" w:space="0" w:color="auto"/>
            <w:left w:val="none" w:sz="0" w:space="0" w:color="auto"/>
            <w:bottom w:val="none" w:sz="0" w:space="0" w:color="auto"/>
            <w:right w:val="none" w:sz="0" w:space="0" w:color="auto"/>
          </w:divBdr>
        </w:div>
        <w:div w:id="1039277130">
          <w:marLeft w:val="0"/>
          <w:marRight w:val="0"/>
          <w:marTop w:val="0"/>
          <w:marBottom w:val="0"/>
          <w:divBdr>
            <w:top w:val="none" w:sz="0" w:space="0" w:color="auto"/>
            <w:left w:val="none" w:sz="0" w:space="0" w:color="auto"/>
            <w:bottom w:val="none" w:sz="0" w:space="0" w:color="auto"/>
            <w:right w:val="none" w:sz="0" w:space="0" w:color="auto"/>
          </w:divBdr>
        </w:div>
        <w:div w:id="1268271837">
          <w:marLeft w:val="0"/>
          <w:marRight w:val="0"/>
          <w:marTop w:val="0"/>
          <w:marBottom w:val="0"/>
          <w:divBdr>
            <w:top w:val="none" w:sz="0" w:space="0" w:color="auto"/>
            <w:left w:val="none" w:sz="0" w:space="0" w:color="auto"/>
            <w:bottom w:val="none" w:sz="0" w:space="0" w:color="auto"/>
            <w:right w:val="none" w:sz="0" w:space="0" w:color="auto"/>
          </w:divBdr>
        </w:div>
        <w:div w:id="403576526">
          <w:marLeft w:val="0"/>
          <w:marRight w:val="0"/>
          <w:marTop w:val="0"/>
          <w:marBottom w:val="0"/>
          <w:divBdr>
            <w:top w:val="none" w:sz="0" w:space="0" w:color="auto"/>
            <w:left w:val="none" w:sz="0" w:space="0" w:color="auto"/>
            <w:bottom w:val="none" w:sz="0" w:space="0" w:color="auto"/>
            <w:right w:val="none" w:sz="0" w:space="0" w:color="auto"/>
          </w:divBdr>
        </w:div>
        <w:div w:id="1949697511">
          <w:marLeft w:val="0"/>
          <w:marRight w:val="0"/>
          <w:marTop w:val="0"/>
          <w:marBottom w:val="0"/>
          <w:divBdr>
            <w:top w:val="none" w:sz="0" w:space="0" w:color="auto"/>
            <w:left w:val="none" w:sz="0" w:space="0" w:color="auto"/>
            <w:bottom w:val="none" w:sz="0" w:space="0" w:color="auto"/>
            <w:right w:val="none" w:sz="0" w:space="0" w:color="auto"/>
          </w:divBdr>
        </w:div>
        <w:div w:id="22022389">
          <w:marLeft w:val="0"/>
          <w:marRight w:val="0"/>
          <w:marTop w:val="0"/>
          <w:marBottom w:val="0"/>
          <w:divBdr>
            <w:top w:val="none" w:sz="0" w:space="0" w:color="auto"/>
            <w:left w:val="none" w:sz="0" w:space="0" w:color="auto"/>
            <w:bottom w:val="none" w:sz="0" w:space="0" w:color="auto"/>
            <w:right w:val="none" w:sz="0" w:space="0" w:color="auto"/>
          </w:divBdr>
        </w:div>
        <w:div w:id="2068723673">
          <w:marLeft w:val="0"/>
          <w:marRight w:val="0"/>
          <w:marTop w:val="0"/>
          <w:marBottom w:val="0"/>
          <w:divBdr>
            <w:top w:val="none" w:sz="0" w:space="0" w:color="auto"/>
            <w:left w:val="none" w:sz="0" w:space="0" w:color="auto"/>
            <w:bottom w:val="none" w:sz="0" w:space="0" w:color="auto"/>
            <w:right w:val="none" w:sz="0" w:space="0" w:color="auto"/>
          </w:divBdr>
        </w:div>
        <w:div w:id="529879668">
          <w:marLeft w:val="0"/>
          <w:marRight w:val="0"/>
          <w:marTop w:val="0"/>
          <w:marBottom w:val="0"/>
          <w:divBdr>
            <w:top w:val="none" w:sz="0" w:space="0" w:color="auto"/>
            <w:left w:val="none" w:sz="0" w:space="0" w:color="auto"/>
            <w:bottom w:val="none" w:sz="0" w:space="0" w:color="auto"/>
            <w:right w:val="none" w:sz="0" w:space="0" w:color="auto"/>
          </w:divBdr>
        </w:div>
        <w:div w:id="1540893307">
          <w:marLeft w:val="0"/>
          <w:marRight w:val="0"/>
          <w:marTop w:val="0"/>
          <w:marBottom w:val="0"/>
          <w:divBdr>
            <w:top w:val="none" w:sz="0" w:space="0" w:color="auto"/>
            <w:left w:val="none" w:sz="0" w:space="0" w:color="auto"/>
            <w:bottom w:val="none" w:sz="0" w:space="0" w:color="auto"/>
            <w:right w:val="none" w:sz="0" w:space="0" w:color="auto"/>
          </w:divBdr>
        </w:div>
        <w:div w:id="1429933390">
          <w:marLeft w:val="0"/>
          <w:marRight w:val="0"/>
          <w:marTop w:val="0"/>
          <w:marBottom w:val="0"/>
          <w:divBdr>
            <w:top w:val="none" w:sz="0" w:space="0" w:color="auto"/>
            <w:left w:val="none" w:sz="0" w:space="0" w:color="auto"/>
            <w:bottom w:val="none" w:sz="0" w:space="0" w:color="auto"/>
            <w:right w:val="none" w:sz="0" w:space="0" w:color="auto"/>
          </w:divBdr>
        </w:div>
        <w:div w:id="1813597121">
          <w:marLeft w:val="0"/>
          <w:marRight w:val="0"/>
          <w:marTop w:val="0"/>
          <w:marBottom w:val="0"/>
          <w:divBdr>
            <w:top w:val="none" w:sz="0" w:space="0" w:color="auto"/>
            <w:left w:val="none" w:sz="0" w:space="0" w:color="auto"/>
            <w:bottom w:val="none" w:sz="0" w:space="0" w:color="auto"/>
            <w:right w:val="none" w:sz="0" w:space="0" w:color="auto"/>
          </w:divBdr>
        </w:div>
        <w:div w:id="1459832226">
          <w:marLeft w:val="0"/>
          <w:marRight w:val="0"/>
          <w:marTop w:val="0"/>
          <w:marBottom w:val="0"/>
          <w:divBdr>
            <w:top w:val="none" w:sz="0" w:space="0" w:color="auto"/>
            <w:left w:val="none" w:sz="0" w:space="0" w:color="auto"/>
            <w:bottom w:val="none" w:sz="0" w:space="0" w:color="auto"/>
            <w:right w:val="none" w:sz="0" w:space="0" w:color="auto"/>
          </w:divBdr>
        </w:div>
        <w:div w:id="1678801678">
          <w:marLeft w:val="0"/>
          <w:marRight w:val="0"/>
          <w:marTop w:val="0"/>
          <w:marBottom w:val="0"/>
          <w:divBdr>
            <w:top w:val="none" w:sz="0" w:space="0" w:color="auto"/>
            <w:left w:val="none" w:sz="0" w:space="0" w:color="auto"/>
            <w:bottom w:val="none" w:sz="0" w:space="0" w:color="auto"/>
            <w:right w:val="none" w:sz="0" w:space="0" w:color="auto"/>
          </w:divBdr>
        </w:div>
        <w:div w:id="1792432236">
          <w:marLeft w:val="0"/>
          <w:marRight w:val="0"/>
          <w:marTop w:val="0"/>
          <w:marBottom w:val="0"/>
          <w:divBdr>
            <w:top w:val="none" w:sz="0" w:space="0" w:color="auto"/>
            <w:left w:val="none" w:sz="0" w:space="0" w:color="auto"/>
            <w:bottom w:val="none" w:sz="0" w:space="0" w:color="auto"/>
            <w:right w:val="none" w:sz="0" w:space="0" w:color="auto"/>
          </w:divBdr>
        </w:div>
        <w:div w:id="985620581">
          <w:marLeft w:val="0"/>
          <w:marRight w:val="0"/>
          <w:marTop w:val="0"/>
          <w:marBottom w:val="0"/>
          <w:divBdr>
            <w:top w:val="none" w:sz="0" w:space="0" w:color="auto"/>
            <w:left w:val="none" w:sz="0" w:space="0" w:color="auto"/>
            <w:bottom w:val="none" w:sz="0" w:space="0" w:color="auto"/>
            <w:right w:val="none" w:sz="0" w:space="0" w:color="auto"/>
          </w:divBdr>
        </w:div>
        <w:div w:id="425611943">
          <w:marLeft w:val="0"/>
          <w:marRight w:val="0"/>
          <w:marTop w:val="0"/>
          <w:marBottom w:val="0"/>
          <w:divBdr>
            <w:top w:val="none" w:sz="0" w:space="0" w:color="auto"/>
            <w:left w:val="none" w:sz="0" w:space="0" w:color="auto"/>
            <w:bottom w:val="none" w:sz="0" w:space="0" w:color="auto"/>
            <w:right w:val="none" w:sz="0" w:space="0" w:color="auto"/>
          </w:divBdr>
        </w:div>
        <w:div w:id="1753970465">
          <w:marLeft w:val="0"/>
          <w:marRight w:val="0"/>
          <w:marTop w:val="0"/>
          <w:marBottom w:val="0"/>
          <w:divBdr>
            <w:top w:val="none" w:sz="0" w:space="0" w:color="auto"/>
            <w:left w:val="none" w:sz="0" w:space="0" w:color="auto"/>
            <w:bottom w:val="none" w:sz="0" w:space="0" w:color="auto"/>
            <w:right w:val="none" w:sz="0" w:space="0" w:color="auto"/>
          </w:divBdr>
        </w:div>
        <w:div w:id="1521621809">
          <w:marLeft w:val="0"/>
          <w:marRight w:val="0"/>
          <w:marTop w:val="0"/>
          <w:marBottom w:val="0"/>
          <w:divBdr>
            <w:top w:val="none" w:sz="0" w:space="0" w:color="auto"/>
            <w:left w:val="none" w:sz="0" w:space="0" w:color="auto"/>
            <w:bottom w:val="none" w:sz="0" w:space="0" w:color="auto"/>
            <w:right w:val="none" w:sz="0" w:space="0" w:color="auto"/>
          </w:divBdr>
        </w:div>
        <w:div w:id="1106996064">
          <w:marLeft w:val="0"/>
          <w:marRight w:val="0"/>
          <w:marTop w:val="0"/>
          <w:marBottom w:val="0"/>
          <w:divBdr>
            <w:top w:val="none" w:sz="0" w:space="0" w:color="auto"/>
            <w:left w:val="none" w:sz="0" w:space="0" w:color="auto"/>
            <w:bottom w:val="none" w:sz="0" w:space="0" w:color="auto"/>
            <w:right w:val="none" w:sz="0" w:space="0" w:color="auto"/>
          </w:divBdr>
        </w:div>
        <w:div w:id="1580824179">
          <w:marLeft w:val="0"/>
          <w:marRight w:val="0"/>
          <w:marTop w:val="0"/>
          <w:marBottom w:val="0"/>
          <w:divBdr>
            <w:top w:val="none" w:sz="0" w:space="0" w:color="auto"/>
            <w:left w:val="none" w:sz="0" w:space="0" w:color="auto"/>
            <w:bottom w:val="none" w:sz="0" w:space="0" w:color="auto"/>
            <w:right w:val="none" w:sz="0" w:space="0" w:color="auto"/>
          </w:divBdr>
        </w:div>
        <w:div w:id="1392920805">
          <w:marLeft w:val="0"/>
          <w:marRight w:val="0"/>
          <w:marTop w:val="0"/>
          <w:marBottom w:val="0"/>
          <w:divBdr>
            <w:top w:val="none" w:sz="0" w:space="0" w:color="auto"/>
            <w:left w:val="none" w:sz="0" w:space="0" w:color="auto"/>
            <w:bottom w:val="none" w:sz="0" w:space="0" w:color="auto"/>
            <w:right w:val="none" w:sz="0" w:space="0" w:color="auto"/>
          </w:divBdr>
        </w:div>
        <w:div w:id="227036693">
          <w:marLeft w:val="0"/>
          <w:marRight w:val="0"/>
          <w:marTop w:val="0"/>
          <w:marBottom w:val="0"/>
          <w:divBdr>
            <w:top w:val="none" w:sz="0" w:space="0" w:color="auto"/>
            <w:left w:val="none" w:sz="0" w:space="0" w:color="auto"/>
            <w:bottom w:val="none" w:sz="0" w:space="0" w:color="auto"/>
            <w:right w:val="none" w:sz="0" w:space="0" w:color="auto"/>
          </w:divBdr>
        </w:div>
        <w:div w:id="309672978">
          <w:marLeft w:val="0"/>
          <w:marRight w:val="0"/>
          <w:marTop w:val="0"/>
          <w:marBottom w:val="0"/>
          <w:divBdr>
            <w:top w:val="none" w:sz="0" w:space="0" w:color="auto"/>
            <w:left w:val="none" w:sz="0" w:space="0" w:color="auto"/>
            <w:bottom w:val="none" w:sz="0" w:space="0" w:color="auto"/>
            <w:right w:val="none" w:sz="0" w:space="0" w:color="auto"/>
          </w:divBdr>
        </w:div>
        <w:div w:id="194926704">
          <w:marLeft w:val="0"/>
          <w:marRight w:val="0"/>
          <w:marTop w:val="0"/>
          <w:marBottom w:val="0"/>
          <w:divBdr>
            <w:top w:val="none" w:sz="0" w:space="0" w:color="auto"/>
            <w:left w:val="none" w:sz="0" w:space="0" w:color="auto"/>
            <w:bottom w:val="none" w:sz="0" w:space="0" w:color="auto"/>
            <w:right w:val="none" w:sz="0" w:space="0" w:color="auto"/>
          </w:divBdr>
        </w:div>
        <w:div w:id="1769962883">
          <w:marLeft w:val="0"/>
          <w:marRight w:val="0"/>
          <w:marTop w:val="0"/>
          <w:marBottom w:val="0"/>
          <w:divBdr>
            <w:top w:val="none" w:sz="0" w:space="0" w:color="auto"/>
            <w:left w:val="none" w:sz="0" w:space="0" w:color="auto"/>
            <w:bottom w:val="none" w:sz="0" w:space="0" w:color="auto"/>
            <w:right w:val="none" w:sz="0" w:space="0" w:color="auto"/>
          </w:divBdr>
        </w:div>
        <w:div w:id="1038942229">
          <w:marLeft w:val="0"/>
          <w:marRight w:val="0"/>
          <w:marTop w:val="0"/>
          <w:marBottom w:val="0"/>
          <w:divBdr>
            <w:top w:val="none" w:sz="0" w:space="0" w:color="auto"/>
            <w:left w:val="none" w:sz="0" w:space="0" w:color="auto"/>
            <w:bottom w:val="none" w:sz="0" w:space="0" w:color="auto"/>
            <w:right w:val="none" w:sz="0" w:space="0" w:color="auto"/>
          </w:divBdr>
        </w:div>
        <w:div w:id="897933548">
          <w:marLeft w:val="0"/>
          <w:marRight w:val="0"/>
          <w:marTop w:val="0"/>
          <w:marBottom w:val="0"/>
          <w:divBdr>
            <w:top w:val="none" w:sz="0" w:space="0" w:color="auto"/>
            <w:left w:val="none" w:sz="0" w:space="0" w:color="auto"/>
            <w:bottom w:val="none" w:sz="0" w:space="0" w:color="auto"/>
            <w:right w:val="none" w:sz="0" w:space="0" w:color="auto"/>
          </w:divBdr>
        </w:div>
        <w:div w:id="1741630361">
          <w:marLeft w:val="0"/>
          <w:marRight w:val="0"/>
          <w:marTop w:val="0"/>
          <w:marBottom w:val="0"/>
          <w:divBdr>
            <w:top w:val="none" w:sz="0" w:space="0" w:color="auto"/>
            <w:left w:val="none" w:sz="0" w:space="0" w:color="auto"/>
            <w:bottom w:val="none" w:sz="0" w:space="0" w:color="auto"/>
            <w:right w:val="none" w:sz="0" w:space="0" w:color="auto"/>
          </w:divBdr>
        </w:div>
        <w:div w:id="410397511">
          <w:marLeft w:val="0"/>
          <w:marRight w:val="0"/>
          <w:marTop w:val="0"/>
          <w:marBottom w:val="0"/>
          <w:divBdr>
            <w:top w:val="none" w:sz="0" w:space="0" w:color="auto"/>
            <w:left w:val="none" w:sz="0" w:space="0" w:color="auto"/>
            <w:bottom w:val="none" w:sz="0" w:space="0" w:color="auto"/>
            <w:right w:val="none" w:sz="0" w:space="0" w:color="auto"/>
          </w:divBdr>
        </w:div>
        <w:div w:id="1505439224">
          <w:marLeft w:val="0"/>
          <w:marRight w:val="0"/>
          <w:marTop w:val="0"/>
          <w:marBottom w:val="0"/>
          <w:divBdr>
            <w:top w:val="none" w:sz="0" w:space="0" w:color="auto"/>
            <w:left w:val="none" w:sz="0" w:space="0" w:color="auto"/>
            <w:bottom w:val="none" w:sz="0" w:space="0" w:color="auto"/>
            <w:right w:val="none" w:sz="0" w:space="0" w:color="auto"/>
          </w:divBdr>
        </w:div>
        <w:div w:id="307632323">
          <w:marLeft w:val="0"/>
          <w:marRight w:val="0"/>
          <w:marTop w:val="0"/>
          <w:marBottom w:val="0"/>
          <w:divBdr>
            <w:top w:val="none" w:sz="0" w:space="0" w:color="auto"/>
            <w:left w:val="none" w:sz="0" w:space="0" w:color="auto"/>
            <w:bottom w:val="none" w:sz="0" w:space="0" w:color="auto"/>
            <w:right w:val="none" w:sz="0" w:space="0" w:color="auto"/>
          </w:divBdr>
        </w:div>
        <w:div w:id="1980575945">
          <w:marLeft w:val="0"/>
          <w:marRight w:val="0"/>
          <w:marTop w:val="0"/>
          <w:marBottom w:val="0"/>
          <w:divBdr>
            <w:top w:val="none" w:sz="0" w:space="0" w:color="auto"/>
            <w:left w:val="none" w:sz="0" w:space="0" w:color="auto"/>
            <w:bottom w:val="none" w:sz="0" w:space="0" w:color="auto"/>
            <w:right w:val="none" w:sz="0" w:space="0" w:color="auto"/>
          </w:divBdr>
        </w:div>
        <w:div w:id="816994934">
          <w:marLeft w:val="0"/>
          <w:marRight w:val="0"/>
          <w:marTop w:val="0"/>
          <w:marBottom w:val="0"/>
          <w:divBdr>
            <w:top w:val="none" w:sz="0" w:space="0" w:color="auto"/>
            <w:left w:val="none" w:sz="0" w:space="0" w:color="auto"/>
            <w:bottom w:val="none" w:sz="0" w:space="0" w:color="auto"/>
            <w:right w:val="none" w:sz="0" w:space="0" w:color="auto"/>
          </w:divBdr>
        </w:div>
        <w:div w:id="2086341849">
          <w:marLeft w:val="0"/>
          <w:marRight w:val="0"/>
          <w:marTop w:val="0"/>
          <w:marBottom w:val="0"/>
          <w:divBdr>
            <w:top w:val="none" w:sz="0" w:space="0" w:color="auto"/>
            <w:left w:val="none" w:sz="0" w:space="0" w:color="auto"/>
            <w:bottom w:val="none" w:sz="0" w:space="0" w:color="auto"/>
            <w:right w:val="none" w:sz="0" w:space="0" w:color="auto"/>
          </w:divBdr>
        </w:div>
        <w:div w:id="1627151872">
          <w:marLeft w:val="0"/>
          <w:marRight w:val="0"/>
          <w:marTop w:val="0"/>
          <w:marBottom w:val="0"/>
          <w:divBdr>
            <w:top w:val="none" w:sz="0" w:space="0" w:color="auto"/>
            <w:left w:val="none" w:sz="0" w:space="0" w:color="auto"/>
            <w:bottom w:val="none" w:sz="0" w:space="0" w:color="auto"/>
            <w:right w:val="none" w:sz="0" w:space="0" w:color="auto"/>
          </w:divBdr>
        </w:div>
        <w:div w:id="1123188407">
          <w:marLeft w:val="0"/>
          <w:marRight w:val="0"/>
          <w:marTop w:val="0"/>
          <w:marBottom w:val="0"/>
          <w:divBdr>
            <w:top w:val="none" w:sz="0" w:space="0" w:color="auto"/>
            <w:left w:val="none" w:sz="0" w:space="0" w:color="auto"/>
            <w:bottom w:val="none" w:sz="0" w:space="0" w:color="auto"/>
            <w:right w:val="none" w:sz="0" w:space="0" w:color="auto"/>
          </w:divBdr>
        </w:div>
        <w:div w:id="1498157590">
          <w:marLeft w:val="0"/>
          <w:marRight w:val="0"/>
          <w:marTop w:val="0"/>
          <w:marBottom w:val="0"/>
          <w:divBdr>
            <w:top w:val="none" w:sz="0" w:space="0" w:color="auto"/>
            <w:left w:val="none" w:sz="0" w:space="0" w:color="auto"/>
            <w:bottom w:val="none" w:sz="0" w:space="0" w:color="auto"/>
            <w:right w:val="none" w:sz="0" w:space="0" w:color="auto"/>
          </w:divBdr>
        </w:div>
        <w:div w:id="1562785661">
          <w:marLeft w:val="0"/>
          <w:marRight w:val="0"/>
          <w:marTop w:val="0"/>
          <w:marBottom w:val="0"/>
          <w:divBdr>
            <w:top w:val="none" w:sz="0" w:space="0" w:color="auto"/>
            <w:left w:val="none" w:sz="0" w:space="0" w:color="auto"/>
            <w:bottom w:val="none" w:sz="0" w:space="0" w:color="auto"/>
            <w:right w:val="none" w:sz="0" w:space="0" w:color="auto"/>
          </w:divBdr>
        </w:div>
        <w:div w:id="1788505865">
          <w:marLeft w:val="0"/>
          <w:marRight w:val="0"/>
          <w:marTop w:val="0"/>
          <w:marBottom w:val="0"/>
          <w:divBdr>
            <w:top w:val="none" w:sz="0" w:space="0" w:color="auto"/>
            <w:left w:val="none" w:sz="0" w:space="0" w:color="auto"/>
            <w:bottom w:val="none" w:sz="0" w:space="0" w:color="auto"/>
            <w:right w:val="none" w:sz="0" w:space="0" w:color="auto"/>
          </w:divBdr>
        </w:div>
        <w:div w:id="617687616">
          <w:marLeft w:val="0"/>
          <w:marRight w:val="0"/>
          <w:marTop w:val="0"/>
          <w:marBottom w:val="0"/>
          <w:divBdr>
            <w:top w:val="none" w:sz="0" w:space="0" w:color="auto"/>
            <w:left w:val="none" w:sz="0" w:space="0" w:color="auto"/>
            <w:bottom w:val="none" w:sz="0" w:space="0" w:color="auto"/>
            <w:right w:val="none" w:sz="0" w:space="0" w:color="auto"/>
          </w:divBdr>
        </w:div>
        <w:div w:id="1696534570">
          <w:marLeft w:val="0"/>
          <w:marRight w:val="0"/>
          <w:marTop w:val="0"/>
          <w:marBottom w:val="0"/>
          <w:divBdr>
            <w:top w:val="none" w:sz="0" w:space="0" w:color="auto"/>
            <w:left w:val="none" w:sz="0" w:space="0" w:color="auto"/>
            <w:bottom w:val="none" w:sz="0" w:space="0" w:color="auto"/>
            <w:right w:val="none" w:sz="0" w:space="0" w:color="auto"/>
          </w:divBdr>
        </w:div>
        <w:div w:id="2036269175">
          <w:marLeft w:val="0"/>
          <w:marRight w:val="0"/>
          <w:marTop w:val="0"/>
          <w:marBottom w:val="0"/>
          <w:divBdr>
            <w:top w:val="none" w:sz="0" w:space="0" w:color="auto"/>
            <w:left w:val="none" w:sz="0" w:space="0" w:color="auto"/>
            <w:bottom w:val="none" w:sz="0" w:space="0" w:color="auto"/>
            <w:right w:val="none" w:sz="0" w:space="0" w:color="auto"/>
          </w:divBdr>
        </w:div>
        <w:div w:id="1374305464">
          <w:marLeft w:val="0"/>
          <w:marRight w:val="0"/>
          <w:marTop w:val="0"/>
          <w:marBottom w:val="0"/>
          <w:divBdr>
            <w:top w:val="none" w:sz="0" w:space="0" w:color="auto"/>
            <w:left w:val="none" w:sz="0" w:space="0" w:color="auto"/>
            <w:bottom w:val="none" w:sz="0" w:space="0" w:color="auto"/>
            <w:right w:val="none" w:sz="0" w:space="0" w:color="auto"/>
          </w:divBdr>
        </w:div>
        <w:div w:id="227114866">
          <w:marLeft w:val="0"/>
          <w:marRight w:val="0"/>
          <w:marTop w:val="0"/>
          <w:marBottom w:val="0"/>
          <w:divBdr>
            <w:top w:val="none" w:sz="0" w:space="0" w:color="auto"/>
            <w:left w:val="none" w:sz="0" w:space="0" w:color="auto"/>
            <w:bottom w:val="none" w:sz="0" w:space="0" w:color="auto"/>
            <w:right w:val="none" w:sz="0" w:space="0" w:color="auto"/>
          </w:divBdr>
        </w:div>
        <w:div w:id="427431923">
          <w:marLeft w:val="0"/>
          <w:marRight w:val="0"/>
          <w:marTop w:val="0"/>
          <w:marBottom w:val="0"/>
          <w:divBdr>
            <w:top w:val="none" w:sz="0" w:space="0" w:color="auto"/>
            <w:left w:val="none" w:sz="0" w:space="0" w:color="auto"/>
            <w:bottom w:val="none" w:sz="0" w:space="0" w:color="auto"/>
            <w:right w:val="none" w:sz="0" w:space="0" w:color="auto"/>
          </w:divBdr>
        </w:div>
        <w:div w:id="163479006">
          <w:marLeft w:val="0"/>
          <w:marRight w:val="0"/>
          <w:marTop w:val="0"/>
          <w:marBottom w:val="0"/>
          <w:divBdr>
            <w:top w:val="none" w:sz="0" w:space="0" w:color="auto"/>
            <w:left w:val="none" w:sz="0" w:space="0" w:color="auto"/>
            <w:bottom w:val="none" w:sz="0" w:space="0" w:color="auto"/>
            <w:right w:val="none" w:sz="0" w:space="0" w:color="auto"/>
          </w:divBdr>
        </w:div>
        <w:div w:id="1514495381">
          <w:marLeft w:val="0"/>
          <w:marRight w:val="0"/>
          <w:marTop w:val="0"/>
          <w:marBottom w:val="0"/>
          <w:divBdr>
            <w:top w:val="none" w:sz="0" w:space="0" w:color="auto"/>
            <w:left w:val="none" w:sz="0" w:space="0" w:color="auto"/>
            <w:bottom w:val="none" w:sz="0" w:space="0" w:color="auto"/>
            <w:right w:val="none" w:sz="0" w:space="0" w:color="auto"/>
          </w:divBdr>
        </w:div>
        <w:div w:id="1850485130">
          <w:marLeft w:val="0"/>
          <w:marRight w:val="0"/>
          <w:marTop w:val="0"/>
          <w:marBottom w:val="0"/>
          <w:divBdr>
            <w:top w:val="none" w:sz="0" w:space="0" w:color="auto"/>
            <w:left w:val="none" w:sz="0" w:space="0" w:color="auto"/>
            <w:bottom w:val="none" w:sz="0" w:space="0" w:color="auto"/>
            <w:right w:val="none" w:sz="0" w:space="0" w:color="auto"/>
          </w:divBdr>
        </w:div>
        <w:div w:id="186525532">
          <w:marLeft w:val="0"/>
          <w:marRight w:val="0"/>
          <w:marTop w:val="0"/>
          <w:marBottom w:val="0"/>
          <w:divBdr>
            <w:top w:val="none" w:sz="0" w:space="0" w:color="auto"/>
            <w:left w:val="none" w:sz="0" w:space="0" w:color="auto"/>
            <w:bottom w:val="none" w:sz="0" w:space="0" w:color="auto"/>
            <w:right w:val="none" w:sz="0" w:space="0" w:color="auto"/>
          </w:divBdr>
        </w:div>
        <w:div w:id="1090931627">
          <w:marLeft w:val="0"/>
          <w:marRight w:val="0"/>
          <w:marTop w:val="0"/>
          <w:marBottom w:val="0"/>
          <w:divBdr>
            <w:top w:val="none" w:sz="0" w:space="0" w:color="auto"/>
            <w:left w:val="none" w:sz="0" w:space="0" w:color="auto"/>
            <w:bottom w:val="none" w:sz="0" w:space="0" w:color="auto"/>
            <w:right w:val="none" w:sz="0" w:space="0" w:color="auto"/>
          </w:divBdr>
        </w:div>
        <w:div w:id="22480626">
          <w:marLeft w:val="0"/>
          <w:marRight w:val="0"/>
          <w:marTop w:val="0"/>
          <w:marBottom w:val="0"/>
          <w:divBdr>
            <w:top w:val="none" w:sz="0" w:space="0" w:color="auto"/>
            <w:left w:val="none" w:sz="0" w:space="0" w:color="auto"/>
            <w:bottom w:val="none" w:sz="0" w:space="0" w:color="auto"/>
            <w:right w:val="none" w:sz="0" w:space="0" w:color="auto"/>
          </w:divBdr>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976643887">
      <w:bodyDiv w:val="1"/>
      <w:marLeft w:val="0"/>
      <w:marRight w:val="0"/>
      <w:marTop w:val="0"/>
      <w:marBottom w:val="0"/>
      <w:divBdr>
        <w:top w:val="none" w:sz="0" w:space="0" w:color="auto"/>
        <w:left w:val="none" w:sz="0" w:space="0" w:color="auto"/>
        <w:bottom w:val="none" w:sz="0" w:space="0" w:color="auto"/>
        <w:right w:val="none" w:sz="0" w:space="0" w:color="auto"/>
      </w:divBdr>
      <w:divsChild>
        <w:div w:id="1700929678">
          <w:marLeft w:val="0"/>
          <w:marRight w:val="0"/>
          <w:marTop w:val="0"/>
          <w:marBottom w:val="0"/>
          <w:divBdr>
            <w:top w:val="none" w:sz="0" w:space="0" w:color="auto"/>
            <w:left w:val="none" w:sz="0" w:space="0" w:color="auto"/>
            <w:bottom w:val="none" w:sz="0" w:space="0" w:color="auto"/>
            <w:right w:val="none" w:sz="0" w:space="0" w:color="auto"/>
          </w:divBdr>
        </w:div>
        <w:div w:id="1939826710">
          <w:marLeft w:val="0"/>
          <w:marRight w:val="0"/>
          <w:marTop w:val="0"/>
          <w:marBottom w:val="0"/>
          <w:divBdr>
            <w:top w:val="none" w:sz="0" w:space="0" w:color="auto"/>
            <w:left w:val="none" w:sz="0" w:space="0" w:color="auto"/>
            <w:bottom w:val="none" w:sz="0" w:space="0" w:color="auto"/>
            <w:right w:val="none" w:sz="0" w:space="0" w:color="auto"/>
          </w:divBdr>
        </w:div>
        <w:div w:id="919216912">
          <w:marLeft w:val="0"/>
          <w:marRight w:val="0"/>
          <w:marTop w:val="0"/>
          <w:marBottom w:val="0"/>
          <w:divBdr>
            <w:top w:val="none" w:sz="0" w:space="0" w:color="auto"/>
            <w:left w:val="none" w:sz="0" w:space="0" w:color="auto"/>
            <w:bottom w:val="none" w:sz="0" w:space="0" w:color="auto"/>
            <w:right w:val="none" w:sz="0" w:space="0" w:color="auto"/>
          </w:divBdr>
        </w:div>
        <w:div w:id="979772605">
          <w:marLeft w:val="0"/>
          <w:marRight w:val="0"/>
          <w:marTop w:val="0"/>
          <w:marBottom w:val="0"/>
          <w:divBdr>
            <w:top w:val="none" w:sz="0" w:space="0" w:color="auto"/>
            <w:left w:val="none" w:sz="0" w:space="0" w:color="auto"/>
            <w:bottom w:val="none" w:sz="0" w:space="0" w:color="auto"/>
            <w:right w:val="none" w:sz="0" w:space="0" w:color="auto"/>
          </w:divBdr>
        </w:div>
        <w:div w:id="2075657765">
          <w:marLeft w:val="0"/>
          <w:marRight w:val="0"/>
          <w:marTop w:val="0"/>
          <w:marBottom w:val="0"/>
          <w:divBdr>
            <w:top w:val="none" w:sz="0" w:space="0" w:color="auto"/>
            <w:left w:val="none" w:sz="0" w:space="0" w:color="auto"/>
            <w:bottom w:val="none" w:sz="0" w:space="0" w:color="auto"/>
            <w:right w:val="none" w:sz="0" w:space="0" w:color="auto"/>
          </w:divBdr>
        </w:div>
        <w:div w:id="1214007014">
          <w:marLeft w:val="0"/>
          <w:marRight w:val="0"/>
          <w:marTop w:val="0"/>
          <w:marBottom w:val="0"/>
          <w:divBdr>
            <w:top w:val="none" w:sz="0" w:space="0" w:color="auto"/>
            <w:left w:val="none" w:sz="0" w:space="0" w:color="auto"/>
            <w:bottom w:val="none" w:sz="0" w:space="0" w:color="auto"/>
            <w:right w:val="none" w:sz="0" w:space="0" w:color="auto"/>
          </w:divBdr>
        </w:div>
        <w:div w:id="2109737283">
          <w:marLeft w:val="0"/>
          <w:marRight w:val="0"/>
          <w:marTop w:val="0"/>
          <w:marBottom w:val="0"/>
          <w:divBdr>
            <w:top w:val="none" w:sz="0" w:space="0" w:color="auto"/>
            <w:left w:val="none" w:sz="0" w:space="0" w:color="auto"/>
            <w:bottom w:val="none" w:sz="0" w:space="0" w:color="auto"/>
            <w:right w:val="none" w:sz="0" w:space="0" w:color="auto"/>
          </w:divBdr>
        </w:div>
        <w:div w:id="1276712449">
          <w:marLeft w:val="0"/>
          <w:marRight w:val="0"/>
          <w:marTop w:val="0"/>
          <w:marBottom w:val="0"/>
          <w:divBdr>
            <w:top w:val="none" w:sz="0" w:space="0" w:color="auto"/>
            <w:left w:val="none" w:sz="0" w:space="0" w:color="auto"/>
            <w:bottom w:val="none" w:sz="0" w:space="0" w:color="auto"/>
            <w:right w:val="none" w:sz="0" w:space="0" w:color="auto"/>
          </w:divBdr>
        </w:div>
        <w:div w:id="917592967">
          <w:marLeft w:val="0"/>
          <w:marRight w:val="0"/>
          <w:marTop w:val="0"/>
          <w:marBottom w:val="0"/>
          <w:divBdr>
            <w:top w:val="none" w:sz="0" w:space="0" w:color="auto"/>
            <w:left w:val="none" w:sz="0" w:space="0" w:color="auto"/>
            <w:bottom w:val="none" w:sz="0" w:space="0" w:color="auto"/>
            <w:right w:val="none" w:sz="0" w:space="0" w:color="auto"/>
          </w:divBdr>
        </w:div>
        <w:div w:id="1530488752">
          <w:marLeft w:val="0"/>
          <w:marRight w:val="0"/>
          <w:marTop w:val="0"/>
          <w:marBottom w:val="0"/>
          <w:divBdr>
            <w:top w:val="none" w:sz="0" w:space="0" w:color="auto"/>
            <w:left w:val="none" w:sz="0" w:space="0" w:color="auto"/>
            <w:bottom w:val="none" w:sz="0" w:space="0" w:color="auto"/>
            <w:right w:val="none" w:sz="0" w:space="0" w:color="auto"/>
          </w:divBdr>
        </w:div>
        <w:div w:id="1654211521">
          <w:marLeft w:val="0"/>
          <w:marRight w:val="0"/>
          <w:marTop w:val="0"/>
          <w:marBottom w:val="0"/>
          <w:divBdr>
            <w:top w:val="none" w:sz="0" w:space="0" w:color="auto"/>
            <w:left w:val="none" w:sz="0" w:space="0" w:color="auto"/>
            <w:bottom w:val="none" w:sz="0" w:space="0" w:color="auto"/>
            <w:right w:val="none" w:sz="0" w:space="0" w:color="auto"/>
          </w:divBdr>
        </w:div>
        <w:div w:id="1603340073">
          <w:marLeft w:val="0"/>
          <w:marRight w:val="0"/>
          <w:marTop w:val="0"/>
          <w:marBottom w:val="0"/>
          <w:divBdr>
            <w:top w:val="none" w:sz="0" w:space="0" w:color="auto"/>
            <w:left w:val="none" w:sz="0" w:space="0" w:color="auto"/>
            <w:bottom w:val="none" w:sz="0" w:space="0" w:color="auto"/>
            <w:right w:val="none" w:sz="0" w:space="0" w:color="auto"/>
          </w:divBdr>
        </w:div>
        <w:div w:id="865753042">
          <w:marLeft w:val="0"/>
          <w:marRight w:val="0"/>
          <w:marTop w:val="0"/>
          <w:marBottom w:val="0"/>
          <w:divBdr>
            <w:top w:val="none" w:sz="0" w:space="0" w:color="auto"/>
            <w:left w:val="none" w:sz="0" w:space="0" w:color="auto"/>
            <w:bottom w:val="none" w:sz="0" w:space="0" w:color="auto"/>
            <w:right w:val="none" w:sz="0" w:space="0" w:color="auto"/>
          </w:divBdr>
        </w:div>
        <w:div w:id="706032642">
          <w:marLeft w:val="0"/>
          <w:marRight w:val="0"/>
          <w:marTop w:val="0"/>
          <w:marBottom w:val="0"/>
          <w:divBdr>
            <w:top w:val="none" w:sz="0" w:space="0" w:color="auto"/>
            <w:left w:val="none" w:sz="0" w:space="0" w:color="auto"/>
            <w:bottom w:val="none" w:sz="0" w:space="0" w:color="auto"/>
            <w:right w:val="none" w:sz="0" w:space="0" w:color="auto"/>
          </w:divBdr>
        </w:div>
        <w:div w:id="822697721">
          <w:marLeft w:val="0"/>
          <w:marRight w:val="0"/>
          <w:marTop w:val="0"/>
          <w:marBottom w:val="0"/>
          <w:divBdr>
            <w:top w:val="none" w:sz="0" w:space="0" w:color="auto"/>
            <w:left w:val="none" w:sz="0" w:space="0" w:color="auto"/>
            <w:bottom w:val="none" w:sz="0" w:space="0" w:color="auto"/>
            <w:right w:val="none" w:sz="0" w:space="0" w:color="auto"/>
          </w:divBdr>
        </w:div>
        <w:div w:id="513422926">
          <w:marLeft w:val="0"/>
          <w:marRight w:val="0"/>
          <w:marTop w:val="0"/>
          <w:marBottom w:val="0"/>
          <w:divBdr>
            <w:top w:val="none" w:sz="0" w:space="0" w:color="auto"/>
            <w:left w:val="none" w:sz="0" w:space="0" w:color="auto"/>
            <w:bottom w:val="none" w:sz="0" w:space="0" w:color="auto"/>
            <w:right w:val="none" w:sz="0" w:space="0" w:color="auto"/>
          </w:divBdr>
        </w:div>
        <w:div w:id="1496458260">
          <w:marLeft w:val="0"/>
          <w:marRight w:val="0"/>
          <w:marTop w:val="0"/>
          <w:marBottom w:val="0"/>
          <w:divBdr>
            <w:top w:val="none" w:sz="0" w:space="0" w:color="auto"/>
            <w:left w:val="none" w:sz="0" w:space="0" w:color="auto"/>
            <w:bottom w:val="none" w:sz="0" w:space="0" w:color="auto"/>
            <w:right w:val="none" w:sz="0" w:space="0" w:color="auto"/>
          </w:divBdr>
        </w:div>
        <w:div w:id="899365193">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10240">
      <w:bodyDiv w:val="1"/>
      <w:marLeft w:val="0"/>
      <w:marRight w:val="0"/>
      <w:marTop w:val="0"/>
      <w:marBottom w:val="0"/>
      <w:divBdr>
        <w:top w:val="none" w:sz="0" w:space="0" w:color="auto"/>
        <w:left w:val="none" w:sz="0" w:space="0" w:color="auto"/>
        <w:bottom w:val="none" w:sz="0" w:space="0" w:color="auto"/>
        <w:right w:val="none" w:sz="0" w:space="0" w:color="auto"/>
      </w:divBdr>
      <w:divsChild>
        <w:div w:id="310403366">
          <w:marLeft w:val="0"/>
          <w:marRight w:val="0"/>
          <w:marTop w:val="0"/>
          <w:marBottom w:val="0"/>
          <w:divBdr>
            <w:top w:val="none" w:sz="0" w:space="0" w:color="auto"/>
            <w:left w:val="none" w:sz="0" w:space="0" w:color="auto"/>
            <w:bottom w:val="none" w:sz="0" w:space="0" w:color="auto"/>
            <w:right w:val="none" w:sz="0" w:space="0" w:color="auto"/>
          </w:divBdr>
        </w:div>
        <w:div w:id="198855997">
          <w:marLeft w:val="0"/>
          <w:marRight w:val="0"/>
          <w:marTop w:val="0"/>
          <w:marBottom w:val="0"/>
          <w:divBdr>
            <w:top w:val="none" w:sz="0" w:space="0" w:color="auto"/>
            <w:left w:val="none" w:sz="0" w:space="0" w:color="auto"/>
            <w:bottom w:val="none" w:sz="0" w:space="0" w:color="auto"/>
            <w:right w:val="none" w:sz="0" w:space="0" w:color="auto"/>
          </w:divBdr>
        </w:div>
        <w:div w:id="1116564338">
          <w:marLeft w:val="0"/>
          <w:marRight w:val="0"/>
          <w:marTop w:val="0"/>
          <w:marBottom w:val="0"/>
          <w:divBdr>
            <w:top w:val="none" w:sz="0" w:space="0" w:color="auto"/>
            <w:left w:val="none" w:sz="0" w:space="0" w:color="auto"/>
            <w:bottom w:val="none" w:sz="0" w:space="0" w:color="auto"/>
            <w:right w:val="none" w:sz="0" w:space="0" w:color="auto"/>
          </w:divBdr>
        </w:div>
        <w:div w:id="427426679">
          <w:marLeft w:val="0"/>
          <w:marRight w:val="0"/>
          <w:marTop w:val="0"/>
          <w:marBottom w:val="0"/>
          <w:divBdr>
            <w:top w:val="none" w:sz="0" w:space="0" w:color="auto"/>
            <w:left w:val="none" w:sz="0" w:space="0" w:color="auto"/>
            <w:bottom w:val="none" w:sz="0" w:space="0" w:color="auto"/>
            <w:right w:val="none" w:sz="0" w:space="0" w:color="auto"/>
          </w:divBdr>
        </w:div>
        <w:div w:id="50085419">
          <w:marLeft w:val="0"/>
          <w:marRight w:val="0"/>
          <w:marTop w:val="0"/>
          <w:marBottom w:val="0"/>
          <w:divBdr>
            <w:top w:val="none" w:sz="0" w:space="0" w:color="auto"/>
            <w:left w:val="none" w:sz="0" w:space="0" w:color="auto"/>
            <w:bottom w:val="none" w:sz="0" w:space="0" w:color="auto"/>
            <w:right w:val="none" w:sz="0" w:space="0" w:color="auto"/>
          </w:divBdr>
        </w:div>
        <w:div w:id="806748336">
          <w:marLeft w:val="0"/>
          <w:marRight w:val="0"/>
          <w:marTop w:val="0"/>
          <w:marBottom w:val="0"/>
          <w:divBdr>
            <w:top w:val="none" w:sz="0" w:space="0" w:color="auto"/>
            <w:left w:val="none" w:sz="0" w:space="0" w:color="auto"/>
            <w:bottom w:val="none" w:sz="0" w:space="0" w:color="auto"/>
            <w:right w:val="none" w:sz="0" w:space="0" w:color="auto"/>
          </w:divBdr>
          <w:divsChild>
            <w:div w:id="894897094">
              <w:marLeft w:val="0"/>
              <w:marRight w:val="0"/>
              <w:marTop w:val="0"/>
              <w:marBottom w:val="0"/>
              <w:divBdr>
                <w:top w:val="none" w:sz="0" w:space="0" w:color="auto"/>
                <w:left w:val="none" w:sz="0" w:space="0" w:color="auto"/>
                <w:bottom w:val="none" w:sz="0" w:space="0" w:color="auto"/>
                <w:right w:val="none" w:sz="0" w:space="0" w:color="auto"/>
              </w:divBdr>
              <w:divsChild>
                <w:div w:id="4049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1689">
          <w:marLeft w:val="0"/>
          <w:marRight w:val="0"/>
          <w:marTop w:val="0"/>
          <w:marBottom w:val="0"/>
          <w:divBdr>
            <w:top w:val="none" w:sz="0" w:space="0" w:color="auto"/>
            <w:left w:val="none" w:sz="0" w:space="0" w:color="auto"/>
            <w:bottom w:val="none" w:sz="0" w:space="0" w:color="auto"/>
            <w:right w:val="none" w:sz="0" w:space="0" w:color="auto"/>
          </w:divBdr>
        </w:div>
        <w:div w:id="669603272">
          <w:marLeft w:val="0"/>
          <w:marRight w:val="0"/>
          <w:marTop w:val="0"/>
          <w:marBottom w:val="0"/>
          <w:divBdr>
            <w:top w:val="none" w:sz="0" w:space="0" w:color="auto"/>
            <w:left w:val="none" w:sz="0" w:space="0" w:color="auto"/>
            <w:bottom w:val="none" w:sz="0" w:space="0" w:color="auto"/>
            <w:right w:val="none" w:sz="0" w:space="0" w:color="auto"/>
          </w:divBdr>
        </w:div>
        <w:div w:id="166943468">
          <w:marLeft w:val="0"/>
          <w:marRight w:val="0"/>
          <w:marTop w:val="0"/>
          <w:marBottom w:val="0"/>
          <w:divBdr>
            <w:top w:val="none" w:sz="0" w:space="0" w:color="auto"/>
            <w:left w:val="none" w:sz="0" w:space="0" w:color="auto"/>
            <w:bottom w:val="none" w:sz="0" w:space="0" w:color="auto"/>
            <w:right w:val="none" w:sz="0" w:space="0" w:color="auto"/>
          </w:divBdr>
        </w:div>
        <w:div w:id="977611514">
          <w:marLeft w:val="0"/>
          <w:marRight w:val="0"/>
          <w:marTop w:val="0"/>
          <w:marBottom w:val="0"/>
          <w:divBdr>
            <w:top w:val="none" w:sz="0" w:space="0" w:color="auto"/>
            <w:left w:val="none" w:sz="0" w:space="0" w:color="auto"/>
            <w:bottom w:val="none" w:sz="0" w:space="0" w:color="auto"/>
            <w:right w:val="none" w:sz="0" w:space="0" w:color="auto"/>
          </w:divBdr>
        </w:div>
        <w:div w:id="1580284003">
          <w:marLeft w:val="0"/>
          <w:marRight w:val="0"/>
          <w:marTop w:val="0"/>
          <w:marBottom w:val="0"/>
          <w:divBdr>
            <w:top w:val="none" w:sz="0" w:space="0" w:color="auto"/>
            <w:left w:val="none" w:sz="0" w:space="0" w:color="auto"/>
            <w:bottom w:val="none" w:sz="0" w:space="0" w:color="auto"/>
            <w:right w:val="none" w:sz="0" w:space="0" w:color="auto"/>
          </w:divBdr>
        </w:div>
        <w:div w:id="1298607336">
          <w:marLeft w:val="0"/>
          <w:marRight w:val="0"/>
          <w:marTop w:val="0"/>
          <w:marBottom w:val="0"/>
          <w:divBdr>
            <w:top w:val="none" w:sz="0" w:space="0" w:color="auto"/>
            <w:left w:val="none" w:sz="0" w:space="0" w:color="auto"/>
            <w:bottom w:val="none" w:sz="0" w:space="0" w:color="auto"/>
            <w:right w:val="none" w:sz="0" w:space="0" w:color="auto"/>
          </w:divBdr>
        </w:div>
        <w:div w:id="1664699813">
          <w:marLeft w:val="0"/>
          <w:marRight w:val="0"/>
          <w:marTop w:val="0"/>
          <w:marBottom w:val="0"/>
          <w:divBdr>
            <w:top w:val="none" w:sz="0" w:space="0" w:color="auto"/>
            <w:left w:val="none" w:sz="0" w:space="0" w:color="auto"/>
            <w:bottom w:val="none" w:sz="0" w:space="0" w:color="auto"/>
            <w:right w:val="none" w:sz="0" w:space="0" w:color="auto"/>
          </w:divBdr>
        </w:div>
        <w:div w:id="1567687058">
          <w:marLeft w:val="0"/>
          <w:marRight w:val="0"/>
          <w:marTop w:val="0"/>
          <w:marBottom w:val="0"/>
          <w:divBdr>
            <w:top w:val="none" w:sz="0" w:space="0" w:color="auto"/>
            <w:left w:val="none" w:sz="0" w:space="0" w:color="auto"/>
            <w:bottom w:val="none" w:sz="0" w:space="0" w:color="auto"/>
            <w:right w:val="none" w:sz="0" w:space="0" w:color="auto"/>
          </w:divBdr>
        </w:div>
        <w:div w:id="1147626495">
          <w:marLeft w:val="0"/>
          <w:marRight w:val="0"/>
          <w:marTop w:val="0"/>
          <w:marBottom w:val="0"/>
          <w:divBdr>
            <w:top w:val="none" w:sz="0" w:space="0" w:color="auto"/>
            <w:left w:val="none" w:sz="0" w:space="0" w:color="auto"/>
            <w:bottom w:val="none" w:sz="0" w:space="0" w:color="auto"/>
            <w:right w:val="none" w:sz="0" w:space="0" w:color="auto"/>
          </w:divBdr>
        </w:div>
        <w:div w:id="1087964718">
          <w:marLeft w:val="0"/>
          <w:marRight w:val="0"/>
          <w:marTop w:val="0"/>
          <w:marBottom w:val="0"/>
          <w:divBdr>
            <w:top w:val="none" w:sz="0" w:space="0" w:color="auto"/>
            <w:left w:val="none" w:sz="0" w:space="0" w:color="auto"/>
            <w:bottom w:val="none" w:sz="0" w:space="0" w:color="auto"/>
            <w:right w:val="none" w:sz="0" w:space="0" w:color="auto"/>
          </w:divBdr>
        </w:div>
        <w:div w:id="502278969">
          <w:marLeft w:val="0"/>
          <w:marRight w:val="0"/>
          <w:marTop w:val="0"/>
          <w:marBottom w:val="0"/>
          <w:divBdr>
            <w:top w:val="none" w:sz="0" w:space="0" w:color="auto"/>
            <w:left w:val="none" w:sz="0" w:space="0" w:color="auto"/>
            <w:bottom w:val="none" w:sz="0" w:space="0" w:color="auto"/>
            <w:right w:val="none" w:sz="0" w:space="0" w:color="auto"/>
          </w:divBdr>
        </w:div>
        <w:div w:id="1330981909">
          <w:marLeft w:val="0"/>
          <w:marRight w:val="0"/>
          <w:marTop w:val="0"/>
          <w:marBottom w:val="0"/>
          <w:divBdr>
            <w:top w:val="none" w:sz="0" w:space="0" w:color="auto"/>
            <w:left w:val="none" w:sz="0" w:space="0" w:color="auto"/>
            <w:bottom w:val="none" w:sz="0" w:space="0" w:color="auto"/>
            <w:right w:val="none" w:sz="0" w:space="0" w:color="auto"/>
          </w:divBdr>
        </w:div>
        <w:div w:id="1003170496">
          <w:marLeft w:val="0"/>
          <w:marRight w:val="0"/>
          <w:marTop w:val="0"/>
          <w:marBottom w:val="0"/>
          <w:divBdr>
            <w:top w:val="none" w:sz="0" w:space="0" w:color="auto"/>
            <w:left w:val="none" w:sz="0" w:space="0" w:color="auto"/>
            <w:bottom w:val="none" w:sz="0" w:space="0" w:color="auto"/>
            <w:right w:val="none" w:sz="0" w:space="0" w:color="auto"/>
          </w:divBdr>
        </w:div>
        <w:div w:id="804736099">
          <w:marLeft w:val="0"/>
          <w:marRight w:val="0"/>
          <w:marTop w:val="0"/>
          <w:marBottom w:val="0"/>
          <w:divBdr>
            <w:top w:val="none" w:sz="0" w:space="0" w:color="auto"/>
            <w:left w:val="none" w:sz="0" w:space="0" w:color="auto"/>
            <w:bottom w:val="none" w:sz="0" w:space="0" w:color="auto"/>
            <w:right w:val="none" w:sz="0" w:space="0" w:color="auto"/>
          </w:divBdr>
        </w:div>
        <w:div w:id="14431671">
          <w:marLeft w:val="0"/>
          <w:marRight w:val="0"/>
          <w:marTop w:val="0"/>
          <w:marBottom w:val="0"/>
          <w:divBdr>
            <w:top w:val="none" w:sz="0" w:space="0" w:color="auto"/>
            <w:left w:val="none" w:sz="0" w:space="0" w:color="auto"/>
            <w:bottom w:val="none" w:sz="0" w:space="0" w:color="auto"/>
            <w:right w:val="none" w:sz="0" w:space="0" w:color="auto"/>
          </w:divBdr>
        </w:div>
        <w:div w:id="877202729">
          <w:marLeft w:val="0"/>
          <w:marRight w:val="0"/>
          <w:marTop w:val="0"/>
          <w:marBottom w:val="0"/>
          <w:divBdr>
            <w:top w:val="none" w:sz="0" w:space="0" w:color="auto"/>
            <w:left w:val="none" w:sz="0" w:space="0" w:color="auto"/>
            <w:bottom w:val="none" w:sz="0" w:space="0" w:color="auto"/>
            <w:right w:val="none" w:sz="0" w:space="0" w:color="auto"/>
          </w:divBdr>
        </w:div>
        <w:div w:id="2051680969">
          <w:marLeft w:val="0"/>
          <w:marRight w:val="0"/>
          <w:marTop w:val="0"/>
          <w:marBottom w:val="0"/>
          <w:divBdr>
            <w:top w:val="none" w:sz="0" w:space="0" w:color="auto"/>
            <w:left w:val="none" w:sz="0" w:space="0" w:color="auto"/>
            <w:bottom w:val="none" w:sz="0" w:space="0" w:color="auto"/>
            <w:right w:val="none" w:sz="0" w:space="0" w:color="auto"/>
          </w:divBdr>
        </w:div>
        <w:div w:id="12921668">
          <w:marLeft w:val="0"/>
          <w:marRight w:val="0"/>
          <w:marTop w:val="0"/>
          <w:marBottom w:val="0"/>
          <w:divBdr>
            <w:top w:val="none" w:sz="0" w:space="0" w:color="auto"/>
            <w:left w:val="none" w:sz="0" w:space="0" w:color="auto"/>
            <w:bottom w:val="none" w:sz="0" w:space="0" w:color="auto"/>
            <w:right w:val="none" w:sz="0" w:space="0" w:color="auto"/>
          </w:divBdr>
        </w:div>
        <w:div w:id="1959215176">
          <w:marLeft w:val="0"/>
          <w:marRight w:val="0"/>
          <w:marTop w:val="0"/>
          <w:marBottom w:val="0"/>
          <w:divBdr>
            <w:top w:val="none" w:sz="0" w:space="0" w:color="auto"/>
            <w:left w:val="none" w:sz="0" w:space="0" w:color="auto"/>
            <w:bottom w:val="none" w:sz="0" w:space="0" w:color="auto"/>
            <w:right w:val="none" w:sz="0" w:space="0" w:color="auto"/>
          </w:divBdr>
        </w:div>
        <w:div w:id="554775708">
          <w:marLeft w:val="0"/>
          <w:marRight w:val="0"/>
          <w:marTop w:val="0"/>
          <w:marBottom w:val="0"/>
          <w:divBdr>
            <w:top w:val="none" w:sz="0" w:space="0" w:color="auto"/>
            <w:left w:val="none" w:sz="0" w:space="0" w:color="auto"/>
            <w:bottom w:val="none" w:sz="0" w:space="0" w:color="auto"/>
            <w:right w:val="none" w:sz="0" w:space="0" w:color="auto"/>
          </w:divBdr>
        </w:div>
        <w:div w:id="1561401306">
          <w:marLeft w:val="0"/>
          <w:marRight w:val="0"/>
          <w:marTop w:val="0"/>
          <w:marBottom w:val="0"/>
          <w:divBdr>
            <w:top w:val="none" w:sz="0" w:space="0" w:color="auto"/>
            <w:left w:val="none" w:sz="0" w:space="0" w:color="auto"/>
            <w:bottom w:val="none" w:sz="0" w:space="0" w:color="auto"/>
            <w:right w:val="none" w:sz="0" w:space="0" w:color="auto"/>
          </w:divBdr>
        </w:div>
        <w:div w:id="401367948">
          <w:marLeft w:val="0"/>
          <w:marRight w:val="0"/>
          <w:marTop w:val="0"/>
          <w:marBottom w:val="0"/>
          <w:divBdr>
            <w:top w:val="none" w:sz="0" w:space="0" w:color="auto"/>
            <w:left w:val="none" w:sz="0" w:space="0" w:color="auto"/>
            <w:bottom w:val="none" w:sz="0" w:space="0" w:color="auto"/>
            <w:right w:val="none" w:sz="0" w:space="0" w:color="auto"/>
          </w:divBdr>
        </w:div>
        <w:div w:id="123037358">
          <w:marLeft w:val="0"/>
          <w:marRight w:val="0"/>
          <w:marTop w:val="0"/>
          <w:marBottom w:val="0"/>
          <w:divBdr>
            <w:top w:val="none" w:sz="0" w:space="0" w:color="auto"/>
            <w:left w:val="none" w:sz="0" w:space="0" w:color="auto"/>
            <w:bottom w:val="none" w:sz="0" w:space="0" w:color="auto"/>
            <w:right w:val="none" w:sz="0" w:space="0" w:color="auto"/>
          </w:divBdr>
        </w:div>
        <w:div w:id="956569269">
          <w:marLeft w:val="0"/>
          <w:marRight w:val="0"/>
          <w:marTop w:val="0"/>
          <w:marBottom w:val="0"/>
          <w:divBdr>
            <w:top w:val="none" w:sz="0" w:space="0" w:color="auto"/>
            <w:left w:val="none" w:sz="0" w:space="0" w:color="auto"/>
            <w:bottom w:val="none" w:sz="0" w:space="0" w:color="auto"/>
            <w:right w:val="none" w:sz="0" w:space="0" w:color="auto"/>
          </w:divBdr>
        </w:div>
        <w:div w:id="554852644">
          <w:marLeft w:val="0"/>
          <w:marRight w:val="0"/>
          <w:marTop w:val="0"/>
          <w:marBottom w:val="0"/>
          <w:divBdr>
            <w:top w:val="none" w:sz="0" w:space="0" w:color="auto"/>
            <w:left w:val="none" w:sz="0" w:space="0" w:color="auto"/>
            <w:bottom w:val="none" w:sz="0" w:space="0" w:color="auto"/>
            <w:right w:val="none" w:sz="0" w:space="0" w:color="auto"/>
          </w:divBdr>
        </w:div>
        <w:div w:id="1022827924">
          <w:marLeft w:val="0"/>
          <w:marRight w:val="0"/>
          <w:marTop w:val="0"/>
          <w:marBottom w:val="0"/>
          <w:divBdr>
            <w:top w:val="none" w:sz="0" w:space="0" w:color="auto"/>
            <w:left w:val="none" w:sz="0" w:space="0" w:color="auto"/>
            <w:bottom w:val="none" w:sz="0" w:space="0" w:color="auto"/>
            <w:right w:val="none" w:sz="0" w:space="0" w:color="auto"/>
          </w:divBdr>
        </w:div>
        <w:div w:id="1256355394">
          <w:marLeft w:val="0"/>
          <w:marRight w:val="0"/>
          <w:marTop w:val="0"/>
          <w:marBottom w:val="0"/>
          <w:divBdr>
            <w:top w:val="none" w:sz="0" w:space="0" w:color="auto"/>
            <w:left w:val="none" w:sz="0" w:space="0" w:color="auto"/>
            <w:bottom w:val="none" w:sz="0" w:space="0" w:color="auto"/>
            <w:right w:val="none" w:sz="0" w:space="0" w:color="auto"/>
          </w:divBdr>
        </w:div>
        <w:div w:id="2065837382">
          <w:marLeft w:val="0"/>
          <w:marRight w:val="0"/>
          <w:marTop w:val="0"/>
          <w:marBottom w:val="0"/>
          <w:divBdr>
            <w:top w:val="none" w:sz="0" w:space="0" w:color="auto"/>
            <w:left w:val="none" w:sz="0" w:space="0" w:color="auto"/>
            <w:bottom w:val="none" w:sz="0" w:space="0" w:color="auto"/>
            <w:right w:val="none" w:sz="0" w:space="0" w:color="auto"/>
          </w:divBdr>
        </w:div>
        <w:div w:id="1581255467">
          <w:marLeft w:val="0"/>
          <w:marRight w:val="0"/>
          <w:marTop w:val="0"/>
          <w:marBottom w:val="0"/>
          <w:divBdr>
            <w:top w:val="none" w:sz="0" w:space="0" w:color="auto"/>
            <w:left w:val="none" w:sz="0" w:space="0" w:color="auto"/>
            <w:bottom w:val="none" w:sz="0" w:space="0" w:color="auto"/>
            <w:right w:val="none" w:sz="0" w:space="0" w:color="auto"/>
          </w:divBdr>
        </w:div>
        <w:div w:id="130952007">
          <w:marLeft w:val="0"/>
          <w:marRight w:val="0"/>
          <w:marTop w:val="0"/>
          <w:marBottom w:val="0"/>
          <w:divBdr>
            <w:top w:val="none" w:sz="0" w:space="0" w:color="auto"/>
            <w:left w:val="none" w:sz="0" w:space="0" w:color="auto"/>
            <w:bottom w:val="none" w:sz="0" w:space="0" w:color="auto"/>
            <w:right w:val="none" w:sz="0" w:space="0" w:color="auto"/>
          </w:divBdr>
        </w:div>
        <w:div w:id="1491369050">
          <w:marLeft w:val="0"/>
          <w:marRight w:val="0"/>
          <w:marTop w:val="0"/>
          <w:marBottom w:val="0"/>
          <w:divBdr>
            <w:top w:val="none" w:sz="0" w:space="0" w:color="auto"/>
            <w:left w:val="none" w:sz="0" w:space="0" w:color="auto"/>
            <w:bottom w:val="none" w:sz="0" w:space="0" w:color="auto"/>
            <w:right w:val="none" w:sz="0" w:space="0" w:color="auto"/>
          </w:divBdr>
        </w:div>
        <w:div w:id="834105836">
          <w:marLeft w:val="0"/>
          <w:marRight w:val="0"/>
          <w:marTop w:val="0"/>
          <w:marBottom w:val="0"/>
          <w:divBdr>
            <w:top w:val="none" w:sz="0" w:space="0" w:color="auto"/>
            <w:left w:val="none" w:sz="0" w:space="0" w:color="auto"/>
            <w:bottom w:val="none" w:sz="0" w:space="0" w:color="auto"/>
            <w:right w:val="none" w:sz="0" w:space="0" w:color="auto"/>
          </w:divBdr>
        </w:div>
        <w:div w:id="664361006">
          <w:marLeft w:val="0"/>
          <w:marRight w:val="0"/>
          <w:marTop w:val="0"/>
          <w:marBottom w:val="0"/>
          <w:divBdr>
            <w:top w:val="none" w:sz="0" w:space="0" w:color="auto"/>
            <w:left w:val="none" w:sz="0" w:space="0" w:color="auto"/>
            <w:bottom w:val="none" w:sz="0" w:space="0" w:color="auto"/>
            <w:right w:val="none" w:sz="0" w:space="0" w:color="auto"/>
          </w:divBdr>
        </w:div>
        <w:div w:id="265970710">
          <w:marLeft w:val="0"/>
          <w:marRight w:val="0"/>
          <w:marTop w:val="0"/>
          <w:marBottom w:val="0"/>
          <w:divBdr>
            <w:top w:val="none" w:sz="0" w:space="0" w:color="auto"/>
            <w:left w:val="none" w:sz="0" w:space="0" w:color="auto"/>
            <w:bottom w:val="none" w:sz="0" w:space="0" w:color="auto"/>
            <w:right w:val="none" w:sz="0" w:space="0" w:color="auto"/>
          </w:divBdr>
        </w:div>
        <w:div w:id="1053195053">
          <w:marLeft w:val="0"/>
          <w:marRight w:val="0"/>
          <w:marTop w:val="0"/>
          <w:marBottom w:val="0"/>
          <w:divBdr>
            <w:top w:val="none" w:sz="0" w:space="0" w:color="auto"/>
            <w:left w:val="none" w:sz="0" w:space="0" w:color="auto"/>
            <w:bottom w:val="none" w:sz="0" w:space="0" w:color="auto"/>
            <w:right w:val="none" w:sz="0" w:space="0" w:color="auto"/>
          </w:divBdr>
        </w:div>
        <w:div w:id="516695487">
          <w:marLeft w:val="0"/>
          <w:marRight w:val="0"/>
          <w:marTop w:val="0"/>
          <w:marBottom w:val="0"/>
          <w:divBdr>
            <w:top w:val="none" w:sz="0" w:space="0" w:color="auto"/>
            <w:left w:val="none" w:sz="0" w:space="0" w:color="auto"/>
            <w:bottom w:val="none" w:sz="0" w:space="0" w:color="auto"/>
            <w:right w:val="none" w:sz="0" w:space="0" w:color="auto"/>
          </w:divBdr>
        </w:div>
        <w:div w:id="757755708">
          <w:marLeft w:val="0"/>
          <w:marRight w:val="0"/>
          <w:marTop w:val="0"/>
          <w:marBottom w:val="0"/>
          <w:divBdr>
            <w:top w:val="none" w:sz="0" w:space="0" w:color="auto"/>
            <w:left w:val="none" w:sz="0" w:space="0" w:color="auto"/>
            <w:bottom w:val="none" w:sz="0" w:space="0" w:color="auto"/>
            <w:right w:val="none" w:sz="0" w:space="0" w:color="auto"/>
          </w:divBdr>
        </w:div>
        <w:div w:id="1932666137">
          <w:marLeft w:val="0"/>
          <w:marRight w:val="0"/>
          <w:marTop w:val="0"/>
          <w:marBottom w:val="0"/>
          <w:divBdr>
            <w:top w:val="none" w:sz="0" w:space="0" w:color="auto"/>
            <w:left w:val="none" w:sz="0" w:space="0" w:color="auto"/>
            <w:bottom w:val="none" w:sz="0" w:space="0" w:color="auto"/>
            <w:right w:val="none" w:sz="0" w:space="0" w:color="auto"/>
          </w:divBdr>
        </w:div>
        <w:div w:id="804589714">
          <w:marLeft w:val="0"/>
          <w:marRight w:val="0"/>
          <w:marTop w:val="0"/>
          <w:marBottom w:val="0"/>
          <w:divBdr>
            <w:top w:val="none" w:sz="0" w:space="0" w:color="auto"/>
            <w:left w:val="none" w:sz="0" w:space="0" w:color="auto"/>
            <w:bottom w:val="none" w:sz="0" w:space="0" w:color="auto"/>
            <w:right w:val="none" w:sz="0" w:space="0" w:color="auto"/>
          </w:divBdr>
        </w:div>
        <w:div w:id="893347568">
          <w:marLeft w:val="0"/>
          <w:marRight w:val="0"/>
          <w:marTop w:val="0"/>
          <w:marBottom w:val="0"/>
          <w:divBdr>
            <w:top w:val="none" w:sz="0" w:space="0" w:color="auto"/>
            <w:left w:val="none" w:sz="0" w:space="0" w:color="auto"/>
            <w:bottom w:val="none" w:sz="0" w:space="0" w:color="auto"/>
            <w:right w:val="none" w:sz="0" w:space="0" w:color="auto"/>
          </w:divBdr>
        </w:div>
        <w:div w:id="420957187">
          <w:marLeft w:val="0"/>
          <w:marRight w:val="0"/>
          <w:marTop w:val="0"/>
          <w:marBottom w:val="0"/>
          <w:divBdr>
            <w:top w:val="none" w:sz="0" w:space="0" w:color="auto"/>
            <w:left w:val="none" w:sz="0" w:space="0" w:color="auto"/>
            <w:bottom w:val="none" w:sz="0" w:space="0" w:color="auto"/>
            <w:right w:val="none" w:sz="0" w:space="0" w:color="auto"/>
          </w:divBdr>
        </w:div>
        <w:div w:id="586304406">
          <w:marLeft w:val="0"/>
          <w:marRight w:val="0"/>
          <w:marTop w:val="0"/>
          <w:marBottom w:val="0"/>
          <w:divBdr>
            <w:top w:val="none" w:sz="0" w:space="0" w:color="auto"/>
            <w:left w:val="none" w:sz="0" w:space="0" w:color="auto"/>
            <w:bottom w:val="none" w:sz="0" w:space="0" w:color="auto"/>
            <w:right w:val="none" w:sz="0" w:space="0" w:color="auto"/>
          </w:divBdr>
        </w:div>
        <w:div w:id="1616864035">
          <w:marLeft w:val="0"/>
          <w:marRight w:val="0"/>
          <w:marTop w:val="0"/>
          <w:marBottom w:val="0"/>
          <w:divBdr>
            <w:top w:val="none" w:sz="0" w:space="0" w:color="auto"/>
            <w:left w:val="none" w:sz="0" w:space="0" w:color="auto"/>
            <w:bottom w:val="none" w:sz="0" w:space="0" w:color="auto"/>
            <w:right w:val="none" w:sz="0" w:space="0" w:color="auto"/>
          </w:divBdr>
        </w:div>
        <w:div w:id="1572886248">
          <w:marLeft w:val="0"/>
          <w:marRight w:val="0"/>
          <w:marTop w:val="0"/>
          <w:marBottom w:val="0"/>
          <w:divBdr>
            <w:top w:val="none" w:sz="0" w:space="0" w:color="auto"/>
            <w:left w:val="none" w:sz="0" w:space="0" w:color="auto"/>
            <w:bottom w:val="none" w:sz="0" w:space="0" w:color="auto"/>
            <w:right w:val="none" w:sz="0" w:space="0" w:color="auto"/>
          </w:divBdr>
        </w:div>
        <w:div w:id="572588557">
          <w:marLeft w:val="0"/>
          <w:marRight w:val="0"/>
          <w:marTop w:val="0"/>
          <w:marBottom w:val="0"/>
          <w:divBdr>
            <w:top w:val="none" w:sz="0" w:space="0" w:color="auto"/>
            <w:left w:val="none" w:sz="0" w:space="0" w:color="auto"/>
            <w:bottom w:val="none" w:sz="0" w:space="0" w:color="auto"/>
            <w:right w:val="none" w:sz="0" w:space="0" w:color="auto"/>
          </w:divBdr>
        </w:div>
        <w:div w:id="802189063">
          <w:marLeft w:val="0"/>
          <w:marRight w:val="0"/>
          <w:marTop w:val="0"/>
          <w:marBottom w:val="0"/>
          <w:divBdr>
            <w:top w:val="none" w:sz="0" w:space="0" w:color="auto"/>
            <w:left w:val="none" w:sz="0" w:space="0" w:color="auto"/>
            <w:bottom w:val="none" w:sz="0" w:space="0" w:color="auto"/>
            <w:right w:val="none" w:sz="0" w:space="0" w:color="auto"/>
          </w:divBdr>
        </w:div>
        <w:div w:id="8873371">
          <w:marLeft w:val="0"/>
          <w:marRight w:val="0"/>
          <w:marTop w:val="0"/>
          <w:marBottom w:val="0"/>
          <w:divBdr>
            <w:top w:val="none" w:sz="0" w:space="0" w:color="auto"/>
            <w:left w:val="none" w:sz="0" w:space="0" w:color="auto"/>
            <w:bottom w:val="none" w:sz="0" w:space="0" w:color="auto"/>
            <w:right w:val="none" w:sz="0" w:space="0" w:color="auto"/>
          </w:divBdr>
        </w:div>
        <w:div w:id="591668403">
          <w:marLeft w:val="0"/>
          <w:marRight w:val="0"/>
          <w:marTop w:val="0"/>
          <w:marBottom w:val="0"/>
          <w:divBdr>
            <w:top w:val="none" w:sz="0" w:space="0" w:color="auto"/>
            <w:left w:val="none" w:sz="0" w:space="0" w:color="auto"/>
            <w:bottom w:val="none" w:sz="0" w:space="0" w:color="auto"/>
            <w:right w:val="none" w:sz="0" w:space="0" w:color="auto"/>
          </w:divBdr>
        </w:div>
        <w:div w:id="2111578987">
          <w:marLeft w:val="0"/>
          <w:marRight w:val="0"/>
          <w:marTop w:val="0"/>
          <w:marBottom w:val="0"/>
          <w:divBdr>
            <w:top w:val="none" w:sz="0" w:space="0" w:color="auto"/>
            <w:left w:val="none" w:sz="0" w:space="0" w:color="auto"/>
            <w:bottom w:val="none" w:sz="0" w:space="0" w:color="auto"/>
            <w:right w:val="none" w:sz="0" w:space="0" w:color="auto"/>
          </w:divBdr>
        </w:div>
        <w:div w:id="1630355664">
          <w:marLeft w:val="0"/>
          <w:marRight w:val="0"/>
          <w:marTop w:val="0"/>
          <w:marBottom w:val="0"/>
          <w:divBdr>
            <w:top w:val="none" w:sz="0" w:space="0" w:color="auto"/>
            <w:left w:val="none" w:sz="0" w:space="0" w:color="auto"/>
            <w:bottom w:val="none" w:sz="0" w:space="0" w:color="auto"/>
            <w:right w:val="none" w:sz="0" w:space="0" w:color="auto"/>
          </w:divBdr>
        </w:div>
        <w:div w:id="359401137">
          <w:marLeft w:val="0"/>
          <w:marRight w:val="0"/>
          <w:marTop w:val="0"/>
          <w:marBottom w:val="0"/>
          <w:divBdr>
            <w:top w:val="none" w:sz="0" w:space="0" w:color="auto"/>
            <w:left w:val="none" w:sz="0" w:space="0" w:color="auto"/>
            <w:bottom w:val="none" w:sz="0" w:space="0" w:color="auto"/>
            <w:right w:val="none" w:sz="0" w:space="0" w:color="auto"/>
          </w:divBdr>
        </w:div>
        <w:div w:id="1255086494">
          <w:marLeft w:val="0"/>
          <w:marRight w:val="0"/>
          <w:marTop w:val="0"/>
          <w:marBottom w:val="0"/>
          <w:divBdr>
            <w:top w:val="none" w:sz="0" w:space="0" w:color="auto"/>
            <w:left w:val="none" w:sz="0" w:space="0" w:color="auto"/>
            <w:bottom w:val="none" w:sz="0" w:space="0" w:color="auto"/>
            <w:right w:val="none" w:sz="0" w:space="0" w:color="auto"/>
          </w:divBdr>
        </w:div>
        <w:div w:id="1177885707">
          <w:marLeft w:val="0"/>
          <w:marRight w:val="0"/>
          <w:marTop w:val="0"/>
          <w:marBottom w:val="0"/>
          <w:divBdr>
            <w:top w:val="none" w:sz="0" w:space="0" w:color="auto"/>
            <w:left w:val="none" w:sz="0" w:space="0" w:color="auto"/>
            <w:bottom w:val="none" w:sz="0" w:space="0" w:color="auto"/>
            <w:right w:val="none" w:sz="0" w:space="0" w:color="auto"/>
          </w:divBdr>
        </w:div>
        <w:div w:id="1840459483">
          <w:marLeft w:val="0"/>
          <w:marRight w:val="0"/>
          <w:marTop w:val="0"/>
          <w:marBottom w:val="0"/>
          <w:divBdr>
            <w:top w:val="none" w:sz="0" w:space="0" w:color="auto"/>
            <w:left w:val="none" w:sz="0" w:space="0" w:color="auto"/>
            <w:bottom w:val="none" w:sz="0" w:space="0" w:color="auto"/>
            <w:right w:val="none" w:sz="0" w:space="0" w:color="auto"/>
          </w:divBdr>
        </w:div>
        <w:div w:id="701322184">
          <w:marLeft w:val="0"/>
          <w:marRight w:val="0"/>
          <w:marTop w:val="0"/>
          <w:marBottom w:val="0"/>
          <w:divBdr>
            <w:top w:val="none" w:sz="0" w:space="0" w:color="auto"/>
            <w:left w:val="none" w:sz="0" w:space="0" w:color="auto"/>
            <w:bottom w:val="none" w:sz="0" w:space="0" w:color="auto"/>
            <w:right w:val="none" w:sz="0" w:space="0" w:color="auto"/>
          </w:divBdr>
        </w:div>
        <w:div w:id="1093667116">
          <w:marLeft w:val="0"/>
          <w:marRight w:val="0"/>
          <w:marTop w:val="0"/>
          <w:marBottom w:val="0"/>
          <w:divBdr>
            <w:top w:val="none" w:sz="0" w:space="0" w:color="auto"/>
            <w:left w:val="none" w:sz="0" w:space="0" w:color="auto"/>
            <w:bottom w:val="none" w:sz="0" w:space="0" w:color="auto"/>
            <w:right w:val="none" w:sz="0" w:space="0" w:color="auto"/>
          </w:divBdr>
        </w:div>
        <w:div w:id="1940526538">
          <w:marLeft w:val="0"/>
          <w:marRight w:val="0"/>
          <w:marTop w:val="0"/>
          <w:marBottom w:val="0"/>
          <w:divBdr>
            <w:top w:val="none" w:sz="0" w:space="0" w:color="auto"/>
            <w:left w:val="none" w:sz="0" w:space="0" w:color="auto"/>
            <w:bottom w:val="none" w:sz="0" w:space="0" w:color="auto"/>
            <w:right w:val="none" w:sz="0" w:space="0" w:color="auto"/>
          </w:divBdr>
        </w:div>
        <w:div w:id="1700467380">
          <w:marLeft w:val="0"/>
          <w:marRight w:val="0"/>
          <w:marTop w:val="0"/>
          <w:marBottom w:val="0"/>
          <w:divBdr>
            <w:top w:val="none" w:sz="0" w:space="0" w:color="auto"/>
            <w:left w:val="none" w:sz="0" w:space="0" w:color="auto"/>
            <w:bottom w:val="none" w:sz="0" w:space="0" w:color="auto"/>
            <w:right w:val="none" w:sz="0" w:space="0" w:color="auto"/>
          </w:divBdr>
        </w:div>
        <w:div w:id="488712775">
          <w:marLeft w:val="0"/>
          <w:marRight w:val="0"/>
          <w:marTop w:val="0"/>
          <w:marBottom w:val="0"/>
          <w:divBdr>
            <w:top w:val="none" w:sz="0" w:space="0" w:color="auto"/>
            <w:left w:val="none" w:sz="0" w:space="0" w:color="auto"/>
            <w:bottom w:val="none" w:sz="0" w:space="0" w:color="auto"/>
            <w:right w:val="none" w:sz="0" w:space="0" w:color="auto"/>
          </w:divBdr>
        </w:div>
        <w:div w:id="2088722718">
          <w:marLeft w:val="0"/>
          <w:marRight w:val="0"/>
          <w:marTop w:val="0"/>
          <w:marBottom w:val="0"/>
          <w:divBdr>
            <w:top w:val="none" w:sz="0" w:space="0" w:color="auto"/>
            <w:left w:val="none" w:sz="0" w:space="0" w:color="auto"/>
            <w:bottom w:val="none" w:sz="0" w:space="0" w:color="auto"/>
            <w:right w:val="none" w:sz="0" w:space="0" w:color="auto"/>
          </w:divBdr>
        </w:div>
        <w:div w:id="1589851783">
          <w:marLeft w:val="0"/>
          <w:marRight w:val="0"/>
          <w:marTop w:val="0"/>
          <w:marBottom w:val="0"/>
          <w:divBdr>
            <w:top w:val="none" w:sz="0" w:space="0" w:color="auto"/>
            <w:left w:val="none" w:sz="0" w:space="0" w:color="auto"/>
            <w:bottom w:val="none" w:sz="0" w:space="0" w:color="auto"/>
            <w:right w:val="none" w:sz="0" w:space="0" w:color="auto"/>
          </w:divBdr>
          <w:divsChild>
            <w:div w:id="1049763077">
              <w:marLeft w:val="0"/>
              <w:marRight w:val="0"/>
              <w:marTop w:val="0"/>
              <w:marBottom w:val="0"/>
              <w:divBdr>
                <w:top w:val="none" w:sz="0" w:space="0" w:color="auto"/>
                <w:left w:val="none" w:sz="0" w:space="0" w:color="auto"/>
                <w:bottom w:val="none" w:sz="0" w:space="0" w:color="auto"/>
                <w:right w:val="none" w:sz="0" w:space="0" w:color="auto"/>
              </w:divBdr>
              <w:divsChild>
                <w:div w:id="3173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17629">
          <w:marLeft w:val="0"/>
          <w:marRight w:val="0"/>
          <w:marTop w:val="0"/>
          <w:marBottom w:val="0"/>
          <w:divBdr>
            <w:top w:val="none" w:sz="0" w:space="0" w:color="auto"/>
            <w:left w:val="none" w:sz="0" w:space="0" w:color="auto"/>
            <w:bottom w:val="none" w:sz="0" w:space="0" w:color="auto"/>
            <w:right w:val="none" w:sz="0" w:space="0" w:color="auto"/>
          </w:divBdr>
        </w:div>
        <w:div w:id="781147836">
          <w:marLeft w:val="0"/>
          <w:marRight w:val="0"/>
          <w:marTop w:val="0"/>
          <w:marBottom w:val="0"/>
          <w:divBdr>
            <w:top w:val="none" w:sz="0" w:space="0" w:color="auto"/>
            <w:left w:val="none" w:sz="0" w:space="0" w:color="auto"/>
            <w:bottom w:val="none" w:sz="0" w:space="0" w:color="auto"/>
            <w:right w:val="none" w:sz="0" w:space="0" w:color="auto"/>
          </w:divBdr>
        </w:div>
        <w:div w:id="32269759">
          <w:marLeft w:val="0"/>
          <w:marRight w:val="0"/>
          <w:marTop w:val="0"/>
          <w:marBottom w:val="0"/>
          <w:divBdr>
            <w:top w:val="none" w:sz="0" w:space="0" w:color="auto"/>
            <w:left w:val="none" w:sz="0" w:space="0" w:color="auto"/>
            <w:bottom w:val="none" w:sz="0" w:space="0" w:color="auto"/>
            <w:right w:val="none" w:sz="0" w:space="0" w:color="auto"/>
          </w:divBdr>
        </w:div>
        <w:div w:id="2093551500">
          <w:marLeft w:val="0"/>
          <w:marRight w:val="0"/>
          <w:marTop w:val="0"/>
          <w:marBottom w:val="0"/>
          <w:divBdr>
            <w:top w:val="none" w:sz="0" w:space="0" w:color="auto"/>
            <w:left w:val="none" w:sz="0" w:space="0" w:color="auto"/>
            <w:bottom w:val="none" w:sz="0" w:space="0" w:color="auto"/>
            <w:right w:val="none" w:sz="0" w:space="0" w:color="auto"/>
          </w:divBdr>
        </w:div>
        <w:div w:id="1895851290">
          <w:marLeft w:val="0"/>
          <w:marRight w:val="0"/>
          <w:marTop w:val="0"/>
          <w:marBottom w:val="0"/>
          <w:divBdr>
            <w:top w:val="none" w:sz="0" w:space="0" w:color="auto"/>
            <w:left w:val="none" w:sz="0" w:space="0" w:color="auto"/>
            <w:bottom w:val="none" w:sz="0" w:space="0" w:color="auto"/>
            <w:right w:val="none" w:sz="0" w:space="0" w:color="auto"/>
          </w:divBdr>
        </w:div>
        <w:div w:id="1270166147">
          <w:marLeft w:val="0"/>
          <w:marRight w:val="0"/>
          <w:marTop w:val="0"/>
          <w:marBottom w:val="0"/>
          <w:divBdr>
            <w:top w:val="none" w:sz="0" w:space="0" w:color="auto"/>
            <w:left w:val="none" w:sz="0" w:space="0" w:color="auto"/>
            <w:bottom w:val="none" w:sz="0" w:space="0" w:color="auto"/>
            <w:right w:val="none" w:sz="0" w:space="0" w:color="auto"/>
          </w:divBdr>
        </w:div>
        <w:div w:id="1807580176">
          <w:marLeft w:val="0"/>
          <w:marRight w:val="0"/>
          <w:marTop w:val="0"/>
          <w:marBottom w:val="0"/>
          <w:divBdr>
            <w:top w:val="none" w:sz="0" w:space="0" w:color="auto"/>
            <w:left w:val="none" w:sz="0" w:space="0" w:color="auto"/>
            <w:bottom w:val="none" w:sz="0" w:space="0" w:color="auto"/>
            <w:right w:val="none" w:sz="0" w:space="0" w:color="auto"/>
          </w:divBdr>
        </w:div>
        <w:div w:id="414398198">
          <w:marLeft w:val="0"/>
          <w:marRight w:val="0"/>
          <w:marTop w:val="0"/>
          <w:marBottom w:val="0"/>
          <w:divBdr>
            <w:top w:val="none" w:sz="0" w:space="0" w:color="auto"/>
            <w:left w:val="none" w:sz="0" w:space="0" w:color="auto"/>
            <w:bottom w:val="none" w:sz="0" w:space="0" w:color="auto"/>
            <w:right w:val="none" w:sz="0" w:space="0" w:color="auto"/>
          </w:divBdr>
        </w:div>
        <w:div w:id="432625436">
          <w:marLeft w:val="0"/>
          <w:marRight w:val="0"/>
          <w:marTop w:val="0"/>
          <w:marBottom w:val="0"/>
          <w:divBdr>
            <w:top w:val="none" w:sz="0" w:space="0" w:color="auto"/>
            <w:left w:val="none" w:sz="0" w:space="0" w:color="auto"/>
            <w:bottom w:val="none" w:sz="0" w:space="0" w:color="auto"/>
            <w:right w:val="none" w:sz="0" w:space="0" w:color="auto"/>
          </w:divBdr>
        </w:div>
        <w:div w:id="2114132116">
          <w:marLeft w:val="0"/>
          <w:marRight w:val="0"/>
          <w:marTop w:val="0"/>
          <w:marBottom w:val="0"/>
          <w:divBdr>
            <w:top w:val="none" w:sz="0" w:space="0" w:color="auto"/>
            <w:left w:val="none" w:sz="0" w:space="0" w:color="auto"/>
            <w:bottom w:val="none" w:sz="0" w:space="0" w:color="auto"/>
            <w:right w:val="none" w:sz="0" w:space="0" w:color="auto"/>
          </w:divBdr>
        </w:div>
        <w:div w:id="2036883378">
          <w:marLeft w:val="0"/>
          <w:marRight w:val="0"/>
          <w:marTop w:val="0"/>
          <w:marBottom w:val="0"/>
          <w:divBdr>
            <w:top w:val="none" w:sz="0" w:space="0" w:color="auto"/>
            <w:left w:val="none" w:sz="0" w:space="0" w:color="auto"/>
            <w:bottom w:val="none" w:sz="0" w:space="0" w:color="auto"/>
            <w:right w:val="none" w:sz="0" w:space="0" w:color="auto"/>
          </w:divBdr>
        </w:div>
        <w:div w:id="1718507457">
          <w:marLeft w:val="0"/>
          <w:marRight w:val="0"/>
          <w:marTop w:val="0"/>
          <w:marBottom w:val="0"/>
          <w:divBdr>
            <w:top w:val="none" w:sz="0" w:space="0" w:color="auto"/>
            <w:left w:val="none" w:sz="0" w:space="0" w:color="auto"/>
            <w:bottom w:val="none" w:sz="0" w:space="0" w:color="auto"/>
            <w:right w:val="none" w:sz="0" w:space="0" w:color="auto"/>
          </w:divBdr>
        </w:div>
        <w:div w:id="826168407">
          <w:marLeft w:val="0"/>
          <w:marRight w:val="0"/>
          <w:marTop w:val="0"/>
          <w:marBottom w:val="0"/>
          <w:divBdr>
            <w:top w:val="none" w:sz="0" w:space="0" w:color="auto"/>
            <w:left w:val="none" w:sz="0" w:space="0" w:color="auto"/>
            <w:bottom w:val="none" w:sz="0" w:space="0" w:color="auto"/>
            <w:right w:val="none" w:sz="0" w:space="0" w:color="auto"/>
          </w:divBdr>
        </w:div>
        <w:div w:id="2046633812">
          <w:marLeft w:val="0"/>
          <w:marRight w:val="0"/>
          <w:marTop w:val="0"/>
          <w:marBottom w:val="0"/>
          <w:divBdr>
            <w:top w:val="none" w:sz="0" w:space="0" w:color="auto"/>
            <w:left w:val="none" w:sz="0" w:space="0" w:color="auto"/>
            <w:bottom w:val="none" w:sz="0" w:space="0" w:color="auto"/>
            <w:right w:val="none" w:sz="0" w:space="0" w:color="auto"/>
          </w:divBdr>
        </w:div>
        <w:div w:id="1577090560">
          <w:marLeft w:val="0"/>
          <w:marRight w:val="0"/>
          <w:marTop w:val="0"/>
          <w:marBottom w:val="0"/>
          <w:divBdr>
            <w:top w:val="none" w:sz="0" w:space="0" w:color="auto"/>
            <w:left w:val="none" w:sz="0" w:space="0" w:color="auto"/>
            <w:bottom w:val="none" w:sz="0" w:space="0" w:color="auto"/>
            <w:right w:val="none" w:sz="0" w:space="0" w:color="auto"/>
          </w:divBdr>
        </w:div>
        <w:div w:id="2066027318">
          <w:marLeft w:val="0"/>
          <w:marRight w:val="0"/>
          <w:marTop w:val="0"/>
          <w:marBottom w:val="0"/>
          <w:divBdr>
            <w:top w:val="none" w:sz="0" w:space="0" w:color="auto"/>
            <w:left w:val="none" w:sz="0" w:space="0" w:color="auto"/>
            <w:bottom w:val="none" w:sz="0" w:space="0" w:color="auto"/>
            <w:right w:val="none" w:sz="0" w:space="0" w:color="auto"/>
          </w:divBdr>
        </w:div>
        <w:div w:id="2055276172">
          <w:marLeft w:val="0"/>
          <w:marRight w:val="0"/>
          <w:marTop w:val="0"/>
          <w:marBottom w:val="0"/>
          <w:divBdr>
            <w:top w:val="none" w:sz="0" w:space="0" w:color="auto"/>
            <w:left w:val="none" w:sz="0" w:space="0" w:color="auto"/>
            <w:bottom w:val="none" w:sz="0" w:space="0" w:color="auto"/>
            <w:right w:val="none" w:sz="0" w:space="0" w:color="auto"/>
          </w:divBdr>
        </w:div>
        <w:div w:id="827601367">
          <w:marLeft w:val="0"/>
          <w:marRight w:val="0"/>
          <w:marTop w:val="0"/>
          <w:marBottom w:val="0"/>
          <w:divBdr>
            <w:top w:val="none" w:sz="0" w:space="0" w:color="auto"/>
            <w:left w:val="none" w:sz="0" w:space="0" w:color="auto"/>
            <w:bottom w:val="none" w:sz="0" w:space="0" w:color="auto"/>
            <w:right w:val="none" w:sz="0" w:space="0" w:color="auto"/>
          </w:divBdr>
        </w:div>
        <w:div w:id="774862509">
          <w:marLeft w:val="0"/>
          <w:marRight w:val="0"/>
          <w:marTop w:val="0"/>
          <w:marBottom w:val="0"/>
          <w:divBdr>
            <w:top w:val="none" w:sz="0" w:space="0" w:color="auto"/>
            <w:left w:val="none" w:sz="0" w:space="0" w:color="auto"/>
            <w:bottom w:val="none" w:sz="0" w:space="0" w:color="auto"/>
            <w:right w:val="none" w:sz="0" w:space="0" w:color="auto"/>
          </w:divBdr>
        </w:div>
        <w:div w:id="2107923918">
          <w:marLeft w:val="0"/>
          <w:marRight w:val="0"/>
          <w:marTop w:val="0"/>
          <w:marBottom w:val="0"/>
          <w:divBdr>
            <w:top w:val="none" w:sz="0" w:space="0" w:color="auto"/>
            <w:left w:val="none" w:sz="0" w:space="0" w:color="auto"/>
            <w:bottom w:val="none" w:sz="0" w:space="0" w:color="auto"/>
            <w:right w:val="none" w:sz="0" w:space="0" w:color="auto"/>
          </w:divBdr>
        </w:div>
        <w:div w:id="1029719995">
          <w:marLeft w:val="0"/>
          <w:marRight w:val="0"/>
          <w:marTop w:val="0"/>
          <w:marBottom w:val="0"/>
          <w:divBdr>
            <w:top w:val="none" w:sz="0" w:space="0" w:color="auto"/>
            <w:left w:val="none" w:sz="0" w:space="0" w:color="auto"/>
            <w:bottom w:val="none" w:sz="0" w:space="0" w:color="auto"/>
            <w:right w:val="none" w:sz="0" w:space="0" w:color="auto"/>
          </w:divBdr>
        </w:div>
        <w:div w:id="2143884350">
          <w:marLeft w:val="0"/>
          <w:marRight w:val="0"/>
          <w:marTop w:val="0"/>
          <w:marBottom w:val="0"/>
          <w:divBdr>
            <w:top w:val="none" w:sz="0" w:space="0" w:color="auto"/>
            <w:left w:val="none" w:sz="0" w:space="0" w:color="auto"/>
            <w:bottom w:val="none" w:sz="0" w:space="0" w:color="auto"/>
            <w:right w:val="none" w:sz="0" w:space="0" w:color="auto"/>
          </w:divBdr>
        </w:div>
        <w:div w:id="575474875">
          <w:marLeft w:val="0"/>
          <w:marRight w:val="0"/>
          <w:marTop w:val="0"/>
          <w:marBottom w:val="0"/>
          <w:divBdr>
            <w:top w:val="none" w:sz="0" w:space="0" w:color="auto"/>
            <w:left w:val="none" w:sz="0" w:space="0" w:color="auto"/>
            <w:bottom w:val="none" w:sz="0" w:space="0" w:color="auto"/>
            <w:right w:val="none" w:sz="0" w:space="0" w:color="auto"/>
          </w:divBdr>
        </w:div>
        <w:div w:id="1646009870">
          <w:marLeft w:val="0"/>
          <w:marRight w:val="0"/>
          <w:marTop w:val="0"/>
          <w:marBottom w:val="0"/>
          <w:divBdr>
            <w:top w:val="none" w:sz="0" w:space="0" w:color="auto"/>
            <w:left w:val="none" w:sz="0" w:space="0" w:color="auto"/>
            <w:bottom w:val="none" w:sz="0" w:space="0" w:color="auto"/>
            <w:right w:val="none" w:sz="0" w:space="0" w:color="auto"/>
          </w:divBdr>
        </w:div>
        <w:div w:id="2099279337">
          <w:marLeft w:val="0"/>
          <w:marRight w:val="0"/>
          <w:marTop w:val="0"/>
          <w:marBottom w:val="0"/>
          <w:divBdr>
            <w:top w:val="none" w:sz="0" w:space="0" w:color="auto"/>
            <w:left w:val="none" w:sz="0" w:space="0" w:color="auto"/>
            <w:bottom w:val="none" w:sz="0" w:space="0" w:color="auto"/>
            <w:right w:val="none" w:sz="0" w:space="0" w:color="auto"/>
          </w:divBdr>
        </w:div>
        <w:div w:id="665669178">
          <w:marLeft w:val="0"/>
          <w:marRight w:val="0"/>
          <w:marTop w:val="0"/>
          <w:marBottom w:val="0"/>
          <w:divBdr>
            <w:top w:val="none" w:sz="0" w:space="0" w:color="auto"/>
            <w:left w:val="none" w:sz="0" w:space="0" w:color="auto"/>
            <w:bottom w:val="none" w:sz="0" w:space="0" w:color="auto"/>
            <w:right w:val="none" w:sz="0" w:space="0" w:color="auto"/>
          </w:divBdr>
        </w:div>
        <w:div w:id="768817650">
          <w:marLeft w:val="0"/>
          <w:marRight w:val="0"/>
          <w:marTop w:val="0"/>
          <w:marBottom w:val="0"/>
          <w:divBdr>
            <w:top w:val="none" w:sz="0" w:space="0" w:color="auto"/>
            <w:left w:val="none" w:sz="0" w:space="0" w:color="auto"/>
            <w:bottom w:val="none" w:sz="0" w:space="0" w:color="auto"/>
            <w:right w:val="none" w:sz="0" w:space="0" w:color="auto"/>
          </w:divBdr>
        </w:div>
        <w:div w:id="586185034">
          <w:marLeft w:val="0"/>
          <w:marRight w:val="0"/>
          <w:marTop w:val="0"/>
          <w:marBottom w:val="0"/>
          <w:divBdr>
            <w:top w:val="none" w:sz="0" w:space="0" w:color="auto"/>
            <w:left w:val="none" w:sz="0" w:space="0" w:color="auto"/>
            <w:bottom w:val="none" w:sz="0" w:space="0" w:color="auto"/>
            <w:right w:val="none" w:sz="0" w:space="0" w:color="auto"/>
          </w:divBdr>
        </w:div>
        <w:div w:id="1078290607">
          <w:marLeft w:val="0"/>
          <w:marRight w:val="0"/>
          <w:marTop w:val="0"/>
          <w:marBottom w:val="0"/>
          <w:divBdr>
            <w:top w:val="none" w:sz="0" w:space="0" w:color="auto"/>
            <w:left w:val="none" w:sz="0" w:space="0" w:color="auto"/>
            <w:bottom w:val="none" w:sz="0" w:space="0" w:color="auto"/>
            <w:right w:val="none" w:sz="0" w:space="0" w:color="auto"/>
          </w:divBdr>
        </w:div>
        <w:div w:id="787705725">
          <w:marLeft w:val="0"/>
          <w:marRight w:val="0"/>
          <w:marTop w:val="0"/>
          <w:marBottom w:val="0"/>
          <w:divBdr>
            <w:top w:val="none" w:sz="0" w:space="0" w:color="auto"/>
            <w:left w:val="none" w:sz="0" w:space="0" w:color="auto"/>
            <w:bottom w:val="none" w:sz="0" w:space="0" w:color="auto"/>
            <w:right w:val="none" w:sz="0" w:space="0" w:color="auto"/>
          </w:divBdr>
        </w:div>
        <w:div w:id="1009675538">
          <w:marLeft w:val="0"/>
          <w:marRight w:val="0"/>
          <w:marTop w:val="0"/>
          <w:marBottom w:val="0"/>
          <w:divBdr>
            <w:top w:val="none" w:sz="0" w:space="0" w:color="auto"/>
            <w:left w:val="none" w:sz="0" w:space="0" w:color="auto"/>
            <w:bottom w:val="none" w:sz="0" w:space="0" w:color="auto"/>
            <w:right w:val="none" w:sz="0" w:space="0" w:color="auto"/>
          </w:divBdr>
        </w:div>
        <w:div w:id="108204780">
          <w:marLeft w:val="0"/>
          <w:marRight w:val="0"/>
          <w:marTop w:val="0"/>
          <w:marBottom w:val="0"/>
          <w:divBdr>
            <w:top w:val="none" w:sz="0" w:space="0" w:color="auto"/>
            <w:left w:val="none" w:sz="0" w:space="0" w:color="auto"/>
            <w:bottom w:val="none" w:sz="0" w:space="0" w:color="auto"/>
            <w:right w:val="none" w:sz="0" w:space="0" w:color="auto"/>
          </w:divBdr>
        </w:div>
        <w:div w:id="134223293">
          <w:marLeft w:val="0"/>
          <w:marRight w:val="0"/>
          <w:marTop w:val="0"/>
          <w:marBottom w:val="0"/>
          <w:divBdr>
            <w:top w:val="none" w:sz="0" w:space="0" w:color="auto"/>
            <w:left w:val="none" w:sz="0" w:space="0" w:color="auto"/>
            <w:bottom w:val="none" w:sz="0" w:space="0" w:color="auto"/>
            <w:right w:val="none" w:sz="0" w:space="0" w:color="auto"/>
          </w:divBdr>
        </w:div>
        <w:div w:id="49498155">
          <w:marLeft w:val="0"/>
          <w:marRight w:val="0"/>
          <w:marTop w:val="0"/>
          <w:marBottom w:val="0"/>
          <w:divBdr>
            <w:top w:val="none" w:sz="0" w:space="0" w:color="auto"/>
            <w:left w:val="none" w:sz="0" w:space="0" w:color="auto"/>
            <w:bottom w:val="none" w:sz="0" w:space="0" w:color="auto"/>
            <w:right w:val="none" w:sz="0" w:space="0" w:color="auto"/>
          </w:divBdr>
        </w:div>
        <w:div w:id="923606774">
          <w:marLeft w:val="0"/>
          <w:marRight w:val="0"/>
          <w:marTop w:val="0"/>
          <w:marBottom w:val="0"/>
          <w:divBdr>
            <w:top w:val="none" w:sz="0" w:space="0" w:color="auto"/>
            <w:left w:val="none" w:sz="0" w:space="0" w:color="auto"/>
            <w:bottom w:val="none" w:sz="0" w:space="0" w:color="auto"/>
            <w:right w:val="none" w:sz="0" w:space="0" w:color="auto"/>
          </w:divBdr>
        </w:div>
        <w:div w:id="1711682891">
          <w:marLeft w:val="0"/>
          <w:marRight w:val="0"/>
          <w:marTop w:val="0"/>
          <w:marBottom w:val="0"/>
          <w:divBdr>
            <w:top w:val="none" w:sz="0" w:space="0" w:color="auto"/>
            <w:left w:val="none" w:sz="0" w:space="0" w:color="auto"/>
            <w:bottom w:val="none" w:sz="0" w:space="0" w:color="auto"/>
            <w:right w:val="none" w:sz="0" w:space="0" w:color="auto"/>
          </w:divBdr>
        </w:div>
        <w:div w:id="352001079">
          <w:marLeft w:val="0"/>
          <w:marRight w:val="0"/>
          <w:marTop w:val="0"/>
          <w:marBottom w:val="0"/>
          <w:divBdr>
            <w:top w:val="none" w:sz="0" w:space="0" w:color="auto"/>
            <w:left w:val="none" w:sz="0" w:space="0" w:color="auto"/>
            <w:bottom w:val="none" w:sz="0" w:space="0" w:color="auto"/>
            <w:right w:val="none" w:sz="0" w:space="0" w:color="auto"/>
          </w:divBdr>
        </w:div>
        <w:div w:id="2005891216">
          <w:marLeft w:val="0"/>
          <w:marRight w:val="0"/>
          <w:marTop w:val="0"/>
          <w:marBottom w:val="0"/>
          <w:divBdr>
            <w:top w:val="none" w:sz="0" w:space="0" w:color="auto"/>
            <w:left w:val="none" w:sz="0" w:space="0" w:color="auto"/>
            <w:bottom w:val="none" w:sz="0" w:space="0" w:color="auto"/>
            <w:right w:val="none" w:sz="0" w:space="0" w:color="auto"/>
          </w:divBdr>
        </w:div>
        <w:div w:id="1329746989">
          <w:marLeft w:val="0"/>
          <w:marRight w:val="0"/>
          <w:marTop w:val="0"/>
          <w:marBottom w:val="0"/>
          <w:divBdr>
            <w:top w:val="none" w:sz="0" w:space="0" w:color="auto"/>
            <w:left w:val="none" w:sz="0" w:space="0" w:color="auto"/>
            <w:bottom w:val="none" w:sz="0" w:space="0" w:color="auto"/>
            <w:right w:val="none" w:sz="0" w:space="0" w:color="auto"/>
          </w:divBdr>
        </w:div>
        <w:div w:id="1785882419">
          <w:marLeft w:val="0"/>
          <w:marRight w:val="0"/>
          <w:marTop w:val="0"/>
          <w:marBottom w:val="0"/>
          <w:divBdr>
            <w:top w:val="none" w:sz="0" w:space="0" w:color="auto"/>
            <w:left w:val="none" w:sz="0" w:space="0" w:color="auto"/>
            <w:bottom w:val="none" w:sz="0" w:space="0" w:color="auto"/>
            <w:right w:val="none" w:sz="0" w:space="0" w:color="auto"/>
          </w:divBdr>
        </w:div>
        <w:div w:id="740710013">
          <w:marLeft w:val="0"/>
          <w:marRight w:val="0"/>
          <w:marTop w:val="0"/>
          <w:marBottom w:val="0"/>
          <w:divBdr>
            <w:top w:val="none" w:sz="0" w:space="0" w:color="auto"/>
            <w:left w:val="none" w:sz="0" w:space="0" w:color="auto"/>
            <w:bottom w:val="none" w:sz="0" w:space="0" w:color="auto"/>
            <w:right w:val="none" w:sz="0" w:space="0" w:color="auto"/>
          </w:divBdr>
        </w:div>
        <w:div w:id="680738056">
          <w:marLeft w:val="0"/>
          <w:marRight w:val="0"/>
          <w:marTop w:val="0"/>
          <w:marBottom w:val="0"/>
          <w:divBdr>
            <w:top w:val="none" w:sz="0" w:space="0" w:color="auto"/>
            <w:left w:val="none" w:sz="0" w:space="0" w:color="auto"/>
            <w:bottom w:val="none" w:sz="0" w:space="0" w:color="auto"/>
            <w:right w:val="none" w:sz="0" w:space="0" w:color="auto"/>
          </w:divBdr>
        </w:div>
        <w:div w:id="1836187995">
          <w:marLeft w:val="0"/>
          <w:marRight w:val="0"/>
          <w:marTop w:val="0"/>
          <w:marBottom w:val="0"/>
          <w:divBdr>
            <w:top w:val="none" w:sz="0" w:space="0" w:color="auto"/>
            <w:left w:val="none" w:sz="0" w:space="0" w:color="auto"/>
            <w:bottom w:val="none" w:sz="0" w:space="0" w:color="auto"/>
            <w:right w:val="none" w:sz="0" w:space="0" w:color="auto"/>
          </w:divBdr>
        </w:div>
        <w:div w:id="308019288">
          <w:marLeft w:val="0"/>
          <w:marRight w:val="0"/>
          <w:marTop w:val="0"/>
          <w:marBottom w:val="0"/>
          <w:divBdr>
            <w:top w:val="none" w:sz="0" w:space="0" w:color="auto"/>
            <w:left w:val="none" w:sz="0" w:space="0" w:color="auto"/>
            <w:bottom w:val="none" w:sz="0" w:space="0" w:color="auto"/>
            <w:right w:val="none" w:sz="0" w:space="0" w:color="auto"/>
          </w:divBdr>
        </w:div>
        <w:div w:id="961499879">
          <w:marLeft w:val="0"/>
          <w:marRight w:val="0"/>
          <w:marTop w:val="0"/>
          <w:marBottom w:val="0"/>
          <w:divBdr>
            <w:top w:val="none" w:sz="0" w:space="0" w:color="auto"/>
            <w:left w:val="none" w:sz="0" w:space="0" w:color="auto"/>
            <w:bottom w:val="none" w:sz="0" w:space="0" w:color="auto"/>
            <w:right w:val="none" w:sz="0" w:space="0" w:color="auto"/>
          </w:divBdr>
        </w:div>
        <w:div w:id="2101758925">
          <w:marLeft w:val="0"/>
          <w:marRight w:val="0"/>
          <w:marTop w:val="0"/>
          <w:marBottom w:val="0"/>
          <w:divBdr>
            <w:top w:val="none" w:sz="0" w:space="0" w:color="auto"/>
            <w:left w:val="none" w:sz="0" w:space="0" w:color="auto"/>
            <w:bottom w:val="none" w:sz="0" w:space="0" w:color="auto"/>
            <w:right w:val="none" w:sz="0" w:space="0" w:color="auto"/>
          </w:divBdr>
        </w:div>
        <w:div w:id="1009404632">
          <w:marLeft w:val="0"/>
          <w:marRight w:val="0"/>
          <w:marTop w:val="0"/>
          <w:marBottom w:val="0"/>
          <w:divBdr>
            <w:top w:val="none" w:sz="0" w:space="0" w:color="auto"/>
            <w:left w:val="none" w:sz="0" w:space="0" w:color="auto"/>
            <w:bottom w:val="none" w:sz="0" w:space="0" w:color="auto"/>
            <w:right w:val="none" w:sz="0" w:space="0" w:color="auto"/>
          </w:divBdr>
        </w:div>
        <w:div w:id="1468473030">
          <w:marLeft w:val="0"/>
          <w:marRight w:val="0"/>
          <w:marTop w:val="0"/>
          <w:marBottom w:val="0"/>
          <w:divBdr>
            <w:top w:val="none" w:sz="0" w:space="0" w:color="auto"/>
            <w:left w:val="none" w:sz="0" w:space="0" w:color="auto"/>
            <w:bottom w:val="none" w:sz="0" w:space="0" w:color="auto"/>
            <w:right w:val="none" w:sz="0" w:space="0" w:color="auto"/>
          </w:divBdr>
        </w:div>
        <w:div w:id="770664350">
          <w:marLeft w:val="0"/>
          <w:marRight w:val="0"/>
          <w:marTop w:val="0"/>
          <w:marBottom w:val="0"/>
          <w:divBdr>
            <w:top w:val="none" w:sz="0" w:space="0" w:color="auto"/>
            <w:left w:val="none" w:sz="0" w:space="0" w:color="auto"/>
            <w:bottom w:val="none" w:sz="0" w:space="0" w:color="auto"/>
            <w:right w:val="none" w:sz="0" w:space="0" w:color="auto"/>
          </w:divBdr>
        </w:div>
        <w:div w:id="964121569">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137836296">
          <w:marLeft w:val="0"/>
          <w:marRight w:val="0"/>
          <w:marTop w:val="0"/>
          <w:marBottom w:val="0"/>
          <w:divBdr>
            <w:top w:val="none" w:sz="0" w:space="0" w:color="auto"/>
            <w:left w:val="none" w:sz="0" w:space="0" w:color="auto"/>
            <w:bottom w:val="none" w:sz="0" w:space="0" w:color="auto"/>
            <w:right w:val="none" w:sz="0" w:space="0" w:color="auto"/>
          </w:divBdr>
        </w:div>
        <w:div w:id="646207886">
          <w:marLeft w:val="0"/>
          <w:marRight w:val="0"/>
          <w:marTop w:val="0"/>
          <w:marBottom w:val="0"/>
          <w:divBdr>
            <w:top w:val="none" w:sz="0" w:space="0" w:color="auto"/>
            <w:left w:val="none" w:sz="0" w:space="0" w:color="auto"/>
            <w:bottom w:val="none" w:sz="0" w:space="0" w:color="auto"/>
            <w:right w:val="none" w:sz="0" w:space="0" w:color="auto"/>
          </w:divBdr>
        </w:div>
        <w:div w:id="968055393">
          <w:marLeft w:val="0"/>
          <w:marRight w:val="0"/>
          <w:marTop w:val="0"/>
          <w:marBottom w:val="0"/>
          <w:divBdr>
            <w:top w:val="none" w:sz="0" w:space="0" w:color="auto"/>
            <w:left w:val="none" w:sz="0" w:space="0" w:color="auto"/>
            <w:bottom w:val="none" w:sz="0" w:space="0" w:color="auto"/>
            <w:right w:val="none" w:sz="0" w:space="0" w:color="auto"/>
          </w:divBdr>
        </w:div>
        <w:div w:id="1895119741">
          <w:marLeft w:val="0"/>
          <w:marRight w:val="0"/>
          <w:marTop w:val="0"/>
          <w:marBottom w:val="0"/>
          <w:divBdr>
            <w:top w:val="none" w:sz="0" w:space="0" w:color="auto"/>
            <w:left w:val="none" w:sz="0" w:space="0" w:color="auto"/>
            <w:bottom w:val="none" w:sz="0" w:space="0" w:color="auto"/>
            <w:right w:val="none" w:sz="0" w:space="0" w:color="auto"/>
          </w:divBdr>
        </w:div>
        <w:div w:id="1347950343">
          <w:marLeft w:val="0"/>
          <w:marRight w:val="0"/>
          <w:marTop w:val="0"/>
          <w:marBottom w:val="0"/>
          <w:divBdr>
            <w:top w:val="none" w:sz="0" w:space="0" w:color="auto"/>
            <w:left w:val="none" w:sz="0" w:space="0" w:color="auto"/>
            <w:bottom w:val="none" w:sz="0" w:space="0" w:color="auto"/>
            <w:right w:val="none" w:sz="0" w:space="0" w:color="auto"/>
          </w:divBdr>
        </w:div>
        <w:div w:id="1895002230">
          <w:marLeft w:val="0"/>
          <w:marRight w:val="0"/>
          <w:marTop w:val="0"/>
          <w:marBottom w:val="0"/>
          <w:divBdr>
            <w:top w:val="none" w:sz="0" w:space="0" w:color="auto"/>
            <w:left w:val="none" w:sz="0" w:space="0" w:color="auto"/>
            <w:bottom w:val="none" w:sz="0" w:space="0" w:color="auto"/>
            <w:right w:val="none" w:sz="0" w:space="0" w:color="auto"/>
          </w:divBdr>
        </w:div>
        <w:div w:id="73822472">
          <w:marLeft w:val="0"/>
          <w:marRight w:val="0"/>
          <w:marTop w:val="0"/>
          <w:marBottom w:val="0"/>
          <w:divBdr>
            <w:top w:val="none" w:sz="0" w:space="0" w:color="auto"/>
            <w:left w:val="none" w:sz="0" w:space="0" w:color="auto"/>
            <w:bottom w:val="none" w:sz="0" w:space="0" w:color="auto"/>
            <w:right w:val="none" w:sz="0" w:space="0" w:color="auto"/>
          </w:divBdr>
        </w:div>
        <w:div w:id="1620136912">
          <w:marLeft w:val="0"/>
          <w:marRight w:val="0"/>
          <w:marTop w:val="0"/>
          <w:marBottom w:val="0"/>
          <w:divBdr>
            <w:top w:val="none" w:sz="0" w:space="0" w:color="auto"/>
            <w:left w:val="none" w:sz="0" w:space="0" w:color="auto"/>
            <w:bottom w:val="none" w:sz="0" w:space="0" w:color="auto"/>
            <w:right w:val="none" w:sz="0" w:space="0" w:color="auto"/>
          </w:divBdr>
        </w:div>
        <w:div w:id="2067727152">
          <w:marLeft w:val="0"/>
          <w:marRight w:val="0"/>
          <w:marTop w:val="0"/>
          <w:marBottom w:val="0"/>
          <w:divBdr>
            <w:top w:val="none" w:sz="0" w:space="0" w:color="auto"/>
            <w:left w:val="none" w:sz="0" w:space="0" w:color="auto"/>
            <w:bottom w:val="none" w:sz="0" w:space="0" w:color="auto"/>
            <w:right w:val="none" w:sz="0" w:space="0" w:color="auto"/>
          </w:divBdr>
        </w:div>
        <w:div w:id="1516963411">
          <w:marLeft w:val="0"/>
          <w:marRight w:val="0"/>
          <w:marTop w:val="0"/>
          <w:marBottom w:val="0"/>
          <w:divBdr>
            <w:top w:val="none" w:sz="0" w:space="0" w:color="auto"/>
            <w:left w:val="none" w:sz="0" w:space="0" w:color="auto"/>
            <w:bottom w:val="none" w:sz="0" w:space="0" w:color="auto"/>
            <w:right w:val="none" w:sz="0" w:space="0" w:color="auto"/>
          </w:divBdr>
        </w:div>
        <w:div w:id="925118309">
          <w:marLeft w:val="0"/>
          <w:marRight w:val="0"/>
          <w:marTop w:val="0"/>
          <w:marBottom w:val="0"/>
          <w:divBdr>
            <w:top w:val="none" w:sz="0" w:space="0" w:color="auto"/>
            <w:left w:val="none" w:sz="0" w:space="0" w:color="auto"/>
            <w:bottom w:val="none" w:sz="0" w:space="0" w:color="auto"/>
            <w:right w:val="none" w:sz="0" w:space="0" w:color="auto"/>
          </w:divBdr>
        </w:div>
        <w:div w:id="945118772">
          <w:marLeft w:val="0"/>
          <w:marRight w:val="0"/>
          <w:marTop w:val="0"/>
          <w:marBottom w:val="0"/>
          <w:divBdr>
            <w:top w:val="none" w:sz="0" w:space="0" w:color="auto"/>
            <w:left w:val="none" w:sz="0" w:space="0" w:color="auto"/>
            <w:bottom w:val="none" w:sz="0" w:space="0" w:color="auto"/>
            <w:right w:val="none" w:sz="0" w:space="0" w:color="auto"/>
          </w:divBdr>
        </w:div>
        <w:div w:id="503208968">
          <w:marLeft w:val="0"/>
          <w:marRight w:val="0"/>
          <w:marTop w:val="0"/>
          <w:marBottom w:val="0"/>
          <w:divBdr>
            <w:top w:val="none" w:sz="0" w:space="0" w:color="auto"/>
            <w:left w:val="none" w:sz="0" w:space="0" w:color="auto"/>
            <w:bottom w:val="none" w:sz="0" w:space="0" w:color="auto"/>
            <w:right w:val="none" w:sz="0" w:space="0" w:color="auto"/>
          </w:divBdr>
        </w:div>
        <w:div w:id="1295406843">
          <w:marLeft w:val="0"/>
          <w:marRight w:val="0"/>
          <w:marTop w:val="0"/>
          <w:marBottom w:val="0"/>
          <w:divBdr>
            <w:top w:val="none" w:sz="0" w:space="0" w:color="auto"/>
            <w:left w:val="none" w:sz="0" w:space="0" w:color="auto"/>
            <w:bottom w:val="none" w:sz="0" w:space="0" w:color="auto"/>
            <w:right w:val="none" w:sz="0" w:space="0" w:color="auto"/>
          </w:divBdr>
        </w:div>
        <w:div w:id="147138558">
          <w:marLeft w:val="0"/>
          <w:marRight w:val="0"/>
          <w:marTop w:val="0"/>
          <w:marBottom w:val="0"/>
          <w:divBdr>
            <w:top w:val="none" w:sz="0" w:space="0" w:color="auto"/>
            <w:left w:val="none" w:sz="0" w:space="0" w:color="auto"/>
            <w:bottom w:val="none" w:sz="0" w:space="0" w:color="auto"/>
            <w:right w:val="none" w:sz="0" w:space="0" w:color="auto"/>
          </w:divBdr>
        </w:div>
        <w:div w:id="1032193331">
          <w:marLeft w:val="0"/>
          <w:marRight w:val="0"/>
          <w:marTop w:val="0"/>
          <w:marBottom w:val="0"/>
          <w:divBdr>
            <w:top w:val="none" w:sz="0" w:space="0" w:color="auto"/>
            <w:left w:val="none" w:sz="0" w:space="0" w:color="auto"/>
            <w:bottom w:val="none" w:sz="0" w:space="0" w:color="auto"/>
            <w:right w:val="none" w:sz="0" w:space="0" w:color="auto"/>
          </w:divBdr>
        </w:div>
        <w:div w:id="89205959">
          <w:marLeft w:val="0"/>
          <w:marRight w:val="0"/>
          <w:marTop w:val="0"/>
          <w:marBottom w:val="0"/>
          <w:divBdr>
            <w:top w:val="none" w:sz="0" w:space="0" w:color="auto"/>
            <w:left w:val="none" w:sz="0" w:space="0" w:color="auto"/>
            <w:bottom w:val="none" w:sz="0" w:space="0" w:color="auto"/>
            <w:right w:val="none" w:sz="0" w:space="0" w:color="auto"/>
          </w:divBdr>
        </w:div>
        <w:div w:id="1663776381">
          <w:marLeft w:val="0"/>
          <w:marRight w:val="0"/>
          <w:marTop w:val="0"/>
          <w:marBottom w:val="0"/>
          <w:divBdr>
            <w:top w:val="none" w:sz="0" w:space="0" w:color="auto"/>
            <w:left w:val="none" w:sz="0" w:space="0" w:color="auto"/>
            <w:bottom w:val="none" w:sz="0" w:space="0" w:color="auto"/>
            <w:right w:val="none" w:sz="0" w:space="0" w:color="auto"/>
          </w:divBdr>
        </w:div>
        <w:div w:id="47844951">
          <w:marLeft w:val="0"/>
          <w:marRight w:val="0"/>
          <w:marTop w:val="0"/>
          <w:marBottom w:val="0"/>
          <w:divBdr>
            <w:top w:val="none" w:sz="0" w:space="0" w:color="auto"/>
            <w:left w:val="none" w:sz="0" w:space="0" w:color="auto"/>
            <w:bottom w:val="none" w:sz="0" w:space="0" w:color="auto"/>
            <w:right w:val="none" w:sz="0" w:space="0" w:color="auto"/>
          </w:divBdr>
        </w:div>
        <w:div w:id="605697419">
          <w:marLeft w:val="0"/>
          <w:marRight w:val="0"/>
          <w:marTop w:val="0"/>
          <w:marBottom w:val="0"/>
          <w:divBdr>
            <w:top w:val="none" w:sz="0" w:space="0" w:color="auto"/>
            <w:left w:val="none" w:sz="0" w:space="0" w:color="auto"/>
            <w:bottom w:val="none" w:sz="0" w:space="0" w:color="auto"/>
            <w:right w:val="none" w:sz="0" w:space="0" w:color="auto"/>
          </w:divBdr>
        </w:div>
        <w:div w:id="726224438">
          <w:marLeft w:val="0"/>
          <w:marRight w:val="0"/>
          <w:marTop w:val="0"/>
          <w:marBottom w:val="0"/>
          <w:divBdr>
            <w:top w:val="none" w:sz="0" w:space="0" w:color="auto"/>
            <w:left w:val="none" w:sz="0" w:space="0" w:color="auto"/>
            <w:bottom w:val="none" w:sz="0" w:space="0" w:color="auto"/>
            <w:right w:val="none" w:sz="0" w:space="0" w:color="auto"/>
          </w:divBdr>
        </w:div>
        <w:div w:id="499389399">
          <w:marLeft w:val="0"/>
          <w:marRight w:val="0"/>
          <w:marTop w:val="0"/>
          <w:marBottom w:val="0"/>
          <w:divBdr>
            <w:top w:val="none" w:sz="0" w:space="0" w:color="auto"/>
            <w:left w:val="none" w:sz="0" w:space="0" w:color="auto"/>
            <w:bottom w:val="none" w:sz="0" w:space="0" w:color="auto"/>
            <w:right w:val="none" w:sz="0" w:space="0" w:color="auto"/>
          </w:divBdr>
        </w:div>
        <w:div w:id="1066343840">
          <w:marLeft w:val="0"/>
          <w:marRight w:val="0"/>
          <w:marTop w:val="0"/>
          <w:marBottom w:val="0"/>
          <w:divBdr>
            <w:top w:val="none" w:sz="0" w:space="0" w:color="auto"/>
            <w:left w:val="none" w:sz="0" w:space="0" w:color="auto"/>
            <w:bottom w:val="none" w:sz="0" w:space="0" w:color="auto"/>
            <w:right w:val="none" w:sz="0" w:space="0" w:color="auto"/>
          </w:divBdr>
        </w:div>
        <w:div w:id="154689944">
          <w:marLeft w:val="0"/>
          <w:marRight w:val="0"/>
          <w:marTop w:val="0"/>
          <w:marBottom w:val="0"/>
          <w:divBdr>
            <w:top w:val="none" w:sz="0" w:space="0" w:color="auto"/>
            <w:left w:val="none" w:sz="0" w:space="0" w:color="auto"/>
            <w:bottom w:val="none" w:sz="0" w:space="0" w:color="auto"/>
            <w:right w:val="none" w:sz="0" w:space="0" w:color="auto"/>
          </w:divBdr>
        </w:div>
        <w:div w:id="614094950">
          <w:marLeft w:val="0"/>
          <w:marRight w:val="0"/>
          <w:marTop w:val="0"/>
          <w:marBottom w:val="0"/>
          <w:divBdr>
            <w:top w:val="none" w:sz="0" w:space="0" w:color="auto"/>
            <w:left w:val="none" w:sz="0" w:space="0" w:color="auto"/>
            <w:bottom w:val="none" w:sz="0" w:space="0" w:color="auto"/>
            <w:right w:val="none" w:sz="0" w:space="0" w:color="auto"/>
          </w:divBdr>
        </w:div>
        <w:div w:id="1732728131">
          <w:marLeft w:val="0"/>
          <w:marRight w:val="0"/>
          <w:marTop w:val="0"/>
          <w:marBottom w:val="0"/>
          <w:divBdr>
            <w:top w:val="none" w:sz="0" w:space="0" w:color="auto"/>
            <w:left w:val="none" w:sz="0" w:space="0" w:color="auto"/>
            <w:bottom w:val="none" w:sz="0" w:space="0" w:color="auto"/>
            <w:right w:val="none" w:sz="0" w:space="0" w:color="auto"/>
          </w:divBdr>
        </w:div>
        <w:div w:id="2053799453">
          <w:marLeft w:val="0"/>
          <w:marRight w:val="0"/>
          <w:marTop w:val="0"/>
          <w:marBottom w:val="0"/>
          <w:divBdr>
            <w:top w:val="none" w:sz="0" w:space="0" w:color="auto"/>
            <w:left w:val="none" w:sz="0" w:space="0" w:color="auto"/>
            <w:bottom w:val="none" w:sz="0" w:space="0" w:color="auto"/>
            <w:right w:val="none" w:sz="0" w:space="0" w:color="auto"/>
          </w:divBdr>
        </w:div>
        <w:div w:id="1316765708">
          <w:marLeft w:val="0"/>
          <w:marRight w:val="0"/>
          <w:marTop w:val="0"/>
          <w:marBottom w:val="0"/>
          <w:divBdr>
            <w:top w:val="none" w:sz="0" w:space="0" w:color="auto"/>
            <w:left w:val="none" w:sz="0" w:space="0" w:color="auto"/>
            <w:bottom w:val="none" w:sz="0" w:space="0" w:color="auto"/>
            <w:right w:val="none" w:sz="0" w:space="0" w:color="auto"/>
          </w:divBdr>
        </w:div>
        <w:div w:id="455946973">
          <w:marLeft w:val="0"/>
          <w:marRight w:val="0"/>
          <w:marTop w:val="0"/>
          <w:marBottom w:val="0"/>
          <w:divBdr>
            <w:top w:val="none" w:sz="0" w:space="0" w:color="auto"/>
            <w:left w:val="none" w:sz="0" w:space="0" w:color="auto"/>
            <w:bottom w:val="none" w:sz="0" w:space="0" w:color="auto"/>
            <w:right w:val="none" w:sz="0" w:space="0" w:color="auto"/>
          </w:divBdr>
        </w:div>
        <w:div w:id="1559972085">
          <w:marLeft w:val="0"/>
          <w:marRight w:val="0"/>
          <w:marTop w:val="0"/>
          <w:marBottom w:val="0"/>
          <w:divBdr>
            <w:top w:val="none" w:sz="0" w:space="0" w:color="auto"/>
            <w:left w:val="none" w:sz="0" w:space="0" w:color="auto"/>
            <w:bottom w:val="none" w:sz="0" w:space="0" w:color="auto"/>
            <w:right w:val="none" w:sz="0" w:space="0" w:color="auto"/>
          </w:divBdr>
        </w:div>
        <w:div w:id="1906142921">
          <w:marLeft w:val="0"/>
          <w:marRight w:val="0"/>
          <w:marTop w:val="0"/>
          <w:marBottom w:val="0"/>
          <w:divBdr>
            <w:top w:val="none" w:sz="0" w:space="0" w:color="auto"/>
            <w:left w:val="none" w:sz="0" w:space="0" w:color="auto"/>
            <w:bottom w:val="none" w:sz="0" w:space="0" w:color="auto"/>
            <w:right w:val="none" w:sz="0" w:space="0" w:color="auto"/>
          </w:divBdr>
        </w:div>
        <w:div w:id="805053415">
          <w:marLeft w:val="0"/>
          <w:marRight w:val="0"/>
          <w:marTop w:val="0"/>
          <w:marBottom w:val="0"/>
          <w:divBdr>
            <w:top w:val="none" w:sz="0" w:space="0" w:color="auto"/>
            <w:left w:val="none" w:sz="0" w:space="0" w:color="auto"/>
            <w:bottom w:val="none" w:sz="0" w:space="0" w:color="auto"/>
            <w:right w:val="none" w:sz="0" w:space="0" w:color="auto"/>
          </w:divBdr>
        </w:div>
        <w:div w:id="1442066384">
          <w:marLeft w:val="0"/>
          <w:marRight w:val="0"/>
          <w:marTop w:val="0"/>
          <w:marBottom w:val="0"/>
          <w:divBdr>
            <w:top w:val="none" w:sz="0" w:space="0" w:color="auto"/>
            <w:left w:val="none" w:sz="0" w:space="0" w:color="auto"/>
            <w:bottom w:val="none" w:sz="0" w:space="0" w:color="auto"/>
            <w:right w:val="none" w:sz="0" w:space="0" w:color="auto"/>
          </w:divBdr>
        </w:div>
        <w:div w:id="1687824187">
          <w:marLeft w:val="0"/>
          <w:marRight w:val="0"/>
          <w:marTop w:val="0"/>
          <w:marBottom w:val="0"/>
          <w:divBdr>
            <w:top w:val="none" w:sz="0" w:space="0" w:color="auto"/>
            <w:left w:val="none" w:sz="0" w:space="0" w:color="auto"/>
            <w:bottom w:val="none" w:sz="0" w:space="0" w:color="auto"/>
            <w:right w:val="none" w:sz="0" w:space="0" w:color="auto"/>
          </w:divBdr>
        </w:div>
        <w:div w:id="258374186">
          <w:marLeft w:val="0"/>
          <w:marRight w:val="0"/>
          <w:marTop w:val="0"/>
          <w:marBottom w:val="0"/>
          <w:divBdr>
            <w:top w:val="none" w:sz="0" w:space="0" w:color="auto"/>
            <w:left w:val="none" w:sz="0" w:space="0" w:color="auto"/>
            <w:bottom w:val="none" w:sz="0" w:space="0" w:color="auto"/>
            <w:right w:val="none" w:sz="0" w:space="0" w:color="auto"/>
          </w:divBdr>
        </w:div>
        <w:div w:id="1330526387">
          <w:marLeft w:val="0"/>
          <w:marRight w:val="0"/>
          <w:marTop w:val="0"/>
          <w:marBottom w:val="0"/>
          <w:divBdr>
            <w:top w:val="none" w:sz="0" w:space="0" w:color="auto"/>
            <w:left w:val="none" w:sz="0" w:space="0" w:color="auto"/>
            <w:bottom w:val="none" w:sz="0" w:space="0" w:color="auto"/>
            <w:right w:val="none" w:sz="0" w:space="0" w:color="auto"/>
          </w:divBdr>
        </w:div>
        <w:div w:id="1452355347">
          <w:marLeft w:val="0"/>
          <w:marRight w:val="0"/>
          <w:marTop w:val="0"/>
          <w:marBottom w:val="0"/>
          <w:divBdr>
            <w:top w:val="none" w:sz="0" w:space="0" w:color="auto"/>
            <w:left w:val="none" w:sz="0" w:space="0" w:color="auto"/>
            <w:bottom w:val="none" w:sz="0" w:space="0" w:color="auto"/>
            <w:right w:val="none" w:sz="0" w:space="0" w:color="auto"/>
          </w:divBdr>
        </w:div>
        <w:div w:id="168915128">
          <w:marLeft w:val="0"/>
          <w:marRight w:val="0"/>
          <w:marTop w:val="0"/>
          <w:marBottom w:val="0"/>
          <w:divBdr>
            <w:top w:val="none" w:sz="0" w:space="0" w:color="auto"/>
            <w:left w:val="none" w:sz="0" w:space="0" w:color="auto"/>
            <w:bottom w:val="none" w:sz="0" w:space="0" w:color="auto"/>
            <w:right w:val="none" w:sz="0" w:space="0" w:color="auto"/>
          </w:divBdr>
        </w:div>
        <w:div w:id="1634947775">
          <w:marLeft w:val="0"/>
          <w:marRight w:val="0"/>
          <w:marTop w:val="0"/>
          <w:marBottom w:val="0"/>
          <w:divBdr>
            <w:top w:val="none" w:sz="0" w:space="0" w:color="auto"/>
            <w:left w:val="none" w:sz="0" w:space="0" w:color="auto"/>
            <w:bottom w:val="none" w:sz="0" w:space="0" w:color="auto"/>
            <w:right w:val="none" w:sz="0" w:space="0" w:color="auto"/>
          </w:divBdr>
        </w:div>
        <w:div w:id="2062249632">
          <w:marLeft w:val="0"/>
          <w:marRight w:val="0"/>
          <w:marTop w:val="0"/>
          <w:marBottom w:val="0"/>
          <w:divBdr>
            <w:top w:val="none" w:sz="0" w:space="0" w:color="auto"/>
            <w:left w:val="none" w:sz="0" w:space="0" w:color="auto"/>
            <w:bottom w:val="none" w:sz="0" w:space="0" w:color="auto"/>
            <w:right w:val="none" w:sz="0" w:space="0" w:color="auto"/>
          </w:divBdr>
        </w:div>
        <w:div w:id="1637030920">
          <w:marLeft w:val="0"/>
          <w:marRight w:val="0"/>
          <w:marTop w:val="0"/>
          <w:marBottom w:val="0"/>
          <w:divBdr>
            <w:top w:val="none" w:sz="0" w:space="0" w:color="auto"/>
            <w:left w:val="none" w:sz="0" w:space="0" w:color="auto"/>
            <w:bottom w:val="none" w:sz="0" w:space="0" w:color="auto"/>
            <w:right w:val="none" w:sz="0" w:space="0" w:color="auto"/>
          </w:divBdr>
        </w:div>
        <w:div w:id="1675570397">
          <w:marLeft w:val="0"/>
          <w:marRight w:val="0"/>
          <w:marTop w:val="0"/>
          <w:marBottom w:val="0"/>
          <w:divBdr>
            <w:top w:val="none" w:sz="0" w:space="0" w:color="auto"/>
            <w:left w:val="none" w:sz="0" w:space="0" w:color="auto"/>
            <w:bottom w:val="none" w:sz="0" w:space="0" w:color="auto"/>
            <w:right w:val="none" w:sz="0" w:space="0" w:color="auto"/>
          </w:divBdr>
        </w:div>
        <w:div w:id="727344153">
          <w:marLeft w:val="0"/>
          <w:marRight w:val="0"/>
          <w:marTop w:val="0"/>
          <w:marBottom w:val="0"/>
          <w:divBdr>
            <w:top w:val="none" w:sz="0" w:space="0" w:color="auto"/>
            <w:left w:val="none" w:sz="0" w:space="0" w:color="auto"/>
            <w:bottom w:val="none" w:sz="0" w:space="0" w:color="auto"/>
            <w:right w:val="none" w:sz="0" w:space="0" w:color="auto"/>
          </w:divBdr>
        </w:div>
        <w:div w:id="1074160354">
          <w:marLeft w:val="0"/>
          <w:marRight w:val="0"/>
          <w:marTop w:val="0"/>
          <w:marBottom w:val="0"/>
          <w:divBdr>
            <w:top w:val="none" w:sz="0" w:space="0" w:color="auto"/>
            <w:left w:val="none" w:sz="0" w:space="0" w:color="auto"/>
            <w:bottom w:val="none" w:sz="0" w:space="0" w:color="auto"/>
            <w:right w:val="none" w:sz="0" w:space="0" w:color="auto"/>
          </w:divBdr>
        </w:div>
        <w:div w:id="347219786">
          <w:marLeft w:val="0"/>
          <w:marRight w:val="0"/>
          <w:marTop w:val="0"/>
          <w:marBottom w:val="0"/>
          <w:divBdr>
            <w:top w:val="none" w:sz="0" w:space="0" w:color="auto"/>
            <w:left w:val="none" w:sz="0" w:space="0" w:color="auto"/>
            <w:bottom w:val="none" w:sz="0" w:space="0" w:color="auto"/>
            <w:right w:val="none" w:sz="0" w:space="0" w:color="auto"/>
          </w:divBdr>
        </w:div>
        <w:div w:id="1143504770">
          <w:marLeft w:val="0"/>
          <w:marRight w:val="0"/>
          <w:marTop w:val="0"/>
          <w:marBottom w:val="0"/>
          <w:divBdr>
            <w:top w:val="none" w:sz="0" w:space="0" w:color="auto"/>
            <w:left w:val="none" w:sz="0" w:space="0" w:color="auto"/>
            <w:bottom w:val="none" w:sz="0" w:space="0" w:color="auto"/>
            <w:right w:val="none" w:sz="0" w:space="0" w:color="auto"/>
          </w:divBdr>
        </w:div>
        <w:div w:id="1511066554">
          <w:marLeft w:val="0"/>
          <w:marRight w:val="0"/>
          <w:marTop w:val="0"/>
          <w:marBottom w:val="0"/>
          <w:divBdr>
            <w:top w:val="none" w:sz="0" w:space="0" w:color="auto"/>
            <w:left w:val="none" w:sz="0" w:space="0" w:color="auto"/>
            <w:bottom w:val="none" w:sz="0" w:space="0" w:color="auto"/>
            <w:right w:val="none" w:sz="0" w:space="0" w:color="auto"/>
          </w:divBdr>
        </w:div>
        <w:div w:id="1774281272">
          <w:marLeft w:val="0"/>
          <w:marRight w:val="0"/>
          <w:marTop w:val="0"/>
          <w:marBottom w:val="0"/>
          <w:divBdr>
            <w:top w:val="none" w:sz="0" w:space="0" w:color="auto"/>
            <w:left w:val="none" w:sz="0" w:space="0" w:color="auto"/>
            <w:bottom w:val="none" w:sz="0" w:space="0" w:color="auto"/>
            <w:right w:val="none" w:sz="0" w:space="0" w:color="auto"/>
          </w:divBdr>
        </w:div>
        <w:div w:id="779224777">
          <w:marLeft w:val="0"/>
          <w:marRight w:val="0"/>
          <w:marTop w:val="0"/>
          <w:marBottom w:val="0"/>
          <w:divBdr>
            <w:top w:val="none" w:sz="0" w:space="0" w:color="auto"/>
            <w:left w:val="none" w:sz="0" w:space="0" w:color="auto"/>
            <w:bottom w:val="none" w:sz="0" w:space="0" w:color="auto"/>
            <w:right w:val="none" w:sz="0" w:space="0" w:color="auto"/>
          </w:divBdr>
        </w:div>
        <w:div w:id="1678383908">
          <w:marLeft w:val="0"/>
          <w:marRight w:val="0"/>
          <w:marTop w:val="0"/>
          <w:marBottom w:val="0"/>
          <w:divBdr>
            <w:top w:val="none" w:sz="0" w:space="0" w:color="auto"/>
            <w:left w:val="none" w:sz="0" w:space="0" w:color="auto"/>
            <w:bottom w:val="none" w:sz="0" w:space="0" w:color="auto"/>
            <w:right w:val="none" w:sz="0" w:space="0" w:color="auto"/>
          </w:divBdr>
        </w:div>
        <w:div w:id="1144077321">
          <w:marLeft w:val="0"/>
          <w:marRight w:val="0"/>
          <w:marTop w:val="0"/>
          <w:marBottom w:val="0"/>
          <w:divBdr>
            <w:top w:val="none" w:sz="0" w:space="0" w:color="auto"/>
            <w:left w:val="none" w:sz="0" w:space="0" w:color="auto"/>
            <w:bottom w:val="none" w:sz="0" w:space="0" w:color="auto"/>
            <w:right w:val="none" w:sz="0" w:space="0" w:color="auto"/>
          </w:divBdr>
        </w:div>
        <w:div w:id="1125198587">
          <w:marLeft w:val="0"/>
          <w:marRight w:val="0"/>
          <w:marTop w:val="0"/>
          <w:marBottom w:val="0"/>
          <w:divBdr>
            <w:top w:val="none" w:sz="0" w:space="0" w:color="auto"/>
            <w:left w:val="none" w:sz="0" w:space="0" w:color="auto"/>
            <w:bottom w:val="none" w:sz="0" w:space="0" w:color="auto"/>
            <w:right w:val="none" w:sz="0" w:space="0" w:color="auto"/>
          </w:divBdr>
        </w:div>
        <w:div w:id="1793087406">
          <w:marLeft w:val="0"/>
          <w:marRight w:val="0"/>
          <w:marTop w:val="0"/>
          <w:marBottom w:val="0"/>
          <w:divBdr>
            <w:top w:val="none" w:sz="0" w:space="0" w:color="auto"/>
            <w:left w:val="none" w:sz="0" w:space="0" w:color="auto"/>
            <w:bottom w:val="none" w:sz="0" w:space="0" w:color="auto"/>
            <w:right w:val="none" w:sz="0" w:space="0" w:color="auto"/>
          </w:divBdr>
        </w:div>
        <w:div w:id="1547906815">
          <w:marLeft w:val="0"/>
          <w:marRight w:val="0"/>
          <w:marTop w:val="0"/>
          <w:marBottom w:val="0"/>
          <w:divBdr>
            <w:top w:val="none" w:sz="0" w:space="0" w:color="auto"/>
            <w:left w:val="none" w:sz="0" w:space="0" w:color="auto"/>
            <w:bottom w:val="none" w:sz="0" w:space="0" w:color="auto"/>
            <w:right w:val="none" w:sz="0" w:space="0" w:color="auto"/>
          </w:divBdr>
        </w:div>
        <w:div w:id="2141065998">
          <w:marLeft w:val="0"/>
          <w:marRight w:val="0"/>
          <w:marTop w:val="0"/>
          <w:marBottom w:val="0"/>
          <w:divBdr>
            <w:top w:val="none" w:sz="0" w:space="0" w:color="auto"/>
            <w:left w:val="none" w:sz="0" w:space="0" w:color="auto"/>
            <w:bottom w:val="none" w:sz="0" w:space="0" w:color="auto"/>
            <w:right w:val="none" w:sz="0" w:space="0" w:color="auto"/>
          </w:divBdr>
        </w:div>
        <w:div w:id="2111924574">
          <w:marLeft w:val="0"/>
          <w:marRight w:val="0"/>
          <w:marTop w:val="0"/>
          <w:marBottom w:val="0"/>
          <w:divBdr>
            <w:top w:val="none" w:sz="0" w:space="0" w:color="auto"/>
            <w:left w:val="none" w:sz="0" w:space="0" w:color="auto"/>
            <w:bottom w:val="none" w:sz="0" w:space="0" w:color="auto"/>
            <w:right w:val="none" w:sz="0" w:space="0" w:color="auto"/>
          </w:divBdr>
        </w:div>
        <w:div w:id="1618096540">
          <w:marLeft w:val="0"/>
          <w:marRight w:val="0"/>
          <w:marTop w:val="0"/>
          <w:marBottom w:val="0"/>
          <w:divBdr>
            <w:top w:val="none" w:sz="0" w:space="0" w:color="auto"/>
            <w:left w:val="none" w:sz="0" w:space="0" w:color="auto"/>
            <w:bottom w:val="none" w:sz="0" w:space="0" w:color="auto"/>
            <w:right w:val="none" w:sz="0" w:space="0" w:color="auto"/>
          </w:divBdr>
        </w:div>
        <w:div w:id="1436246039">
          <w:marLeft w:val="0"/>
          <w:marRight w:val="0"/>
          <w:marTop w:val="0"/>
          <w:marBottom w:val="0"/>
          <w:divBdr>
            <w:top w:val="none" w:sz="0" w:space="0" w:color="auto"/>
            <w:left w:val="none" w:sz="0" w:space="0" w:color="auto"/>
            <w:bottom w:val="none" w:sz="0" w:space="0" w:color="auto"/>
            <w:right w:val="none" w:sz="0" w:space="0" w:color="auto"/>
          </w:divBdr>
        </w:div>
        <w:div w:id="108164017">
          <w:marLeft w:val="0"/>
          <w:marRight w:val="0"/>
          <w:marTop w:val="0"/>
          <w:marBottom w:val="0"/>
          <w:divBdr>
            <w:top w:val="none" w:sz="0" w:space="0" w:color="auto"/>
            <w:left w:val="none" w:sz="0" w:space="0" w:color="auto"/>
            <w:bottom w:val="none" w:sz="0" w:space="0" w:color="auto"/>
            <w:right w:val="none" w:sz="0" w:space="0" w:color="auto"/>
          </w:divBdr>
        </w:div>
        <w:div w:id="1768649809">
          <w:marLeft w:val="0"/>
          <w:marRight w:val="0"/>
          <w:marTop w:val="0"/>
          <w:marBottom w:val="0"/>
          <w:divBdr>
            <w:top w:val="none" w:sz="0" w:space="0" w:color="auto"/>
            <w:left w:val="none" w:sz="0" w:space="0" w:color="auto"/>
            <w:bottom w:val="none" w:sz="0" w:space="0" w:color="auto"/>
            <w:right w:val="none" w:sz="0" w:space="0" w:color="auto"/>
          </w:divBdr>
        </w:div>
        <w:div w:id="1789856966">
          <w:marLeft w:val="0"/>
          <w:marRight w:val="0"/>
          <w:marTop w:val="0"/>
          <w:marBottom w:val="0"/>
          <w:divBdr>
            <w:top w:val="none" w:sz="0" w:space="0" w:color="auto"/>
            <w:left w:val="none" w:sz="0" w:space="0" w:color="auto"/>
            <w:bottom w:val="none" w:sz="0" w:space="0" w:color="auto"/>
            <w:right w:val="none" w:sz="0" w:space="0" w:color="auto"/>
          </w:divBdr>
        </w:div>
        <w:div w:id="416706855">
          <w:marLeft w:val="0"/>
          <w:marRight w:val="0"/>
          <w:marTop w:val="0"/>
          <w:marBottom w:val="0"/>
          <w:divBdr>
            <w:top w:val="none" w:sz="0" w:space="0" w:color="auto"/>
            <w:left w:val="none" w:sz="0" w:space="0" w:color="auto"/>
            <w:bottom w:val="none" w:sz="0" w:space="0" w:color="auto"/>
            <w:right w:val="none" w:sz="0" w:space="0" w:color="auto"/>
          </w:divBdr>
        </w:div>
        <w:div w:id="62678096">
          <w:marLeft w:val="0"/>
          <w:marRight w:val="0"/>
          <w:marTop w:val="0"/>
          <w:marBottom w:val="0"/>
          <w:divBdr>
            <w:top w:val="none" w:sz="0" w:space="0" w:color="auto"/>
            <w:left w:val="none" w:sz="0" w:space="0" w:color="auto"/>
            <w:bottom w:val="none" w:sz="0" w:space="0" w:color="auto"/>
            <w:right w:val="none" w:sz="0" w:space="0" w:color="auto"/>
          </w:divBdr>
        </w:div>
        <w:div w:id="2022118118">
          <w:marLeft w:val="0"/>
          <w:marRight w:val="0"/>
          <w:marTop w:val="0"/>
          <w:marBottom w:val="0"/>
          <w:divBdr>
            <w:top w:val="none" w:sz="0" w:space="0" w:color="auto"/>
            <w:left w:val="none" w:sz="0" w:space="0" w:color="auto"/>
            <w:bottom w:val="none" w:sz="0" w:space="0" w:color="auto"/>
            <w:right w:val="none" w:sz="0" w:space="0" w:color="auto"/>
          </w:divBdr>
        </w:div>
        <w:div w:id="395516587">
          <w:marLeft w:val="0"/>
          <w:marRight w:val="0"/>
          <w:marTop w:val="0"/>
          <w:marBottom w:val="0"/>
          <w:divBdr>
            <w:top w:val="none" w:sz="0" w:space="0" w:color="auto"/>
            <w:left w:val="none" w:sz="0" w:space="0" w:color="auto"/>
            <w:bottom w:val="none" w:sz="0" w:space="0" w:color="auto"/>
            <w:right w:val="none" w:sz="0" w:space="0" w:color="auto"/>
          </w:divBdr>
        </w:div>
        <w:div w:id="841745684">
          <w:marLeft w:val="0"/>
          <w:marRight w:val="0"/>
          <w:marTop w:val="0"/>
          <w:marBottom w:val="0"/>
          <w:divBdr>
            <w:top w:val="none" w:sz="0" w:space="0" w:color="auto"/>
            <w:left w:val="none" w:sz="0" w:space="0" w:color="auto"/>
            <w:bottom w:val="none" w:sz="0" w:space="0" w:color="auto"/>
            <w:right w:val="none" w:sz="0" w:space="0" w:color="auto"/>
          </w:divBdr>
        </w:div>
        <w:div w:id="1824393587">
          <w:marLeft w:val="0"/>
          <w:marRight w:val="0"/>
          <w:marTop w:val="0"/>
          <w:marBottom w:val="0"/>
          <w:divBdr>
            <w:top w:val="none" w:sz="0" w:space="0" w:color="auto"/>
            <w:left w:val="none" w:sz="0" w:space="0" w:color="auto"/>
            <w:bottom w:val="none" w:sz="0" w:space="0" w:color="auto"/>
            <w:right w:val="none" w:sz="0" w:space="0" w:color="auto"/>
          </w:divBdr>
        </w:div>
        <w:div w:id="12073205">
          <w:marLeft w:val="0"/>
          <w:marRight w:val="0"/>
          <w:marTop w:val="0"/>
          <w:marBottom w:val="0"/>
          <w:divBdr>
            <w:top w:val="none" w:sz="0" w:space="0" w:color="auto"/>
            <w:left w:val="none" w:sz="0" w:space="0" w:color="auto"/>
            <w:bottom w:val="none" w:sz="0" w:space="0" w:color="auto"/>
            <w:right w:val="none" w:sz="0" w:space="0" w:color="auto"/>
          </w:divBdr>
        </w:div>
        <w:div w:id="398333717">
          <w:marLeft w:val="0"/>
          <w:marRight w:val="0"/>
          <w:marTop w:val="0"/>
          <w:marBottom w:val="0"/>
          <w:divBdr>
            <w:top w:val="none" w:sz="0" w:space="0" w:color="auto"/>
            <w:left w:val="none" w:sz="0" w:space="0" w:color="auto"/>
            <w:bottom w:val="none" w:sz="0" w:space="0" w:color="auto"/>
            <w:right w:val="none" w:sz="0" w:space="0" w:color="auto"/>
          </w:divBdr>
        </w:div>
        <w:div w:id="1228682743">
          <w:marLeft w:val="0"/>
          <w:marRight w:val="0"/>
          <w:marTop w:val="0"/>
          <w:marBottom w:val="0"/>
          <w:divBdr>
            <w:top w:val="none" w:sz="0" w:space="0" w:color="auto"/>
            <w:left w:val="none" w:sz="0" w:space="0" w:color="auto"/>
            <w:bottom w:val="none" w:sz="0" w:space="0" w:color="auto"/>
            <w:right w:val="none" w:sz="0" w:space="0" w:color="auto"/>
          </w:divBdr>
        </w:div>
        <w:div w:id="1812020334">
          <w:marLeft w:val="0"/>
          <w:marRight w:val="0"/>
          <w:marTop w:val="0"/>
          <w:marBottom w:val="0"/>
          <w:divBdr>
            <w:top w:val="none" w:sz="0" w:space="0" w:color="auto"/>
            <w:left w:val="none" w:sz="0" w:space="0" w:color="auto"/>
            <w:bottom w:val="none" w:sz="0" w:space="0" w:color="auto"/>
            <w:right w:val="none" w:sz="0" w:space="0" w:color="auto"/>
          </w:divBdr>
        </w:div>
        <w:div w:id="1750152747">
          <w:marLeft w:val="0"/>
          <w:marRight w:val="0"/>
          <w:marTop w:val="0"/>
          <w:marBottom w:val="0"/>
          <w:divBdr>
            <w:top w:val="none" w:sz="0" w:space="0" w:color="auto"/>
            <w:left w:val="none" w:sz="0" w:space="0" w:color="auto"/>
            <w:bottom w:val="none" w:sz="0" w:space="0" w:color="auto"/>
            <w:right w:val="none" w:sz="0" w:space="0" w:color="auto"/>
          </w:divBdr>
        </w:div>
        <w:div w:id="758063998">
          <w:marLeft w:val="0"/>
          <w:marRight w:val="0"/>
          <w:marTop w:val="0"/>
          <w:marBottom w:val="0"/>
          <w:divBdr>
            <w:top w:val="none" w:sz="0" w:space="0" w:color="auto"/>
            <w:left w:val="none" w:sz="0" w:space="0" w:color="auto"/>
            <w:bottom w:val="none" w:sz="0" w:space="0" w:color="auto"/>
            <w:right w:val="none" w:sz="0" w:space="0" w:color="auto"/>
          </w:divBdr>
        </w:div>
        <w:div w:id="490871475">
          <w:marLeft w:val="0"/>
          <w:marRight w:val="0"/>
          <w:marTop w:val="0"/>
          <w:marBottom w:val="0"/>
          <w:divBdr>
            <w:top w:val="none" w:sz="0" w:space="0" w:color="auto"/>
            <w:left w:val="none" w:sz="0" w:space="0" w:color="auto"/>
            <w:bottom w:val="none" w:sz="0" w:space="0" w:color="auto"/>
            <w:right w:val="none" w:sz="0" w:space="0" w:color="auto"/>
          </w:divBdr>
        </w:div>
        <w:div w:id="1513912968">
          <w:marLeft w:val="0"/>
          <w:marRight w:val="0"/>
          <w:marTop w:val="0"/>
          <w:marBottom w:val="0"/>
          <w:divBdr>
            <w:top w:val="none" w:sz="0" w:space="0" w:color="auto"/>
            <w:left w:val="none" w:sz="0" w:space="0" w:color="auto"/>
            <w:bottom w:val="none" w:sz="0" w:space="0" w:color="auto"/>
            <w:right w:val="none" w:sz="0" w:space="0" w:color="auto"/>
          </w:divBdr>
        </w:div>
        <w:div w:id="1513493507">
          <w:marLeft w:val="0"/>
          <w:marRight w:val="0"/>
          <w:marTop w:val="0"/>
          <w:marBottom w:val="0"/>
          <w:divBdr>
            <w:top w:val="none" w:sz="0" w:space="0" w:color="auto"/>
            <w:left w:val="none" w:sz="0" w:space="0" w:color="auto"/>
            <w:bottom w:val="none" w:sz="0" w:space="0" w:color="auto"/>
            <w:right w:val="none" w:sz="0" w:space="0" w:color="auto"/>
          </w:divBdr>
        </w:div>
        <w:div w:id="1032615816">
          <w:marLeft w:val="0"/>
          <w:marRight w:val="0"/>
          <w:marTop w:val="0"/>
          <w:marBottom w:val="0"/>
          <w:divBdr>
            <w:top w:val="none" w:sz="0" w:space="0" w:color="auto"/>
            <w:left w:val="none" w:sz="0" w:space="0" w:color="auto"/>
            <w:bottom w:val="none" w:sz="0" w:space="0" w:color="auto"/>
            <w:right w:val="none" w:sz="0" w:space="0" w:color="auto"/>
          </w:divBdr>
        </w:div>
        <w:div w:id="1019042121">
          <w:marLeft w:val="0"/>
          <w:marRight w:val="0"/>
          <w:marTop w:val="0"/>
          <w:marBottom w:val="0"/>
          <w:divBdr>
            <w:top w:val="none" w:sz="0" w:space="0" w:color="auto"/>
            <w:left w:val="none" w:sz="0" w:space="0" w:color="auto"/>
            <w:bottom w:val="none" w:sz="0" w:space="0" w:color="auto"/>
            <w:right w:val="none" w:sz="0" w:space="0" w:color="auto"/>
          </w:divBdr>
        </w:div>
        <w:div w:id="1634091499">
          <w:marLeft w:val="0"/>
          <w:marRight w:val="0"/>
          <w:marTop w:val="0"/>
          <w:marBottom w:val="0"/>
          <w:divBdr>
            <w:top w:val="none" w:sz="0" w:space="0" w:color="auto"/>
            <w:left w:val="none" w:sz="0" w:space="0" w:color="auto"/>
            <w:bottom w:val="none" w:sz="0" w:space="0" w:color="auto"/>
            <w:right w:val="none" w:sz="0" w:space="0" w:color="auto"/>
          </w:divBdr>
        </w:div>
        <w:div w:id="2094861854">
          <w:marLeft w:val="0"/>
          <w:marRight w:val="0"/>
          <w:marTop w:val="0"/>
          <w:marBottom w:val="0"/>
          <w:divBdr>
            <w:top w:val="none" w:sz="0" w:space="0" w:color="auto"/>
            <w:left w:val="none" w:sz="0" w:space="0" w:color="auto"/>
            <w:bottom w:val="none" w:sz="0" w:space="0" w:color="auto"/>
            <w:right w:val="none" w:sz="0" w:space="0" w:color="auto"/>
          </w:divBdr>
        </w:div>
        <w:div w:id="845287876">
          <w:marLeft w:val="0"/>
          <w:marRight w:val="0"/>
          <w:marTop w:val="0"/>
          <w:marBottom w:val="0"/>
          <w:divBdr>
            <w:top w:val="none" w:sz="0" w:space="0" w:color="auto"/>
            <w:left w:val="none" w:sz="0" w:space="0" w:color="auto"/>
            <w:bottom w:val="none" w:sz="0" w:space="0" w:color="auto"/>
            <w:right w:val="none" w:sz="0" w:space="0" w:color="auto"/>
          </w:divBdr>
        </w:div>
        <w:div w:id="341902548">
          <w:marLeft w:val="0"/>
          <w:marRight w:val="0"/>
          <w:marTop w:val="0"/>
          <w:marBottom w:val="0"/>
          <w:divBdr>
            <w:top w:val="none" w:sz="0" w:space="0" w:color="auto"/>
            <w:left w:val="none" w:sz="0" w:space="0" w:color="auto"/>
            <w:bottom w:val="none" w:sz="0" w:space="0" w:color="auto"/>
            <w:right w:val="none" w:sz="0" w:space="0" w:color="auto"/>
          </w:divBdr>
        </w:div>
        <w:div w:id="1145393004">
          <w:marLeft w:val="0"/>
          <w:marRight w:val="0"/>
          <w:marTop w:val="0"/>
          <w:marBottom w:val="0"/>
          <w:divBdr>
            <w:top w:val="none" w:sz="0" w:space="0" w:color="auto"/>
            <w:left w:val="none" w:sz="0" w:space="0" w:color="auto"/>
            <w:bottom w:val="none" w:sz="0" w:space="0" w:color="auto"/>
            <w:right w:val="none" w:sz="0" w:space="0" w:color="auto"/>
          </w:divBdr>
        </w:div>
        <w:div w:id="1895695911">
          <w:marLeft w:val="0"/>
          <w:marRight w:val="0"/>
          <w:marTop w:val="0"/>
          <w:marBottom w:val="0"/>
          <w:divBdr>
            <w:top w:val="none" w:sz="0" w:space="0" w:color="auto"/>
            <w:left w:val="none" w:sz="0" w:space="0" w:color="auto"/>
            <w:bottom w:val="none" w:sz="0" w:space="0" w:color="auto"/>
            <w:right w:val="none" w:sz="0" w:space="0" w:color="auto"/>
          </w:divBdr>
        </w:div>
        <w:div w:id="5986096">
          <w:marLeft w:val="0"/>
          <w:marRight w:val="0"/>
          <w:marTop w:val="0"/>
          <w:marBottom w:val="0"/>
          <w:divBdr>
            <w:top w:val="none" w:sz="0" w:space="0" w:color="auto"/>
            <w:left w:val="none" w:sz="0" w:space="0" w:color="auto"/>
            <w:bottom w:val="none" w:sz="0" w:space="0" w:color="auto"/>
            <w:right w:val="none" w:sz="0" w:space="0" w:color="auto"/>
          </w:divBdr>
        </w:div>
        <w:div w:id="1596669582">
          <w:marLeft w:val="0"/>
          <w:marRight w:val="0"/>
          <w:marTop w:val="0"/>
          <w:marBottom w:val="0"/>
          <w:divBdr>
            <w:top w:val="none" w:sz="0" w:space="0" w:color="auto"/>
            <w:left w:val="none" w:sz="0" w:space="0" w:color="auto"/>
            <w:bottom w:val="none" w:sz="0" w:space="0" w:color="auto"/>
            <w:right w:val="none" w:sz="0" w:space="0" w:color="auto"/>
          </w:divBdr>
        </w:div>
        <w:div w:id="1871146355">
          <w:marLeft w:val="0"/>
          <w:marRight w:val="0"/>
          <w:marTop w:val="0"/>
          <w:marBottom w:val="0"/>
          <w:divBdr>
            <w:top w:val="none" w:sz="0" w:space="0" w:color="auto"/>
            <w:left w:val="none" w:sz="0" w:space="0" w:color="auto"/>
            <w:bottom w:val="none" w:sz="0" w:space="0" w:color="auto"/>
            <w:right w:val="none" w:sz="0" w:space="0" w:color="auto"/>
          </w:divBdr>
        </w:div>
        <w:div w:id="1800028392">
          <w:marLeft w:val="0"/>
          <w:marRight w:val="0"/>
          <w:marTop w:val="0"/>
          <w:marBottom w:val="0"/>
          <w:divBdr>
            <w:top w:val="none" w:sz="0" w:space="0" w:color="auto"/>
            <w:left w:val="none" w:sz="0" w:space="0" w:color="auto"/>
            <w:bottom w:val="none" w:sz="0" w:space="0" w:color="auto"/>
            <w:right w:val="none" w:sz="0" w:space="0" w:color="auto"/>
          </w:divBdr>
        </w:div>
        <w:div w:id="243416179">
          <w:marLeft w:val="0"/>
          <w:marRight w:val="0"/>
          <w:marTop w:val="0"/>
          <w:marBottom w:val="0"/>
          <w:divBdr>
            <w:top w:val="none" w:sz="0" w:space="0" w:color="auto"/>
            <w:left w:val="none" w:sz="0" w:space="0" w:color="auto"/>
            <w:bottom w:val="none" w:sz="0" w:space="0" w:color="auto"/>
            <w:right w:val="none" w:sz="0" w:space="0" w:color="auto"/>
          </w:divBdr>
        </w:div>
        <w:div w:id="743334371">
          <w:marLeft w:val="0"/>
          <w:marRight w:val="0"/>
          <w:marTop w:val="0"/>
          <w:marBottom w:val="0"/>
          <w:divBdr>
            <w:top w:val="none" w:sz="0" w:space="0" w:color="auto"/>
            <w:left w:val="none" w:sz="0" w:space="0" w:color="auto"/>
            <w:bottom w:val="none" w:sz="0" w:space="0" w:color="auto"/>
            <w:right w:val="none" w:sz="0" w:space="0" w:color="auto"/>
          </w:divBdr>
        </w:div>
        <w:div w:id="1813330792">
          <w:marLeft w:val="0"/>
          <w:marRight w:val="0"/>
          <w:marTop w:val="0"/>
          <w:marBottom w:val="0"/>
          <w:divBdr>
            <w:top w:val="none" w:sz="0" w:space="0" w:color="auto"/>
            <w:left w:val="none" w:sz="0" w:space="0" w:color="auto"/>
            <w:bottom w:val="none" w:sz="0" w:space="0" w:color="auto"/>
            <w:right w:val="none" w:sz="0" w:space="0" w:color="auto"/>
          </w:divBdr>
        </w:div>
        <w:div w:id="340591824">
          <w:marLeft w:val="0"/>
          <w:marRight w:val="0"/>
          <w:marTop w:val="0"/>
          <w:marBottom w:val="0"/>
          <w:divBdr>
            <w:top w:val="none" w:sz="0" w:space="0" w:color="auto"/>
            <w:left w:val="none" w:sz="0" w:space="0" w:color="auto"/>
            <w:bottom w:val="none" w:sz="0" w:space="0" w:color="auto"/>
            <w:right w:val="none" w:sz="0" w:space="0" w:color="auto"/>
          </w:divBdr>
        </w:div>
        <w:div w:id="983852855">
          <w:marLeft w:val="0"/>
          <w:marRight w:val="0"/>
          <w:marTop w:val="0"/>
          <w:marBottom w:val="0"/>
          <w:divBdr>
            <w:top w:val="none" w:sz="0" w:space="0" w:color="auto"/>
            <w:left w:val="none" w:sz="0" w:space="0" w:color="auto"/>
            <w:bottom w:val="none" w:sz="0" w:space="0" w:color="auto"/>
            <w:right w:val="none" w:sz="0" w:space="0" w:color="auto"/>
          </w:divBdr>
        </w:div>
        <w:div w:id="1170217284">
          <w:marLeft w:val="0"/>
          <w:marRight w:val="0"/>
          <w:marTop w:val="0"/>
          <w:marBottom w:val="0"/>
          <w:divBdr>
            <w:top w:val="none" w:sz="0" w:space="0" w:color="auto"/>
            <w:left w:val="none" w:sz="0" w:space="0" w:color="auto"/>
            <w:bottom w:val="none" w:sz="0" w:space="0" w:color="auto"/>
            <w:right w:val="none" w:sz="0" w:space="0" w:color="auto"/>
          </w:divBdr>
        </w:div>
        <w:div w:id="1236672868">
          <w:marLeft w:val="0"/>
          <w:marRight w:val="0"/>
          <w:marTop w:val="0"/>
          <w:marBottom w:val="0"/>
          <w:divBdr>
            <w:top w:val="none" w:sz="0" w:space="0" w:color="auto"/>
            <w:left w:val="none" w:sz="0" w:space="0" w:color="auto"/>
            <w:bottom w:val="none" w:sz="0" w:space="0" w:color="auto"/>
            <w:right w:val="none" w:sz="0" w:space="0" w:color="auto"/>
          </w:divBdr>
        </w:div>
        <w:div w:id="2067678870">
          <w:marLeft w:val="0"/>
          <w:marRight w:val="0"/>
          <w:marTop w:val="0"/>
          <w:marBottom w:val="0"/>
          <w:divBdr>
            <w:top w:val="none" w:sz="0" w:space="0" w:color="auto"/>
            <w:left w:val="none" w:sz="0" w:space="0" w:color="auto"/>
            <w:bottom w:val="none" w:sz="0" w:space="0" w:color="auto"/>
            <w:right w:val="none" w:sz="0" w:space="0" w:color="auto"/>
          </w:divBdr>
        </w:div>
        <w:div w:id="1976909455">
          <w:marLeft w:val="0"/>
          <w:marRight w:val="0"/>
          <w:marTop w:val="0"/>
          <w:marBottom w:val="0"/>
          <w:divBdr>
            <w:top w:val="none" w:sz="0" w:space="0" w:color="auto"/>
            <w:left w:val="none" w:sz="0" w:space="0" w:color="auto"/>
            <w:bottom w:val="none" w:sz="0" w:space="0" w:color="auto"/>
            <w:right w:val="none" w:sz="0" w:space="0" w:color="auto"/>
          </w:divBdr>
        </w:div>
        <w:div w:id="493687126">
          <w:marLeft w:val="0"/>
          <w:marRight w:val="0"/>
          <w:marTop w:val="0"/>
          <w:marBottom w:val="0"/>
          <w:divBdr>
            <w:top w:val="none" w:sz="0" w:space="0" w:color="auto"/>
            <w:left w:val="none" w:sz="0" w:space="0" w:color="auto"/>
            <w:bottom w:val="none" w:sz="0" w:space="0" w:color="auto"/>
            <w:right w:val="none" w:sz="0" w:space="0" w:color="auto"/>
          </w:divBdr>
        </w:div>
        <w:div w:id="1869953593">
          <w:marLeft w:val="0"/>
          <w:marRight w:val="0"/>
          <w:marTop w:val="0"/>
          <w:marBottom w:val="0"/>
          <w:divBdr>
            <w:top w:val="none" w:sz="0" w:space="0" w:color="auto"/>
            <w:left w:val="none" w:sz="0" w:space="0" w:color="auto"/>
            <w:bottom w:val="none" w:sz="0" w:space="0" w:color="auto"/>
            <w:right w:val="none" w:sz="0" w:space="0" w:color="auto"/>
          </w:divBdr>
        </w:div>
        <w:div w:id="1140151569">
          <w:marLeft w:val="0"/>
          <w:marRight w:val="0"/>
          <w:marTop w:val="0"/>
          <w:marBottom w:val="0"/>
          <w:divBdr>
            <w:top w:val="none" w:sz="0" w:space="0" w:color="auto"/>
            <w:left w:val="none" w:sz="0" w:space="0" w:color="auto"/>
            <w:bottom w:val="none" w:sz="0" w:space="0" w:color="auto"/>
            <w:right w:val="none" w:sz="0" w:space="0" w:color="auto"/>
          </w:divBdr>
        </w:div>
        <w:div w:id="362829471">
          <w:marLeft w:val="0"/>
          <w:marRight w:val="0"/>
          <w:marTop w:val="0"/>
          <w:marBottom w:val="0"/>
          <w:divBdr>
            <w:top w:val="none" w:sz="0" w:space="0" w:color="auto"/>
            <w:left w:val="none" w:sz="0" w:space="0" w:color="auto"/>
            <w:bottom w:val="none" w:sz="0" w:space="0" w:color="auto"/>
            <w:right w:val="none" w:sz="0" w:space="0" w:color="auto"/>
          </w:divBdr>
        </w:div>
        <w:div w:id="583992975">
          <w:marLeft w:val="0"/>
          <w:marRight w:val="0"/>
          <w:marTop w:val="0"/>
          <w:marBottom w:val="0"/>
          <w:divBdr>
            <w:top w:val="none" w:sz="0" w:space="0" w:color="auto"/>
            <w:left w:val="none" w:sz="0" w:space="0" w:color="auto"/>
            <w:bottom w:val="none" w:sz="0" w:space="0" w:color="auto"/>
            <w:right w:val="none" w:sz="0" w:space="0" w:color="auto"/>
          </w:divBdr>
        </w:div>
        <w:div w:id="815335562">
          <w:marLeft w:val="0"/>
          <w:marRight w:val="0"/>
          <w:marTop w:val="0"/>
          <w:marBottom w:val="0"/>
          <w:divBdr>
            <w:top w:val="none" w:sz="0" w:space="0" w:color="auto"/>
            <w:left w:val="none" w:sz="0" w:space="0" w:color="auto"/>
            <w:bottom w:val="none" w:sz="0" w:space="0" w:color="auto"/>
            <w:right w:val="none" w:sz="0" w:space="0" w:color="auto"/>
          </w:divBdr>
        </w:div>
        <w:div w:id="859589549">
          <w:marLeft w:val="0"/>
          <w:marRight w:val="0"/>
          <w:marTop w:val="0"/>
          <w:marBottom w:val="0"/>
          <w:divBdr>
            <w:top w:val="none" w:sz="0" w:space="0" w:color="auto"/>
            <w:left w:val="none" w:sz="0" w:space="0" w:color="auto"/>
            <w:bottom w:val="none" w:sz="0" w:space="0" w:color="auto"/>
            <w:right w:val="none" w:sz="0" w:space="0" w:color="auto"/>
          </w:divBdr>
        </w:div>
        <w:div w:id="1507011144">
          <w:marLeft w:val="0"/>
          <w:marRight w:val="0"/>
          <w:marTop w:val="0"/>
          <w:marBottom w:val="0"/>
          <w:divBdr>
            <w:top w:val="none" w:sz="0" w:space="0" w:color="auto"/>
            <w:left w:val="none" w:sz="0" w:space="0" w:color="auto"/>
            <w:bottom w:val="none" w:sz="0" w:space="0" w:color="auto"/>
            <w:right w:val="none" w:sz="0" w:space="0" w:color="auto"/>
          </w:divBdr>
        </w:div>
        <w:div w:id="448477746">
          <w:marLeft w:val="0"/>
          <w:marRight w:val="0"/>
          <w:marTop w:val="0"/>
          <w:marBottom w:val="0"/>
          <w:divBdr>
            <w:top w:val="none" w:sz="0" w:space="0" w:color="auto"/>
            <w:left w:val="none" w:sz="0" w:space="0" w:color="auto"/>
            <w:bottom w:val="none" w:sz="0" w:space="0" w:color="auto"/>
            <w:right w:val="none" w:sz="0" w:space="0" w:color="auto"/>
          </w:divBdr>
        </w:div>
        <w:div w:id="839391771">
          <w:marLeft w:val="0"/>
          <w:marRight w:val="0"/>
          <w:marTop w:val="0"/>
          <w:marBottom w:val="0"/>
          <w:divBdr>
            <w:top w:val="none" w:sz="0" w:space="0" w:color="auto"/>
            <w:left w:val="none" w:sz="0" w:space="0" w:color="auto"/>
            <w:bottom w:val="none" w:sz="0" w:space="0" w:color="auto"/>
            <w:right w:val="none" w:sz="0" w:space="0" w:color="auto"/>
          </w:divBdr>
        </w:div>
        <w:div w:id="72555618">
          <w:marLeft w:val="0"/>
          <w:marRight w:val="0"/>
          <w:marTop w:val="0"/>
          <w:marBottom w:val="0"/>
          <w:divBdr>
            <w:top w:val="none" w:sz="0" w:space="0" w:color="auto"/>
            <w:left w:val="none" w:sz="0" w:space="0" w:color="auto"/>
            <w:bottom w:val="none" w:sz="0" w:space="0" w:color="auto"/>
            <w:right w:val="none" w:sz="0" w:space="0" w:color="auto"/>
          </w:divBdr>
        </w:div>
        <w:div w:id="1898856087">
          <w:marLeft w:val="0"/>
          <w:marRight w:val="0"/>
          <w:marTop w:val="0"/>
          <w:marBottom w:val="0"/>
          <w:divBdr>
            <w:top w:val="none" w:sz="0" w:space="0" w:color="auto"/>
            <w:left w:val="none" w:sz="0" w:space="0" w:color="auto"/>
            <w:bottom w:val="none" w:sz="0" w:space="0" w:color="auto"/>
            <w:right w:val="none" w:sz="0" w:space="0" w:color="auto"/>
          </w:divBdr>
        </w:div>
        <w:div w:id="1260480980">
          <w:marLeft w:val="0"/>
          <w:marRight w:val="0"/>
          <w:marTop w:val="0"/>
          <w:marBottom w:val="0"/>
          <w:divBdr>
            <w:top w:val="none" w:sz="0" w:space="0" w:color="auto"/>
            <w:left w:val="none" w:sz="0" w:space="0" w:color="auto"/>
            <w:bottom w:val="none" w:sz="0" w:space="0" w:color="auto"/>
            <w:right w:val="none" w:sz="0" w:space="0" w:color="auto"/>
          </w:divBdr>
        </w:div>
        <w:div w:id="533931688">
          <w:marLeft w:val="0"/>
          <w:marRight w:val="0"/>
          <w:marTop w:val="0"/>
          <w:marBottom w:val="0"/>
          <w:divBdr>
            <w:top w:val="none" w:sz="0" w:space="0" w:color="auto"/>
            <w:left w:val="none" w:sz="0" w:space="0" w:color="auto"/>
            <w:bottom w:val="none" w:sz="0" w:space="0" w:color="auto"/>
            <w:right w:val="none" w:sz="0" w:space="0" w:color="auto"/>
          </w:divBdr>
        </w:div>
        <w:div w:id="310908934">
          <w:marLeft w:val="0"/>
          <w:marRight w:val="0"/>
          <w:marTop w:val="0"/>
          <w:marBottom w:val="0"/>
          <w:divBdr>
            <w:top w:val="none" w:sz="0" w:space="0" w:color="auto"/>
            <w:left w:val="none" w:sz="0" w:space="0" w:color="auto"/>
            <w:bottom w:val="none" w:sz="0" w:space="0" w:color="auto"/>
            <w:right w:val="none" w:sz="0" w:space="0" w:color="auto"/>
          </w:divBdr>
        </w:div>
        <w:div w:id="800730824">
          <w:marLeft w:val="0"/>
          <w:marRight w:val="0"/>
          <w:marTop w:val="0"/>
          <w:marBottom w:val="0"/>
          <w:divBdr>
            <w:top w:val="none" w:sz="0" w:space="0" w:color="auto"/>
            <w:left w:val="none" w:sz="0" w:space="0" w:color="auto"/>
            <w:bottom w:val="none" w:sz="0" w:space="0" w:color="auto"/>
            <w:right w:val="none" w:sz="0" w:space="0" w:color="auto"/>
          </w:divBdr>
        </w:div>
        <w:div w:id="1376546881">
          <w:marLeft w:val="0"/>
          <w:marRight w:val="0"/>
          <w:marTop w:val="0"/>
          <w:marBottom w:val="0"/>
          <w:divBdr>
            <w:top w:val="none" w:sz="0" w:space="0" w:color="auto"/>
            <w:left w:val="none" w:sz="0" w:space="0" w:color="auto"/>
            <w:bottom w:val="none" w:sz="0" w:space="0" w:color="auto"/>
            <w:right w:val="none" w:sz="0" w:space="0" w:color="auto"/>
          </w:divBdr>
        </w:div>
        <w:div w:id="329062830">
          <w:marLeft w:val="0"/>
          <w:marRight w:val="0"/>
          <w:marTop w:val="0"/>
          <w:marBottom w:val="0"/>
          <w:divBdr>
            <w:top w:val="none" w:sz="0" w:space="0" w:color="auto"/>
            <w:left w:val="none" w:sz="0" w:space="0" w:color="auto"/>
            <w:bottom w:val="none" w:sz="0" w:space="0" w:color="auto"/>
            <w:right w:val="none" w:sz="0" w:space="0" w:color="auto"/>
          </w:divBdr>
        </w:div>
        <w:div w:id="1226066042">
          <w:marLeft w:val="0"/>
          <w:marRight w:val="0"/>
          <w:marTop w:val="0"/>
          <w:marBottom w:val="0"/>
          <w:divBdr>
            <w:top w:val="none" w:sz="0" w:space="0" w:color="auto"/>
            <w:left w:val="none" w:sz="0" w:space="0" w:color="auto"/>
            <w:bottom w:val="none" w:sz="0" w:space="0" w:color="auto"/>
            <w:right w:val="none" w:sz="0" w:space="0" w:color="auto"/>
          </w:divBdr>
        </w:div>
        <w:div w:id="273758161">
          <w:marLeft w:val="0"/>
          <w:marRight w:val="0"/>
          <w:marTop w:val="0"/>
          <w:marBottom w:val="0"/>
          <w:divBdr>
            <w:top w:val="none" w:sz="0" w:space="0" w:color="auto"/>
            <w:left w:val="none" w:sz="0" w:space="0" w:color="auto"/>
            <w:bottom w:val="none" w:sz="0" w:space="0" w:color="auto"/>
            <w:right w:val="none" w:sz="0" w:space="0" w:color="auto"/>
          </w:divBdr>
        </w:div>
        <w:div w:id="1595046159">
          <w:marLeft w:val="0"/>
          <w:marRight w:val="0"/>
          <w:marTop w:val="0"/>
          <w:marBottom w:val="0"/>
          <w:divBdr>
            <w:top w:val="none" w:sz="0" w:space="0" w:color="auto"/>
            <w:left w:val="none" w:sz="0" w:space="0" w:color="auto"/>
            <w:bottom w:val="none" w:sz="0" w:space="0" w:color="auto"/>
            <w:right w:val="none" w:sz="0" w:space="0" w:color="auto"/>
          </w:divBdr>
        </w:div>
        <w:div w:id="1936327991">
          <w:marLeft w:val="0"/>
          <w:marRight w:val="0"/>
          <w:marTop w:val="0"/>
          <w:marBottom w:val="0"/>
          <w:divBdr>
            <w:top w:val="none" w:sz="0" w:space="0" w:color="auto"/>
            <w:left w:val="none" w:sz="0" w:space="0" w:color="auto"/>
            <w:bottom w:val="none" w:sz="0" w:space="0" w:color="auto"/>
            <w:right w:val="none" w:sz="0" w:space="0" w:color="auto"/>
          </w:divBdr>
        </w:div>
        <w:div w:id="401828352">
          <w:marLeft w:val="0"/>
          <w:marRight w:val="0"/>
          <w:marTop w:val="0"/>
          <w:marBottom w:val="0"/>
          <w:divBdr>
            <w:top w:val="none" w:sz="0" w:space="0" w:color="auto"/>
            <w:left w:val="none" w:sz="0" w:space="0" w:color="auto"/>
            <w:bottom w:val="none" w:sz="0" w:space="0" w:color="auto"/>
            <w:right w:val="none" w:sz="0" w:space="0" w:color="auto"/>
          </w:divBdr>
        </w:div>
        <w:div w:id="1008604899">
          <w:marLeft w:val="0"/>
          <w:marRight w:val="0"/>
          <w:marTop w:val="0"/>
          <w:marBottom w:val="0"/>
          <w:divBdr>
            <w:top w:val="none" w:sz="0" w:space="0" w:color="auto"/>
            <w:left w:val="none" w:sz="0" w:space="0" w:color="auto"/>
            <w:bottom w:val="none" w:sz="0" w:space="0" w:color="auto"/>
            <w:right w:val="none" w:sz="0" w:space="0" w:color="auto"/>
          </w:divBdr>
        </w:div>
        <w:div w:id="57829801">
          <w:marLeft w:val="0"/>
          <w:marRight w:val="0"/>
          <w:marTop w:val="0"/>
          <w:marBottom w:val="0"/>
          <w:divBdr>
            <w:top w:val="none" w:sz="0" w:space="0" w:color="auto"/>
            <w:left w:val="none" w:sz="0" w:space="0" w:color="auto"/>
            <w:bottom w:val="none" w:sz="0" w:space="0" w:color="auto"/>
            <w:right w:val="none" w:sz="0" w:space="0" w:color="auto"/>
          </w:divBdr>
        </w:div>
        <w:div w:id="240721552">
          <w:marLeft w:val="0"/>
          <w:marRight w:val="0"/>
          <w:marTop w:val="0"/>
          <w:marBottom w:val="0"/>
          <w:divBdr>
            <w:top w:val="none" w:sz="0" w:space="0" w:color="auto"/>
            <w:left w:val="none" w:sz="0" w:space="0" w:color="auto"/>
            <w:bottom w:val="none" w:sz="0" w:space="0" w:color="auto"/>
            <w:right w:val="none" w:sz="0" w:space="0" w:color="auto"/>
          </w:divBdr>
        </w:div>
        <w:div w:id="2019236026">
          <w:marLeft w:val="0"/>
          <w:marRight w:val="0"/>
          <w:marTop w:val="0"/>
          <w:marBottom w:val="0"/>
          <w:divBdr>
            <w:top w:val="none" w:sz="0" w:space="0" w:color="auto"/>
            <w:left w:val="none" w:sz="0" w:space="0" w:color="auto"/>
            <w:bottom w:val="none" w:sz="0" w:space="0" w:color="auto"/>
            <w:right w:val="none" w:sz="0" w:space="0" w:color="auto"/>
          </w:divBdr>
        </w:div>
        <w:div w:id="757209667">
          <w:marLeft w:val="0"/>
          <w:marRight w:val="0"/>
          <w:marTop w:val="0"/>
          <w:marBottom w:val="0"/>
          <w:divBdr>
            <w:top w:val="none" w:sz="0" w:space="0" w:color="auto"/>
            <w:left w:val="none" w:sz="0" w:space="0" w:color="auto"/>
            <w:bottom w:val="none" w:sz="0" w:space="0" w:color="auto"/>
            <w:right w:val="none" w:sz="0" w:space="0" w:color="auto"/>
          </w:divBdr>
        </w:div>
        <w:div w:id="78872255">
          <w:marLeft w:val="0"/>
          <w:marRight w:val="0"/>
          <w:marTop w:val="0"/>
          <w:marBottom w:val="0"/>
          <w:divBdr>
            <w:top w:val="none" w:sz="0" w:space="0" w:color="auto"/>
            <w:left w:val="none" w:sz="0" w:space="0" w:color="auto"/>
            <w:bottom w:val="none" w:sz="0" w:space="0" w:color="auto"/>
            <w:right w:val="none" w:sz="0" w:space="0" w:color="auto"/>
          </w:divBdr>
        </w:div>
        <w:div w:id="303777891">
          <w:marLeft w:val="0"/>
          <w:marRight w:val="0"/>
          <w:marTop w:val="0"/>
          <w:marBottom w:val="0"/>
          <w:divBdr>
            <w:top w:val="none" w:sz="0" w:space="0" w:color="auto"/>
            <w:left w:val="none" w:sz="0" w:space="0" w:color="auto"/>
            <w:bottom w:val="none" w:sz="0" w:space="0" w:color="auto"/>
            <w:right w:val="none" w:sz="0" w:space="0" w:color="auto"/>
          </w:divBdr>
        </w:div>
        <w:div w:id="341053095">
          <w:marLeft w:val="0"/>
          <w:marRight w:val="0"/>
          <w:marTop w:val="0"/>
          <w:marBottom w:val="0"/>
          <w:divBdr>
            <w:top w:val="none" w:sz="0" w:space="0" w:color="auto"/>
            <w:left w:val="none" w:sz="0" w:space="0" w:color="auto"/>
            <w:bottom w:val="none" w:sz="0" w:space="0" w:color="auto"/>
            <w:right w:val="none" w:sz="0" w:space="0" w:color="auto"/>
          </w:divBdr>
        </w:div>
        <w:div w:id="808400669">
          <w:marLeft w:val="0"/>
          <w:marRight w:val="0"/>
          <w:marTop w:val="0"/>
          <w:marBottom w:val="0"/>
          <w:divBdr>
            <w:top w:val="none" w:sz="0" w:space="0" w:color="auto"/>
            <w:left w:val="none" w:sz="0" w:space="0" w:color="auto"/>
            <w:bottom w:val="none" w:sz="0" w:space="0" w:color="auto"/>
            <w:right w:val="none" w:sz="0" w:space="0" w:color="auto"/>
          </w:divBdr>
        </w:div>
        <w:div w:id="26298359">
          <w:marLeft w:val="0"/>
          <w:marRight w:val="0"/>
          <w:marTop w:val="0"/>
          <w:marBottom w:val="0"/>
          <w:divBdr>
            <w:top w:val="none" w:sz="0" w:space="0" w:color="auto"/>
            <w:left w:val="none" w:sz="0" w:space="0" w:color="auto"/>
            <w:bottom w:val="none" w:sz="0" w:space="0" w:color="auto"/>
            <w:right w:val="none" w:sz="0" w:space="0" w:color="auto"/>
          </w:divBdr>
        </w:div>
        <w:div w:id="1549485600">
          <w:marLeft w:val="0"/>
          <w:marRight w:val="0"/>
          <w:marTop w:val="0"/>
          <w:marBottom w:val="0"/>
          <w:divBdr>
            <w:top w:val="none" w:sz="0" w:space="0" w:color="auto"/>
            <w:left w:val="none" w:sz="0" w:space="0" w:color="auto"/>
            <w:bottom w:val="none" w:sz="0" w:space="0" w:color="auto"/>
            <w:right w:val="none" w:sz="0" w:space="0" w:color="auto"/>
          </w:divBdr>
        </w:div>
        <w:div w:id="1432239385">
          <w:marLeft w:val="0"/>
          <w:marRight w:val="0"/>
          <w:marTop w:val="0"/>
          <w:marBottom w:val="0"/>
          <w:divBdr>
            <w:top w:val="none" w:sz="0" w:space="0" w:color="auto"/>
            <w:left w:val="none" w:sz="0" w:space="0" w:color="auto"/>
            <w:bottom w:val="none" w:sz="0" w:space="0" w:color="auto"/>
            <w:right w:val="none" w:sz="0" w:space="0" w:color="auto"/>
          </w:divBdr>
        </w:div>
        <w:div w:id="1995138658">
          <w:marLeft w:val="0"/>
          <w:marRight w:val="0"/>
          <w:marTop w:val="0"/>
          <w:marBottom w:val="0"/>
          <w:divBdr>
            <w:top w:val="none" w:sz="0" w:space="0" w:color="auto"/>
            <w:left w:val="none" w:sz="0" w:space="0" w:color="auto"/>
            <w:bottom w:val="none" w:sz="0" w:space="0" w:color="auto"/>
            <w:right w:val="none" w:sz="0" w:space="0" w:color="auto"/>
          </w:divBdr>
        </w:div>
        <w:div w:id="1887836628">
          <w:marLeft w:val="0"/>
          <w:marRight w:val="0"/>
          <w:marTop w:val="0"/>
          <w:marBottom w:val="0"/>
          <w:divBdr>
            <w:top w:val="none" w:sz="0" w:space="0" w:color="auto"/>
            <w:left w:val="none" w:sz="0" w:space="0" w:color="auto"/>
            <w:bottom w:val="none" w:sz="0" w:space="0" w:color="auto"/>
            <w:right w:val="none" w:sz="0" w:space="0" w:color="auto"/>
          </w:divBdr>
        </w:div>
        <w:div w:id="1604653191">
          <w:marLeft w:val="0"/>
          <w:marRight w:val="0"/>
          <w:marTop w:val="0"/>
          <w:marBottom w:val="0"/>
          <w:divBdr>
            <w:top w:val="none" w:sz="0" w:space="0" w:color="auto"/>
            <w:left w:val="none" w:sz="0" w:space="0" w:color="auto"/>
            <w:bottom w:val="none" w:sz="0" w:space="0" w:color="auto"/>
            <w:right w:val="none" w:sz="0" w:space="0" w:color="auto"/>
          </w:divBdr>
        </w:div>
        <w:div w:id="592513513">
          <w:marLeft w:val="0"/>
          <w:marRight w:val="0"/>
          <w:marTop w:val="0"/>
          <w:marBottom w:val="0"/>
          <w:divBdr>
            <w:top w:val="none" w:sz="0" w:space="0" w:color="auto"/>
            <w:left w:val="none" w:sz="0" w:space="0" w:color="auto"/>
            <w:bottom w:val="none" w:sz="0" w:space="0" w:color="auto"/>
            <w:right w:val="none" w:sz="0" w:space="0" w:color="auto"/>
          </w:divBdr>
        </w:div>
        <w:div w:id="690843857">
          <w:marLeft w:val="0"/>
          <w:marRight w:val="0"/>
          <w:marTop w:val="0"/>
          <w:marBottom w:val="0"/>
          <w:divBdr>
            <w:top w:val="none" w:sz="0" w:space="0" w:color="auto"/>
            <w:left w:val="none" w:sz="0" w:space="0" w:color="auto"/>
            <w:bottom w:val="none" w:sz="0" w:space="0" w:color="auto"/>
            <w:right w:val="none" w:sz="0" w:space="0" w:color="auto"/>
          </w:divBdr>
        </w:div>
        <w:div w:id="557130065">
          <w:marLeft w:val="0"/>
          <w:marRight w:val="0"/>
          <w:marTop w:val="0"/>
          <w:marBottom w:val="0"/>
          <w:divBdr>
            <w:top w:val="none" w:sz="0" w:space="0" w:color="auto"/>
            <w:left w:val="none" w:sz="0" w:space="0" w:color="auto"/>
            <w:bottom w:val="none" w:sz="0" w:space="0" w:color="auto"/>
            <w:right w:val="none" w:sz="0" w:space="0" w:color="auto"/>
          </w:divBdr>
        </w:div>
        <w:div w:id="1017079220">
          <w:marLeft w:val="0"/>
          <w:marRight w:val="0"/>
          <w:marTop w:val="0"/>
          <w:marBottom w:val="0"/>
          <w:divBdr>
            <w:top w:val="none" w:sz="0" w:space="0" w:color="auto"/>
            <w:left w:val="none" w:sz="0" w:space="0" w:color="auto"/>
            <w:bottom w:val="none" w:sz="0" w:space="0" w:color="auto"/>
            <w:right w:val="none" w:sz="0" w:space="0" w:color="auto"/>
          </w:divBdr>
        </w:div>
        <w:div w:id="1063026533">
          <w:marLeft w:val="0"/>
          <w:marRight w:val="0"/>
          <w:marTop w:val="0"/>
          <w:marBottom w:val="0"/>
          <w:divBdr>
            <w:top w:val="none" w:sz="0" w:space="0" w:color="auto"/>
            <w:left w:val="none" w:sz="0" w:space="0" w:color="auto"/>
            <w:bottom w:val="none" w:sz="0" w:space="0" w:color="auto"/>
            <w:right w:val="none" w:sz="0" w:space="0" w:color="auto"/>
          </w:divBdr>
        </w:div>
        <w:div w:id="1685202167">
          <w:marLeft w:val="0"/>
          <w:marRight w:val="0"/>
          <w:marTop w:val="0"/>
          <w:marBottom w:val="0"/>
          <w:divBdr>
            <w:top w:val="none" w:sz="0" w:space="0" w:color="auto"/>
            <w:left w:val="none" w:sz="0" w:space="0" w:color="auto"/>
            <w:bottom w:val="none" w:sz="0" w:space="0" w:color="auto"/>
            <w:right w:val="none" w:sz="0" w:space="0" w:color="auto"/>
          </w:divBdr>
        </w:div>
        <w:div w:id="1033463099">
          <w:marLeft w:val="0"/>
          <w:marRight w:val="0"/>
          <w:marTop w:val="0"/>
          <w:marBottom w:val="0"/>
          <w:divBdr>
            <w:top w:val="none" w:sz="0" w:space="0" w:color="auto"/>
            <w:left w:val="none" w:sz="0" w:space="0" w:color="auto"/>
            <w:bottom w:val="none" w:sz="0" w:space="0" w:color="auto"/>
            <w:right w:val="none" w:sz="0" w:space="0" w:color="auto"/>
          </w:divBdr>
        </w:div>
        <w:div w:id="682439837">
          <w:marLeft w:val="0"/>
          <w:marRight w:val="0"/>
          <w:marTop w:val="0"/>
          <w:marBottom w:val="0"/>
          <w:divBdr>
            <w:top w:val="none" w:sz="0" w:space="0" w:color="auto"/>
            <w:left w:val="none" w:sz="0" w:space="0" w:color="auto"/>
            <w:bottom w:val="none" w:sz="0" w:space="0" w:color="auto"/>
            <w:right w:val="none" w:sz="0" w:space="0" w:color="auto"/>
          </w:divBdr>
        </w:div>
        <w:div w:id="94525795">
          <w:marLeft w:val="0"/>
          <w:marRight w:val="0"/>
          <w:marTop w:val="0"/>
          <w:marBottom w:val="0"/>
          <w:divBdr>
            <w:top w:val="none" w:sz="0" w:space="0" w:color="auto"/>
            <w:left w:val="none" w:sz="0" w:space="0" w:color="auto"/>
            <w:bottom w:val="none" w:sz="0" w:space="0" w:color="auto"/>
            <w:right w:val="none" w:sz="0" w:space="0" w:color="auto"/>
          </w:divBdr>
        </w:div>
        <w:div w:id="995650895">
          <w:marLeft w:val="0"/>
          <w:marRight w:val="0"/>
          <w:marTop w:val="0"/>
          <w:marBottom w:val="0"/>
          <w:divBdr>
            <w:top w:val="none" w:sz="0" w:space="0" w:color="auto"/>
            <w:left w:val="none" w:sz="0" w:space="0" w:color="auto"/>
            <w:bottom w:val="none" w:sz="0" w:space="0" w:color="auto"/>
            <w:right w:val="none" w:sz="0" w:space="0" w:color="auto"/>
          </w:divBdr>
        </w:div>
        <w:div w:id="244384669">
          <w:marLeft w:val="0"/>
          <w:marRight w:val="0"/>
          <w:marTop w:val="0"/>
          <w:marBottom w:val="0"/>
          <w:divBdr>
            <w:top w:val="none" w:sz="0" w:space="0" w:color="auto"/>
            <w:left w:val="none" w:sz="0" w:space="0" w:color="auto"/>
            <w:bottom w:val="none" w:sz="0" w:space="0" w:color="auto"/>
            <w:right w:val="none" w:sz="0" w:space="0" w:color="auto"/>
          </w:divBdr>
        </w:div>
        <w:div w:id="549928219">
          <w:marLeft w:val="0"/>
          <w:marRight w:val="0"/>
          <w:marTop w:val="0"/>
          <w:marBottom w:val="0"/>
          <w:divBdr>
            <w:top w:val="none" w:sz="0" w:space="0" w:color="auto"/>
            <w:left w:val="none" w:sz="0" w:space="0" w:color="auto"/>
            <w:bottom w:val="none" w:sz="0" w:space="0" w:color="auto"/>
            <w:right w:val="none" w:sz="0" w:space="0" w:color="auto"/>
          </w:divBdr>
        </w:div>
        <w:div w:id="1312708115">
          <w:marLeft w:val="0"/>
          <w:marRight w:val="0"/>
          <w:marTop w:val="0"/>
          <w:marBottom w:val="0"/>
          <w:divBdr>
            <w:top w:val="none" w:sz="0" w:space="0" w:color="auto"/>
            <w:left w:val="none" w:sz="0" w:space="0" w:color="auto"/>
            <w:bottom w:val="none" w:sz="0" w:space="0" w:color="auto"/>
            <w:right w:val="none" w:sz="0" w:space="0" w:color="auto"/>
          </w:divBdr>
        </w:div>
        <w:div w:id="1068192181">
          <w:marLeft w:val="0"/>
          <w:marRight w:val="0"/>
          <w:marTop w:val="0"/>
          <w:marBottom w:val="0"/>
          <w:divBdr>
            <w:top w:val="none" w:sz="0" w:space="0" w:color="auto"/>
            <w:left w:val="none" w:sz="0" w:space="0" w:color="auto"/>
            <w:bottom w:val="none" w:sz="0" w:space="0" w:color="auto"/>
            <w:right w:val="none" w:sz="0" w:space="0" w:color="auto"/>
          </w:divBdr>
        </w:div>
        <w:div w:id="957180495">
          <w:marLeft w:val="0"/>
          <w:marRight w:val="0"/>
          <w:marTop w:val="0"/>
          <w:marBottom w:val="0"/>
          <w:divBdr>
            <w:top w:val="none" w:sz="0" w:space="0" w:color="auto"/>
            <w:left w:val="none" w:sz="0" w:space="0" w:color="auto"/>
            <w:bottom w:val="none" w:sz="0" w:space="0" w:color="auto"/>
            <w:right w:val="none" w:sz="0" w:space="0" w:color="auto"/>
          </w:divBdr>
        </w:div>
        <w:div w:id="77554926">
          <w:marLeft w:val="0"/>
          <w:marRight w:val="0"/>
          <w:marTop w:val="0"/>
          <w:marBottom w:val="0"/>
          <w:divBdr>
            <w:top w:val="none" w:sz="0" w:space="0" w:color="auto"/>
            <w:left w:val="none" w:sz="0" w:space="0" w:color="auto"/>
            <w:bottom w:val="none" w:sz="0" w:space="0" w:color="auto"/>
            <w:right w:val="none" w:sz="0" w:space="0" w:color="auto"/>
          </w:divBdr>
        </w:div>
        <w:div w:id="794060486">
          <w:marLeft w:val="0"/>
          <w:marRight w:val="0"/>
          <w:marTop w:val="0"/>
          <w:marBottom w:val="0"/>
          <w:divBdr>
            <w:top w:val="none" w:sz="0" w:space="0" w:color="auto"/>
            <w:left w:val="none" w:sz="0" w:space="0" w:color="auto"/>
            <w:bottom w:val="none" w:sz="0" w:space="0" w:color="auto"/>
            <w:right w:val="none" w:sz="0" w:space="0" w:color="auto"/>
          </w:divBdr>
        </w:div>
        <w:div w:id="1918009051">
          <w:marLeft w:val="0"/>
          <w:marRight w:val="0"/>
          <w:marTop w:val="0"/>
          <w:marBottom w:val="0"/>
          <w:divBdr>
            <w:top w:val="none" w:sz="0" w:space="0" w:color="auto"/>
            <w:left w:val="none" w:sz="0" w:space="0" w:color="auto"/>
            <w:bottom w:val="none" w:sz="0" w:space="0" w:color="auto"/>
            <w:right w:val="none" w:sz="0" w:space="0" w:color="auto"/>
          </w:divBdr>
        </w:div>
        <w:div w:id="1252425178">
          <w:marLeft w:val="0"/>
          <w:marRight w:val="0"/>
          <w:marTop w:val="0"/>
          <w:marBottom w:val="0"/>
          <w:divBdr>
            <w:top w:val="none" w:sz="0" w:space="0" w:color="auto"/>
            <w:left w:val="none" w:sz="0" w:space="0" w:color="auto"/>
            <w:bottom w:val="none" w:sz="0" w:space="0" w:color="auto"/>
            <w:right w:val="none" w:sz="0" w:space="0" w:color="auto"/>
          </w:divBdr>
        </w:div>
        <w:div w:id="873660874">
          <w:marLeft w:val="0"/>
          <w:marRight w:val="0"/>
          <w:marTop w:val="0"/>
          <w:marBottom w:val="0"/>
          <w:divBdr>
            <w:top w:val="none" w:sz="0" w:space="0" w:color="auto"/>
            <w:left w:val="none" w:sz="0" w:space="0" w:color="auto"/>
            <w:bottom w:val="none" w:sz="0" w:space="0" w:color="auto"/>
            <w:right w:val="none" w:sz="0" w:space="0" w:color="auto"/>
          </w:divBdr>
        </w:div>
        <w:div w:id="564411654">
          <w:marLeft w:val="0"/>
          <w:marRight w:val="0"/>
          <w:marTop w:val="0"/>
          <w:marBottom w:val="0"/>
          <w:divBdr>
            <w:top w:val="none" w:sz="0" w:space="0" w:color="auto"/>
            <w:left w:val="none" w:sz="0" w:space="0" w:color="auto"/>
            <w:bottom w:val="none" w:sz="0" w:space="0" w:color="auto"/>
            <w:right w:val="none" w:sz="0" w:space="0" w:color="auto"/>
          </w:divBdr>
        </w:div>
        <w:div w:id="651833580">
          <w:marLeft w:val="0"/>
          <w:marRight w:val="0"/>
          <w:marTop w:val="0"/>
          <w:marBottom w:val="0"/>
          <w:divBdr>
            <w:top w:val="none" w:sz="0" w:space="0" w:color="auto"/>
            <w:left w:val="none" w:sz="0" w:space="0" w:color="auto"/>
            <w:bottom w:val="none" w:sz="0" w:space="0" w:color="auto"/>
            <w:right w:val="none" w:sz="0" w:space="0" w:color="auto"/>
          </w:divBdr>
        </w:div>
        <w:div w:id="1956593622">
          <w:marLeft w:val="0"/>
          <w:marRight w:val="0"/>
          <w:marTop w:val="0"/>
          <w:marBottom w:val="0"/>
          <w:divBdr>
            <w:top w:val="none" w:sz="0" w:space="0" w:color="auto"/>
            <w:left w:val="none" w:sz="0" w:space="0" w:color="auto"/>
            <w:bottom w:val="none" w:sz="0" w:space="0" w:color="auto"/>
            <w:right w:val="none" w:sz="0" w:space="0" w:color="auto"/>
          </w:divBdr>
        </w:div>
        <w:div w:id="285353769">
          <w:marLeft w:val="0"/>
          <w:marRight w:val="0"/>
          <w:marTop w:val="0"/>
          <w:marBottom w:val="0"/>
          <w:divBdr>
            <w:top w:val="none" w:sz="0" w:space="0" w:color="auto"/>
            <w:left w:val="none" w:sz="0" w:space="0" w:color="auto"/>
            <w:bottom w:val="none" w:sz="0" w:space="0" w:color="auto"/>
            <w:right w:val="none" w:sz="0" w:space="0" w:color="auto"/>
          </w:divBdr>
        </w:div>
        <w:div w:id="1421415633">
          <w:marLeft w:val="0"/>
          <w:marRight w:val="0"/>
          <w:marTop w:val="0"/>
          <w:marBottom w:val="0"/>
          <w:divBdr>
            <w:top w:val="none" w:sz="0" w:space="0" w:color="auto"/>
            <w:left w:val="none" w:sz="0" w:space="0" w:color="auto"/>
            <w:bottom w:val="none" w:sz="0" w:space="0" w:color="auto"/>
            <w:right w:val="none" w:sz="0" w:space="0" w:color="auto"/>
          </w:divBdr>
        </w:div>
        <w:div w:id="307252666">
          <w:marLeft w:val="0"/>
          <w:marRight w:val="0"/>
          <w:marTop w:val="0"/>
          <w:marBottom w:val="0"/>
          <w:divBdr>
            <w:top w:val="none" w:sz="0" w:space="0" w:color="auto"/>
            <w:left w:val="none" w:sz="0" w:space="0" w:color="auto"/>
            <w:bottom w:val="none" w:sz="0" w:space="0" w:color="auto"/>
            <w:right w:val="none" w:sz="0" w:space="0" w:color="auto"/>
          </w:divBdr>
        </w:div>
        <w:div w:id="171265857">
          <w:marLeft w:val="0"/>
          <w:marRight w:val="0"/>
          <w:marTop w:val="0"/>
          <w:marBottom w:val="0"/>
          <w:divBdr>
            <w:top w:val="none" w:sz="0" w:space="0" w:color="auto"/>
            <w:left w:val="none" w:sz="0" w:space="0" w:color="auto"/>
            <w:bottom w:val="none" w:sz="0" w:space="0" w:color="auto"/>
            <w:right w:val="none" w:sz="0" w:space="0" w:color="auto"/>
          </w:divBdr>
        </w:div>
        <w:div w:id="228227936">
          <w:marLeft w:val="0"/>
          <w:marRight w:val="0"/>
          <w:marTop w:val="0"/>
          <w:marBottom w:val="0"/>
          <w:divBdr>
            <w:top w:val="none" w:sz="0" w:space="0" w:color="auto"/>
            <w:left w:val="none" w:sz="0" w:space="0" w:color="auto"/>
            <w:bottom w:val="none" w:sz="0" w:space="0" w:color="auto"/>
            <w:right w:val="none" w:sz="0" w:space="0" w:color="auto"/>
          </w:divBdr>
        </w:div>
        <w:div w:id="768113791">
          <w:marLeft w:val="0"/>
          <w:marRight w:val="0"/>
          <w:marTop w:val="0"/>
          <w:marBottom w:val="0"/>
          <w:divBdr>
            <w:top w:val="none" w:sz="0" w:space="0" w:color="auto"/>
            <w:left w:val="none" w:sz="0" w:space="0" w:color="auto"/>
            <w:bottom w:val="none" w:sz="0" w:space="0" w:color="auto"/>
            <w:right w:val="none" w:sz="0" w:space="0" w:color="auto"/>
          </w:divBdr>
        </w:div>
        <w:div w:id="814224860">
          <w:marLeft w:val="0"/>
          <w:marRight w:val="0"/>
          <w:marTop w:val="0"/>
          <w:marBottom w:val="0"/>
          <w:divBdr>
            <w:top w:val="none" w:sz="0" w:space="0" w:color="auto"/>
            <w:left w:val="none" w:sz="0" w:space="0" w:color="auto"/>
            <w:bottom w:val="none" w:sz="0" w:space="0" w:color="auto"/>
            <w:right w:val="none" w:sz="0" w:space="0" w:color="auto"/>
          </w:divBdr>
        </w:div>
        <w:div w:id="635990956">
          <w:marLeft w:val="0"/>
          <w:marRight w:val="0"/>
          <w:marTop w:val="0"/>
          <w:marBottom w:val="0"/>
          <w:divBdr>
            <w:top w:val="none" w:sz="0" w:space="0" w:color="auto"/>
            <w:left w:val="none" w:sz="0" w:space="0" w:color="auto"/>
            <w:bottom w:val="none" w:sz="0" w:space="0" w:color="auto"/>
            <w:right w:val="none" w:sz="0" w:space="0" w:color="auto"/>
          </w:divBdr>
        </w:div>
        <w:div w:id="974141700">
          <w:marLeft w:val="0"/>
          <w:marRight w:val="0"/>
          <w:marTop w:val="0"/>
          <w:marBottom w:val="0"/>
          <w:divBdr>
            <w:top w:val="none" w:sz="0" w:space="0" w:color="auto"/>
            <w:left w:val="none" w:sz="0" w:space="0" w:color="auto"/>
            <w:bottom w:val="none" w:sz="0" w:space="0" w:color="auto"/>
            <w:right w:val="none" w:sz="0" w:space="0" w:color="auto"/>
          </w:divBdr>
        </w:div>
        <w:div w:id="1918246588">
          <w:marLeft w:val="0"/>
          <w:marRight w:val="0"/>
          <w:marTop w:val="0"/>
          <w:marBottom w:val="0"/>
          <w:divBdr>
            <w:top w:val="none" w:sz="0" w:space="0" w:color="auto"/>
            <w:left w:val="none" w:sz="0" w:space="0" w:color="auto"/>
            <w:bottom w:val="none" w:sz="0" w:space="0" w:color="auto"/>
            <w:right w:val="none" w:sz="0" w:space="0" w:color="auto"/>
          </w:divBdr>
        </w:div>
        <w:div w:id="318771084">
          <w:marLeft w:val="0"/>
          <w:marRight w:val="0"/>
          <w:marTop w:val="0"/>
          <w:marBottom w:val="0"/>
          <w:divBdr>
            <w:top w:val="none" w:sz="0" w:space="0" w:color="auto"/>
            <w:left w:val="none" w:sz="0" w:space="0" w:color="auto"/>
            <w:bottom w:val="none" w:sz="0" w:space="0" w:color="auto"/>
            <w:right w:val="none" w:sz="0" w:space="0" w:color="auto"/>
          </w:divBdr>
        </w:div>
        <w:div w:id="210003408">
          <w:marLeft w:val="0"/>
          <w:marRight w:val="0"/>
          <w:marTop w:val="0"/>
          <w:marBottom w:val="0"/>
          <w:divBdr>
            <w:top w:val="none" w:sz="0" w:space="0" w:color="auto"/>
            <w:left w:val="none" w:sz="0" w:space="0" w:color="auto"/>
            <w:bottom w:val="none" w:sz="0" w:space="0" w:color="auto"/>
            <w:right w:val="none" w:sz="0" w:space="0" w:color="auto"/>
          </w:divBdr>
        </w:div>
        <w:div w:id="356784255">
          <w:marLeft w:val="0"/>
          <w:marRight w:val="0"/>
          <w:marTop w:val="0"/>
          <w:marBottom w:val="0"/>
          <w:divBdr>
            <w:top w:val="none" w:sz="0" w:space="0" w:color="auto"/>
            <w:left w:val="none" w:sz="0" w:space="0" w:color="auto"/>
            <w:bottom w:val="none" w:sz="0" w:space="0" w:color="auto"/>
            <w:right w:val="none" w:sz="0" w:space="0" w:color="auto"/>
          </w:divBdr>
        </w:div>
        <w:div w:id="1120807214">
          <w:marLeft w:val="0"/>
          <w:marRight w:val="0"/>
          <w:marTop w:val="0"/>
          <w:marBottom w:val="0"/>
          <w:divBdr>
            <w:top w:val="none" w:sz="0" w:space="0" w:color="auto"/>
            <w:left w:val="none" w:sz="0" w:space="0" w:color="auto"/>
            <w:bottom w:val="none" w:sz="0" w:space="0" w:color="auto"/>
            <w:right w:val="none" w:sz="0" w:space="0" w:color="auto"/>
          </w:divBdr>
        </w:div>
        <w:div w:id="1290164010">
          <w:marLeft w:val="0"/>
          <w:marRight w:val="0"/>
          <w:marTop w:val="0"/>
          <w:marBottom w:val="0"/>
          <w:divBdr>
            <w:top w:val="none" w:sz="0" w:space="0" w:color="auto"/>
            <w:left w:val="none" w:sz="0" w:space="0" w:color="auto"/>
            <w:bottom w:val="none" w:sz="0" w:space="0" w:color="auto"/>
            <w:right w:val="none" w:sz="0" w:space="0" w:color="auto"/>
          </w:divBdr>
        </w:div>
        <w:div w:id="114326904">
          <w:marLeft w:val="0"/>
          <w:marRight w:val="0"/>
          <w:marTop w:val="0"/>
          <w:marBottom w:val="0"/>
          <w:divBdr>
            <w:top w:val="none" w:sz="0" w:space="0" w:color="auto"/>
            <w:left w:val="none" w:sz="0" w:space="0" w:color="auto"/>
            <w:bottom w:val="none" w:sz="0" w:space="0" w:color="auto"/>
            <w:right w:val="none" w:sz="0" w:space="0" w:color="auto"/>
          </w:divBdr>
        </w:div>
        <w:div w:id="178742956">
          <w:marLeft w:val="0"/>
          <w:marRight w:val="0"/>
          <w:marTop w:val="0"/>
          <w:marBottom w:val="0"/>
          <w:divBdr>
            <w:top w:val="none" w:sz="0" w:space="0" w:color="auto"/>
            <w:left w:val="none" w:sz="0" w:space="0" w:color="auto"/>
            <w:bottom w:val="none" w:sz="0" w:space="0" w:color="auto"/>
            <w:right w:val="none" w:sz="0" w:space="0" w:color="auto"/>
          </w:divBdr>
        </w:div>
        <w:div w:id="1829831690">
          <w:marLeft w:val="0"/>
          <w:marRight w:val="0"/>
          <w:marTop w:val="0"/>
          <w:marBottom w:val="0"/>
          <w:divBdr>
            <w:top w:val="none" w:sz="0" w:space="0" w:color="auto"/>
            <w:left w:val="none" w:sz="0" w:space="0" w:color="auto"/>
            <w:bottom w:val="none" w:sz="0" w:space="0" w:color="auto"/>
            <w:right w:val="none" w:sz="0" w:space="0" w:color="auto"/>
          </w:divBdr>
        </w:div>
        <w:div w:id="1921406760">
          <w:marLeft w:val="0"/>
          <w:marRight w:val="0"/>
          <w:marTop w:val="0"/>
          <w:marBottom w:val="0"/>
          <w:divBdr>
            <w:top w:val="none" w:sz="0" w:space="0" w:color="auto"/>
            <w:left w:val="none" w:sz="0" w:space="0" w:color="auto"/>
            <w:bottom w:val="none" w:sz="0" w:space="0" w:color="auto"/>
            <w:right w:val="none" w:sz="0" w:space="0" w:color="auto"/>
          </w:divBdr>
        </w:div>
        <w:div w:id="913978927">
          <w:marLeft w:val="0"/>
          <w:marRight w:val="0"/>
          <w:marTop w:val="0"/>
          <w:marBottom w:val="0"/>
          <w:divBdr>
            <w:top w:val="none" w:sz="0" w:space="0" w:color="auto"/>
            <w:left w:val="none" w:sz="0" w:space="0" w:color="auto"/>
            <w:bottom w:val="none" w:sz="0" w:space="0" w:color="auto"/>
            <w:right w:val="none" w:sz="0" w:space="0" w:color="auto"/>
          </w:divBdr>
        </w:div>
        <w:div w:id="1225920097">
          <w:marLeft w:val="0"/>
          <w:marRight w:val="0"/>
          <w:marTop w:val="0"/>
          <w:marBottom w:val="0"/>
          <w:divBdr>
            <w:top w:val="none" w:sz="0" w:space="0" w:color="auto"/>
            <w:left w:val="none" w:sz="0" w:space="0" w:color="auto"/>
            <w:bottom w:val="none" w:sz="0" w:space="0" w:color="auto"/>
            <w:right w:val="none" w:sz="0" w:space="0" w:color="auto"/>
          </w:divBdr>
        </w:div>
        <w:div w:id="696584092">
          <w:marLeft w:val="0"/>
          <w:marRight w:val="0"/>
          <w:marTop w:val="0"/>
          <w:marBottom w:val="0"/>
          <w:divBdr>
            <w:top w:val="none" w:sz="0" w:space="0" w:color="auto"/>
            <w:left w:val="none" w:sz="0" w:space="0" w:color="auto"/>
            <w:bottom w:val="none" w:sz="0" w:space="0" w:color="auto"/>
            <w:right w:val="none" w:sz="0" w:space="0" w:color="auto"/>
          </w:divBdr>
        </w:div>
        <w:div w:id="2051109939">
          <w:marLeft w:val="0"/>
          <w:marRight w:val="0"/>
          <w:marTop w:val="0"/>
          <w:marBottom w:val="0"/>
          <w:divBdr>
            <w:top w:val="none" w:sz="0" w:space="0" w:color="auto"/>
            <w:left w:val="none" w:sz="0" w:space="0" w:color="auto"/>
            <w:bottom w:val="none" w:sz="0" w:space="0" w:color="auto"/>
            <w:right w:val="none" w:sz="0" w:space="0" w:color="auto"/>
          </w:divBdr>
        </w:div>
        <w:div w:id="1626472929">
          <w:marLeft w:val="0"/>
          <w:marRight w:val="0"/>
          <w:marTop w:val="0"/>
          <w:marBottom w:val="0"/>
          <w:divBdr>
            <w:top w:val="none" w:sz="0" w:space="0" w:color="auto"/>
            <w:left w:val="none" w:sz="0" w:space="0" w:color="auto"/>
            <w:bottom w:val="none" w:sz="0" w:space="0" w:color="auto"/>
            <w:right w:val="none" w:sz="0" w:space="0" w:color="auto"/>
          </w:divBdr>
        </w:div>
        <w:div w:id="752510593">
          <w:marLeft w:val="0"/>
          <w:marRight w:val="0"/>
          <w:marTop w:val="0"/>
          <w:marBottom w:val="0"/>
          <w:divBdr>
            <w:top w:val="none" w:sz="0" w:space="0" w:color="auto"/>
            <w:left w:val="none" w:sz="0" w:space="0" w:color="auto"/>
            <w:bottom w:val="none" w:sz="0" w:space="0" w:color="auto"/>
            <w:right w:val="none" w:sz="0" w:space="0" w:color="auto"/>
          </w:divBdr>
        </w:div>
        <w:div w:id="470549">
          <w:marLeft w:val="0"/>
          <w:marRight w:val="0"/>
          <w:marTop w:val="0"/>
          <w:marBottom w:val="0"/>
          <w:divBdr>
            <w:top w:val="none" w:sz="0" w:space="0" w:color="auto"/>
            <w:left w:val="none" w:sz="0" w:space="0" w:color="auto"/>
            <w:bottom w:val="none" w:sz="0" w:space="0" w:color="auto"/>
            <w:right w:val="none" w:sz="0" w:space="0" w:color="auto"/>
          </w:divBdr>
        </w:div>
        <w:div w:id="2028023379">
          <w:marLeft w:val="0"/>
          <w:marRight w:val="0"/>
          <w:marTop w:val="0"/>
          <w:marBottom w:val="0"/>
          <w:divBdr>
            <w:top w:val="none" w:sz="0" w:space="0" w:color="auto"/>
            <w:left w:val="none" w:sz="0" w:space="0" w:color="auto"/>
            <w:bottom w:val="none" w:sz="0" w:space="0" w:color="auto"/>
            <w:right w:val="none" w:sz="0" w:space="0" w:color="auto"/>
          </w:divBdr>
        </w:div>
        <w:div w:id="1185511832">
          <w:marLeft w:val="0"/>
          <w:marRight w:val="0"/>
          <w:marTop w:val="0"/>
          <w:marBottom w:val="0"/>
          <w:divBdr>
            <w:top w:val="none" w:sz="0" w:space="0" w:color="auto"/>
            <w:left w:val="none" w:sz="0" w:space="0" w:color="auto"/>
            <w:bottom w:val="none" w:sz="0" w:space="0" w:color="auto"/>
            <w:right w:val="none" w:sz="0" w:space="0" w:color="auto"/>
          </w:divBdr>
        </w:div>
        <w:div w:id="1519461135">
          <w:marLeft w:val="0"/>
          <w:marRight w:val="0"/>
          <w:marTop w:val="0"/>
          <w:marBottom w:val="0"/>
          <w:divBdr>
            <w:top w:val="none" w:sz="0" w:space="0" w:color="auto"/>
            <w:left w:val="none" w:sz="0" w:space="0" w:color="auto"/>
            <w:bottom w:val="none" w:sz="0" w:space="0" w:color="auto"/>
            <w:right w:val="none" w:sz="0" w:space="0" w:color="auto"/>
          </w:divBdr>
        </w:div>
        <w:div w:id="359671486">
          <w:marLeft w:val="0"/>
          <w:marRight w:val="0"/>
          <w:marTop w:val="0"/>
          <w:marBottom w:val="0"/>
          <w:divBdr>
            <w:top w:val="none" w:sz="0" w:space="0" w:color="auto"/>
            <w:left w:val="none" w:sz="0" w:space="0" w:color="auto"/>
            <w:bottom w:val="none" w:sz="0" w:space="0" w:color="auto"/>
            <w:right w:val="none" w:sz="0" w:space="0" w:color="auto"/>
          </w:divBdr>
        </w:div>
        <w:div w:id="1491142819">
          <w:marLeft w:val="0"/>
          <w:marRight w:val="0"/>
          <w:marTop w:val="0"/>
          <w:marBottom w:val="0"/>
          <w:divBdr>
            <w:top w:val="none" w:sz="0" w:space="0" w:color="auto"/>
            <w:left w:val="none" w:sz="0" w:space="0" w:color="auto"/>
            <w:bottom w:val="none" w:sz="0" w:space="0" w:color="auto"/>
            <w:right w:val="none" w:sz="0" w:space="0" w:color="auto"/>
          </w:divBdr>
        </w:div>
        <w:div w:id="1447966787">
          <w:marLeft w:val="0"/>
          <w:marRight w:val="0"/>
          <w:marTop w:val="0"/>
          <w:marBottom w:val="0"/>
          <w:divBdr>
            <w:top w:val="none" w:sz="0" w:space="0" w:color="auto"/>
            <w:left w:val="none" w:sz="0" w:space="0" w:color="auto"/>
            <w:bottom w:val="none" w:sz="0" w:space="0" w:color="auto"/>
            <w:right w:val="none" w:sz="0" w:space="0" w:color="auto"/>
          </w:divBdr>
        </w:div>
        <w:div w:id="1922711676">
          <w:marLeft w:val="0"/>
          <w:marRight w:val="0"/>
          <w:marTop w:val="0"/>
          <w:marBottom w:val="0"/>
          <w:divBdr>
            <w:top w:val="none" w:sz="0" w:space="0" w:color="auto"/>
            <w:left w:val="none" w:sz="0" w:space="0" w:color="auto"/>
            <w:bottom w:val="none" w:sz="0" w:space="0" w:color="auto"/>
            <w:right w:val="none" w:sz="0" w:space="0" w:color="auto"/>
          </w:divBdr>
        </w:div>
        <w:div w:id="1903365549">
          <w:marLeft w:val="0"/>
          <w:marRight w:val="0"/>
          <w:marTop w:val="0"/>
          <w:marBottom w:val="0"/>
          <w:divBdr>
            <w:top w:val="none" w:sz="0" w:space="0" w:color="auto"/>
            <w:left w:val="none" w:sz="0" w:space="0" w:color="auto"/>
            <w:bottom w:val="none" w:sz="0" w:space="0" w:color="auto"/>
            <w:right w:val="none" w:sz="0" w:space="0" w:color="auto"/>
          </w:divBdr>
        </w:div>
        <w:div w:id="1111781255">
          <w:marLeft w:val="0"/>
          <w:marRight w:val="0"/>
          <w:marTop w:val="0"/>
          <w:marBottom w:val="0"/>
          <w:divBdr>
            <w:top w:val="none" w:sz="0" w:space="0" w:color="auto"/>
            <w:left w:val="none" w:sz="0" w:space="0" w:color="auto"/>
            <w:bottom w:val="none" w:sz="0" w:space="0" w:color="auto"/>
            <w:right w:val="none" w:sz="0" w:space="0" w:color="auto"/>
          </w:divBdr>
        </w:div>
        <w:div w:id="1098065803">
          <w:marLeft w:val="0"/>
          <w:marRight w:val="0"/>
          <w:marTop w:val="0"/>
          <w:marBottom w:val="0"/>
          <w:divBdr>
            <w:top w:val="none" w:sz="0" w:space="0" w:color="auto"/>
            <w:left w:val="none" w:sz="0" w:space="0" w:color="auto"/>
            <w:bottom w:val="none" w:sz="0" w:space="0" w:color="auto"/>
            <w:right w:val="none" w:sz="0" w:space="0" w:color="auto"/>
          </w:divBdr>
        </w:div>
        <w:div w:id="95099292">
          <w:marLeft w:val="0"/>
          <w:marRight w:val="0"/>
          <w:marTop w:val="0"/>
          <w:marBottom w:val="0"/>
          <w:divBdr>
            <w:top w:val="none" w:sz="0" w:space="0" w:color="auto"/>
            <w:left w:val="none" w:sz="0" w:space="0" w:color="auto"/>
            <w:bottom w:val="none" w:sz="0" w:space="0" w:color="auto"/>
            <w:right w:val="none" w:sz="0" w:space="0" w:color="auto"/>
          </w:divBdr>
        </w:div>
        <w:div w:id="1995717993">
          <w:marLeft w:val="0"/>
          <w:marRight w:val="0"/>
          <w:marTop w:val="0"/>
          <w:marBottom w:val="0"/>
          <w:divBdr>
            <w:top w:val="none" w:sz="0" w:space="0" w:color="auto"/>
            <w:left w:val="none" w:sz="0" w:space="0" w:color="auto"/>
            <w:bottom w:val="none" w:sz="0" w:space="0" w:color="auto"/>
            <w:right w:val="none" w:sz="0" w:space="0" w:color="auto"/>
          </w:divBdr>
        </w:div>
        <w:div w:id="197667885">
          <w:marLeft w:val="0"/>
          <w:marRight w:val="0"/>
          <w:marTop w:val="0"/>
          <w:marBottom w:val="0"/>
          <w:divBdr>
            <w:top w:val="none" w:sz="0" w:space="0" w:color="auto"/>
            <w:left w:val="none" w:sz="0" w:space="0" w:color="auto"/>
            <w:bottom w:val="none" w:sz="0" w:space="0" w:color="auto"/>
            <w:right w:val="none" w:sz="0" w:space="0" w:color="auto"/>
          </w:divBdr>
        </w:div>
        <w:div w:id="1056200797">
          <w:marLeft w:val="0"/>
          <w:marRight w:val="0"/>
          <w:marTop w:val="0"/>
          <w:marBottom w:val="0"/>
          <w:divBdr>
            <w:top w:val="none" w:sz="0" w:space="0" w:color="auto"/>
            <w:left w:val="none" w:sz="0" w:space="0" w:color="auto"/>
            <w:bottom w:val="none" w:sz="0" w:space="0" w:color="auto"/>
            <w:right w:val="none" w:sz="0" w:space="0" w:color="auto"/>
          </w:divBdr>
        </w:div>
        <w:div w:id="332034675">
          <w:marLeft w:val="0"/>
          <w:marRight w:val="0"/>
          <w:marTop w:val="0"/>
          <w:marBottom w:val="0"/>
          <w:divBdr>
            <w:top w:val="none" w:sz="0" w:space="0" w:color="auto"/>
            <w:left w:val="none" w:sz="0" w:space="0" w:color="auto"/>
            <w:bottom w:val="none" w:sz="0" w:space="0" w:color="auto"/>
            <w:right w:val="none" w:sz="0" w:space="0" w:color="auto"/>
          </w:divBdr>
        </w:div>
        <w:div w:id="1478764844">
          <w:marLeft w:val="0"/>
          <w:marRight w:val="0"/>
          <w:marTop w:val="0"/>
          <w:marBottom w:val="0"/>
          <w:divBdr>
            <w:top w:val="none" w:sz="0" w:space="0" w:color="auto"/>
            <w:left w:val="none" w:sz="0" w:space="0" w:color="auto"/>
            <w:bottom w:val="none" w:sz="0" w:space="0" w:color="auto"/>
            <w:right w:val="none" w:sz="0" w:space="0" w:color="auto"/>
          </w:divBdr>
        </w:div>
        <w:div w:id="510486545">
          <w:marLeft w:val="0"/>
          <w:marRight w:val="0"/>
          <w:marTop w:val="0"/>
          <w:marBottom w:val="0"/>
          <w:divBdr>
            <w:top w:val="none" w:sz="0" w:space="0" w:color="auto"/>
            <w:left w:val="none" w:sz="0" w:space="0" w:color="auto"/>
            <w:bottom w:val="none" w:sz="0" w:space="0" w:color="auto"/>
            <w:right w:val="none" w:sz="0" w:space="0" w:color="auto"/>
          </w:divBdr>
        </w:div>
        <w:div w:id="185682084">
          <w:marLeft w:val="0"/>
          <w:marRight w:val="0"/>
          <w:marTop w:val="0"/>
          <w:marBottom w:val="0"/>
          <w:divBdr>
            <w:top w:val="none" w:sz="0" w:space="0" w:color="auto"/>
            <w:left w:val="none" w:sz="0" w:space="0" w:color="auto"/>
            <w:bottom w:val="none" w:sz="0" w:space="0" w:color="auto"/>
            <w:right w:val="none" w:sz="0" w:space="0" w:color="auto"/>
          </w:divBdr>
        </w:div>
        <w:div w:id="1627664360">
          <w:marLeft w:val="0"/>
          <w:marRight w:val="0"/>
          <w:marTop w:val="0"/>
          <w:marBottom w:val="0"/>
          <w:divBdr>
            <w:top w:val="none" w:sz="0" w:space="0" w:color="auto"/>
            <w:left w:val="none" w:sz="0" w:space="0" w:color="auto"/>
            <w:bottom w:val="none" w:sz="0" w:space="0" w:color="auto"/>
            <w:right w:val="none" w:sz="0" w:space="0" w:color="auto"/>
          </w:divBdr>
        </w:div>
        <w:div w:id="1602059608">
          <w:marLeft w:val="0"/>
          <w:marRight w:val="0"/>
          <w:marTop w:val="0"/>
          <w:marBottom w:val="0"/>
          <w:divBdr>
            <w:top w:val="none" w:sz="0" w:space="0" w:color="auto"/>
            <w:left w:val="none" w:sz="0" w:space="0" w:color="auto"/>
            <w:bottom w:val="none" w:sz="0" w:space="0" w:color="auto"/>
            <w:right w:val="none" w:sz="0" w:space="0" w:color="auto"/>
          </w:divBdr>
        </w:div>
        <w:div w:id="920942259">
          <w:marLeft w:val="0"/>
          <w:marRight w:val="0"/>
          <w:marTop w:val="0"/>
          <w:marBottom w:val="0"/>
          <w:divBdr>
            <w:top w:val="none" w:sz="0" w:space="0" w:color="auto"/>
            <w:left w:val="none" w:sz="0" w:space="0" w:color="auto"/>
            <w:bottom w:val="none" w:sz="0" w:space="0" w:color="auto"/>
            <w:right w:val="none" w:sz="0" w:space="0" w:color="auto"/>
          </w:divBdr>
        </w:div>
        <w:div w:id="1781602268">
          <w:marLeft w:val="0"/>
          <w:marRight w:val="0"/>
          <w:marTop w:val="0"/>
          <w:marBottom w:val="0"/>
          <w:divBdr>
            <w:top w:val="none" w:sz="0" w:space="0" w:color="auto"/>
            <w:left w:val="none" w:sz="0" w:space="0" w:color="auto"/>
            <w:bottom w:val="none" w:sz="0" w:space="0" w:color="auto"/>
            <w:right w:val="none" w:sz="0" w:space="0" w:color="auto"/>
          </w:divBdr>
        </w:div>
        <w:div w:id="1501042776">
          <w:marLeft w:val="0"/>
          <w:marRight w:val="0"/>
          <w:marTop w:val="0"/>
          <w:marBottom w:val="0"/>
          <w:divBdr>
            <w:top w:val="none" w:sz="0" w:space="0" w:color="auto"/>
            <w:left w:val="none" w:sz="0" w:space="0" w:color="auto"/>
            <w:bottom w:val="none" w:sz="0" w:space="0" w:color="auto"/>
            <w:right w:val="none" w:sz="0" w:space="0" w:color="auto"/>
          </w:divBdr>
        </w:div>
        <w:div w:id="35324177">
          <w:marLeft w:val="0"/>
          <w:marRight w:val="0"/>
          <w:marTop w:val="0"/>
          <w:marBottom w:val="0"/>
          <w:divBdr>
            <w:top w:val="none" w:sz="0" w:space="0" w:color="auto"/>
            <w:left w:val="none" w:sz="0" w:space="0" w:color="auto"/>
            <w:bottom w:val="none" w:sz="0" w:space="0" w:color="auto"/>
            <w:right w:val="none" w:sz="0" w:space="0" w:color="auto"/>
          </w:divBdr>
        </w:div>
        <w:div w:id="1846241312">
          <w:marLeft w:val="0"/>
          <w:marRight w:val="0"/>
          <w:marTop w:val="0"/>
          <w:marBottom w:val="0"/>
          <w:divBdr>
            <w:top w:val="none" w:sz="0" w:space="0" w:color="auto"/>
            <w:left w:val="none" w:sz="0" w:space="0" w:color="auto"/>
            <w:bottom w:val="none" w:sz="0" w:space="0" w:color="auto"/>
            <w:right w:val="none" w:sz="0" w:space="0" w:color="auto"/>
          </w:divBdr>
        </w:div>
        <w:div w:id="1135100457">
          <w:marLeft w:val="0"/>
          <w:marRight w:val="0"/>
          <w:marTop w:val="0"/>
          <w:marBottom w:val="0"/>
          <w:divBdr>
            <w:top w:val="none" w:sz="0" w:space="0" w:color="auto"/>
            <w:left w:val="none" w:sz="0" w:space="0" w:color="auto"/>
            <w:bottom w:val="none" w:sz="0" w:space="0" w:color="auto"/>
            <w:right w:val="none" w:sz="0" w:space="0" w:color="auto"/>
          </w:divBdr>
        </w:div>
        <w:div w:id="1270620954">
          <w:marLeft w:val="0"/>
          <w:marRight w:val="0"/>
          <w:marTop w:val="0"/>
          <w:marBottom w:val="0"/>
          <w:divBdr>
            <w:top w:val="none" w:sz="0" w:space="0" w:color="auto"/>
            <w:left w:val="none" w:sz="0" w:space="0" w:color="auto"/>
            <w:bottom w:val="none" w:sz="0" w:space="0" w:color="auto"/>
            <w:right w:val="none" w:sz="0" w:space="0" w:color="auto"/>
          </w:divBdr>
        </w:div>
        <w:div w:id="697127850">
          <w:marLeft w:val="0"/>
          <w:marRight w:val="0"/>
          <w:marTop w:val="0"/>
          <w:marBottom w:val="0"/>
          <w:divBdr>
            <w:top w:val="none" w:sz="0" w:space="0" w:color="auto"/>
            <w:left w:val="none" w:sz="0" w:space="0" w:color="auto"/>
            <w:bottom w:val="none" w:sz="0" w:space="0" w:color="auto"/>
            <w:right w:val="none" w:sz="0" w:space="0" w:color="auto"/>
          </w:divBdr>
        </w:div>
        <w:div w:id="1260143672">
          <w:marLeft w:val="0"/>
          <w:marRight w:val="0"/>
          <w:marTop w:val="0"/>
          <w:marBottom w:val="0"/>
          <w:divBdr>
            <w:top w:val="none" w:sz="0" w:space="0" w:color="auto"/>
            <w:left w:val="none" w:sz="0" w:space="0" w:color="auto"/>
            <w:bottom w:val="none" w:sz="0" w:space="0" w:color="auto"/>
            <w:right w:val="none" w:sz="0" w:space="0" w:color="auto"/>
          </w:divBdr>
        </w:div>
        <w:div w:id="1100225971">
          <w:marLeft w:val="0"/>
          <w:marRight w:val="0"/>
          <w:marTop w:val="0"/>
          <w:marBottom w:val="0"/>
          <w:divBdr>
            <w:top w:val="none" w:sz="0" w:space="0" w:color="auto"/>
            <w:left w:val="none" w:sz="0" w:space="0" w:color="auto"/>
            <w:bottom w:val="none" w:sz="0" w:space="0" w:color="auto"/>
            <w:right w:val="none" w:sz="0" w:space="0" w:color="auto"/>
          </w:divBdr>
        </w:div>
        <w:div w:id="1843083265">
          <w:marLeft w:val="0"/>
          <w:marRight w:val="0"/>
          <w:marTop w:val="0"/>
          <w:marBottom w:val="0"/>
          <w:divBdr>
            <w:top w:val="none" w:sz="0" w:space="0" w:color="auto"/>
            <w:left w:val="none" w:sz="0" w:space="0" w:color="auto"/>
            <w:bottom w:val="none" w:sz="0" w:space="0" w:color="auto"/>
            <w:right w:val="none" w:sz="0" w:space="0" w:color="auto"/>
          </w:divBdr>
        </w:div>
        <w:div w:id="375203817">
          <w:marLeft w:val="0"/>
          <w:marRight w:val="0"/>
          <w:marTop w:val="0"/>
          <w:marBottom w:val="0"/>
          <w:divBdr>
            <w:top w:val="none" w:sz="0" w:space="0" w:color="auto"/>
            <w:left w:val="none" w:sz="0" w:space="0" w:color="auto"/>
            <w:bottom w:val="none" w:sz="0" w:space="0" w:color="auto"/>
            <w:right w:val="none" w:sz="0" w:space="0" w:color="auto"/>
          </w:divBdr>
        </w:div>
        <w:div w:id="2126844864">
          <w:marLeft w:val="0"/>
          <w:marRight w:val="0"/>
          <w:marTop w:val="0"/>
          <w:marBottom w:val="0"/>
          <w:divBdr>
            <w:top w:val="none" w:sz="0" w:space="0" w:color="auto"/>
            <w:left w:val="none" w:sz="0" w:space="0" w:color="auto"/>
            <w:bottom w:val="none" w:sz="0" w:space="0" w:color="auto"/>
            <w:right w:val="none" w:sz="0" w:space="0" w:color="auto"/>
          </w:divBdr>
        </w:div>
        <w:div w:id="1015496123">
          <w:marLeft w:val="0"/>
          <w:marRight w:val="0"/>
          <w:marTop w:val="0"/>
          <w:marBottom w:val="0"/>
          <w:divBdr>
            <w:top w:val="none" w:sz="0" w:space="0" w:color="auto"/>
            <w:left w:val="none" w:sz="0" w:space="0" w:color="auto"/>
            <w:bottom w:val="none" w:sz="0" w:space="0" w:color="auto"/>
            <w:right w:val="none" w:sz="0" w:space="0" w:color="auto"/>
          </w:divBdr>
        </w:div>
        <w:div w:id="1139498233">
          <w:marLeft w:val="0"/>
          <w:marRight w:val="0"/>
          <w:marTop w:val="0"/>
          <w:marBottom w:val="0"/>
          <w:divBdr>
            <w:top w:val="none" w:sz="0" w:space="0" w:color="auto"/>
            <w:left w:val="none" w:sz="0" w:space="0" w:color="auto"/>
            <w:bottom w:val="none" w:sz="0" w:space="0" w:color="auto"/>
            <w:right w:val="none" w:sz="0" w:space="0" w:color="auto"/>
          </w:divBdr>
        </w:div>
        <w:div w:id="1316446346">
          <w:marLeft w:val="0"/>
          <w:marRight w:val="0"/>
          <w:marTop w:val="0"/>
          <w:marBottom w:val="0"/>
          <w:divBdr>
            <w:top w:val="none" w:sz="0" w:space="0" w:color="auto"/>
            <w:left w:val="none" w:sz="0" w:space="0" w:color="auto"/>
            <w:bottom w:val="none" w:sz="0" w:space="0" w:color="auto"/>
            <w:right w:val="none" w:sz="0" w:space="0" w:color="auto"/>
          </w:divBdr>
        </w:div>
        <w:div w:id="601230727">
          <w:marLeft w:val="0"/>
          <w:marRight w:val="0"/>
          <w:marTop w:val="0"/>
          <w:marBottom w:val="0"/>
          <w:divBdr>
            <w:top w:val="none" w:sz="0" w:space="0" w:color="auto"/>
            <w:left w:val="none" w:sz="0" w:space="0" w:color="auto"/>
            <w:bottom w:val="none" w:sz="0" w:space="0" w:color="auto"/>
            <w:right w:val="none" w:sz="0" w:space="0" w:color="auto"/>
          </w:divBdr>
        </w:div>
        <w:div w:id="1836147967">
          <w:marLeft w:val="0"/>
          <w:marRight w:val="0"/>
          <w:marTop w:val="0"/>
          <w:marBottom w:val="0"/>
          <w:divBdr>
            <w:top w:val="none" w:sz="0" w:space="0" w:color="auto"/>
            <w:left w:val="none" w:sz="0" w:space="0" w:color="auto"/>
            <w:bottom w:val="none" w:sz="0" w:space="0" w:color="auto"/>
            <w:right w:val="none" w:sz="0" w:space="0" w:color="auto"/>
          </w:divBdr>
        </w:div>
        <w:div w:id="856119229">
          <w:marLeft w:val="0"/>
          <w:marRight w:val="0"/>
          <w:marTop w:val="0"/>
          <w:marBottom w:val="0"/>
          <w:divBdr>
            <w:top w:val="none" w:sz="0" w:space="0" w:color="auto"/>
            <w:left w:val="none" w:sz="0" w:space="0" w:color="auto"/>
            <w:bottom w:val="none" w:sz="0" w:space="0" w:color="auto"/>
            <w:right w:val="none" w:sz="0" w:space="0" w:color="auto"/>
          </w:divBdr>
        </w:div>
        <w:div w:id="459998624">
          <w:marLeft w:val="0"/>
          <w:marRight w:val="0"/>
          <w:marTop w:val="0"/>
          <w:marBottom w:val="0"/>
          <w:divBdr>
            <w:top w:val="none" w:sz="0" w:space="0" w:color="auto"/>
            <w:left w:val="none" w:sz="0" w:space="0" w:color="auto"/>
            <w:bottom w:val="none" w:sz="0" w:space="0" w:color="auto"/>
            <w:right w:val="none" w:sz="0" w:space="0" w:color="auto"/>
          </w:divBdr>
        </w:div>
        <w:div w:id="1540318340">
          <w:marLeft w:val="0"/>
          <w:marRight w:val="0"/>
          <w:marTop w:val="0"/>
          <w:marBottom w:val="0"/>
          <w:divBdr>
            <w:top w:val="none" w:sz="0" w:space="0" w:color="auto"/>
            <w:left w:val="none" w:sz="0" w:space="0" w:color="auto"/>
            <w:bottom w:val="none" w:sz="0" w:space="0" w:color="auto"/>
            <w:right w:val="none" w:sz="0" w:space="0" w:color="auto"/>
          </w:divBdr>
        </w:div>
        <w:div w:id="1249656759">
          <w:marLeft w:val="0"/>
          <w:marRight w:val="0"/>
          <w:marTop w:val="0"/>
          <w:marBottom w:val="0"/>
          <w:divBdr>
            <w:top w:val="none" w:sz="0" w:space="0" w:color="auto"/>
            <w:left w:val="none" w:sz="0" w:space="0" w:color="auto"/>
            <w:bottom w:val="none" w:sz="0" w:space="0" w:color="auto"/>
            <w:right w:val="none" w:sz="0" w:space="0" w:color="auto"/>
          </w:divBdr>
        </w:div>
        <w:div w:id="1962153597">
          <w:marLeft w:val="0"/>
          <w:marRight w:val="0"/>
          <w:marTop w:val="0"/>
          <w:marBottom w:val="0"/>
          <w:divBdr>
            <w:top w:val="none" w:sz="0" w:space="0" w:color="auto"/>
            <w:left w:val="none" w:sz="0" w:space="0" w:color="auto"/>
            <w:bottom w:val="none" w:sz="0" w:space="0" w:color="auto"/>
            <w:right w:val="none" w:sz="0" w:space="0" w:color="auto"/>
          </w:divBdr>
        </w:div>
        <w:div w:id="1077289241">
          <w:marLeft w:val="0"/>
          <w:marRight w:val="0"/>
          <w:marTop w:val="0"/>
          <w:marBottom w:val="0"/>
          <w:divBdr>
            <w:top w:val="none" w:sz="0" w:space="0" w:color="auto"/>
            <w:left w:val="none" w:sz="0" w:space="0" w:color="auto"/>
            <w:bottom w:val="none" w:sz="0" w:space="0" w:color="auto"/>
            <w:right w:val="none" w:sz="0" w:space="0" w:color="auto"/>
          </w:divBdr>
        </w:div>
        <w:div w:id="1193884645">
          <w:marLeft w:val="0"/>
          <w:marRight w:val="0"/>
          <w:marTop w:val="0"/>
          <w:marBottom w:val="0"/>
          <w:divBdr>
            <w:top w:val="none" w:sz="0" w:space="0" w:color="auto"/>
            <w:left w:val="none" w:sz="0" w:space="0" w:color="auto"/>
            <w:bottom w:val="none" w:sz="0" w:space="0" w:color="auto"/>
            <w:right w:val="none" w:sz="0" w:space="0" w:color="auto"/>
          </w:divBdr>
        </w:div>
        <w:div w:id="1695113905">
          <w:marLeft w:val="0"/>
          <w:marRight w:val="0"/>
          <w:marTop w:val="0"/>
          <w:marBottom w:val="0"/>
          <w:divBdr>
            <w:top w:val="none" w:sz="0" w:space="0" w:color="auto"/>
            <w:left w:val="none" w:sz="0" w:space="0" w:color="auto"/>
            <w:bottom w:val="none" w:sz="0" w:space="0" w:color="auto"/>
            <w:right w:val="none" w:sz="0" w:space="0" w:color="auto"/>
          </w:divBdr>
        </w:div>
        <w:div w:id="855114349">
          <w:marLeft w:val="0"/>
          <w:marRight w:val="0"/>
          <w:marTop w:val="0"/>
          <w:marBottom w:val="0"/>
          <w:divBdr>
            <w:top w:val="none" w:sz="0" w:space="0" w:color="auto"/>
            <w:left w:val="none" w:sz="0" w:space="0" w:color="auto"/>
            <w:bottom w:val="none" w:sz="0" w:space="0" w:color="auto"/>
            <w:right w:val="none" w:sz="0" w:space="0" w:color="auto"/>
          </w:divBdr>
        </w:div>
        <w:div w:id="381752156">
          <w:marLeft w:val="0"/>
          <w:marRight w:val="0"/>
          <w:marTop w:val="0"/>
          <w:marBottom w:val="0"/>
          <w:divBdr>
            <w:top w:val="none" w:sz="0" w:space="0" w:color="auto"/>
            <w:left w:val="none" w:sz="0" w:space="0" w:color="auto"/>
            <w:bottom w:val="none" w:sz="0" w:space="0" w:color="auto"/>
            <w:right w:val="none" w:sz="0" w:space="0" w:color="auto"/>
          </w:divBdr>
        </w:div>
        <w:div w:id="1245870242">
          <w:marLeft w:val="0"/>
          <w:marRight w:val="0"/>
          <w:marTop w:val="0"/>
          <w:marBottom w:val="0"/>
          <w:divBdr>
            <w:top w:val="none" w:sz="0" w:space="0" w:color="auto"/>
            <w:left w:val="none" w:sz="0" w:space="0" w:color="auto"/>
            <w:bottom w:val="none" w:sz="0" w:space="0" w:color="auto"/>
            <w:right w:val="none" w:sz="0" w:space="0" w:color="auto"/>
          </w:divBdr>
        </w:div>
        <w:div w:id="33114832">
          <w:marLeft w:val="0"/>
          <w:marRight w:val="0"/>
          <w:marTop w:val="0"/>
          <w:marBottom w:val="0"/>
          <w:divBdr>
            <w:top w:val="none" w:sz="0" w:space="0" w:color="auto"/>
            <w:left w:val="none" w:sz="0" w:space="0" w:color="auto"/>
            <w:bottom w:val="none" w:sz="0" w:space="0" w:color="auto"/>
            <w:right w:val="none" w:sz="0" w:space="0" w:color="auto"/>
          </w:divBdr>
        </w:div>
        <w:div w:id="828332431">
          <w:marLeft w:val="0"/>
          <w:marRight w:val="0"/>
          <w:marTop w:val="0"/>
          <w:marBottom w:val="0"/>
          <w:divBdr>
            <w:top w:val="none" w:sz="0" w:space="0" w:color="auto"/>
            <w:left w:val="none" w:sz="0" w:space="0" w:color="auto"/>
            <w:bottom w:val="none" w:sz="0" w:space="0" w:color="auto"/>
            <w:right w:val="none" w:sz="0" w:space="0" w:color="auto"/>
          </w:divBdr>
        </w:div>
        <w:div w:id="1423798268">
          <w:marLeft w:val="0"/>
          <w:marRight w:val="0"/>
          <w:marTop w:val="0"/>
          <w:marBottom w:val="0"/>
          <w:divBdr>
            <w:top w:val="none" w:sz="0" w:space="0" w:color="auto"/>
            <w:left w:val="none" w:sz="0" w:space="0" w:color="auto"/>
            <w:bottom w:val="none" w:sz="0" w:space="0" w:color="auto"/>
            <w:right w:val="none" w:sz="0" w:space="0" w:color="auto"/>
          </w:divBdr>
        </w:div>
        <w:div w:id="1113404403">
          <w:marLeft w:val="0"/>
          <w:marRight w:val="0"/>
          <w:marTop w:val="0"/>
          <w:marBottom w:val="0"/>
          <w:divBdr>
            <w:top w:val="none" w:sz="0" w:space="0" w:color="auto"/>
            <w:left w:val="none" w:sz="0" w:space="0" w:color="auto"/>
            <w:bottom w:val="none" w:sz="0" w:space="0" w:color="auto"/>
            <w:right w:val="none" w:sz="0" w:space="0" w:color="auto"/>
          </w:divBdr>
        </w:div>
        <w:div w:id="381566657">
          <w:marLeft w:val="0"/>
          <w:marRight w:val="0"/>
          <w:marTop w:val="0"/>
          <w:marBottom w:val="0"/>
          <w:divBdr>
            <w:top w:val="none" w:sz="0" w:space="0" w:color="auto"/>
            <w:left w:val="none" w:sz="0" w:space="0" w:color="auto"/>
            <w:bottom w:val="none" w:sz="0" w:space="0" w:color="auto"/>
            <w:right w:val="none" w:sz="0" w:space="0" w:color="auto"/>
          </w:divBdr>
        </w:div>
        <w:div w:id="204221126">
          <w:marLeft w:val="0"/>
          <w:marRight w:val="0"/>
          <w:marTop w:val="0"/>
          <w:marBottom w:val="0"/>
          <w:divBdr>
            <w:top w:val="none" w:sz="0" w:space="0" w:color="auto"/>
            <w:left w:val="none" w:sz="0" w:space="0" w:color="auto"/>
            <w:bottom w:val="none" w:sz="0" w:space="0" w:color="auto"/>
            <w:right w:val="none" w:sz="0" w:space="0" w:color="auto"/>
          </w:divBdr>
        </w:div>
        <w:div w:id="1907297413">
          <w:marLeft w:val="0"/>
          <w:marRight w:val="0"/>
          <w:marTop w:val="0"/>
          <w:marBottom w:val="0"/>
          <w:divBdr>
            <w:top w:val="none" w:sz="0" w:space="0" w:color="auto"/>
            <w:left w:val="none" w:sz="0" w:space="0" w:color="auto"/>
            <w:bottom w:val="none" w:sz="0" w:space="0" w:color="auto"/>
            <w:right w:val="none" w:sz="0" w:space="0" w:color="auto"/>
          </w:divBdr>
        </w:div>
        <w:div w:id="1632439760">
          <w:marLeft w:val="0"/>
          <w:marRight w:val="0"/>
          <w:marTop w:val="0"/>
          <w:marBottom w:val="0"/>
          <w:divBdr>
            <w:top w:val="none" w:sz="0" w:space="0" w:color="auto"/>
            <w:left w:val="none" w:sz="0" w:space="0" w:color="auto"/>
            <w:bottom w:val="none" w:sz="0" w:space="0" w:color="auto"/>
            <w:right w:val="none" w:sz="0" w:space="0" w:color="auto"/>
          </w:divBdr>
        </w:div>
        <w:div w:id="1757356901">
          <w:marLeft w:val="0"/>
          <w:marRight w:val="0"/>
          <w:marTop w:val="0"/>
          <w:marBottom w:val="0"/>
          <w:divBdr>
            <w:top w:val="none" w:sz="0" w:space="0" w:color="auto"/>
            <w:left w:val="none" w:sz="0" w:space="0" w:color="auto"/>
            <w:bottom w:val="none" w:sz="0" w:space="0" w:color="auto"/>
            <w:right w:val="none" w:sz="0" w:space="0" w:color="auto"/>
          </w:divBdr>
        </w:div>
        <w:div w:id="1866358636">
          <w:marLeft w:val="0"/>
          <w:marRight w:val="0"/>
          <w:marTop w:val="0"/>
          <w:marBottom w:val="0"/>
          <w:divBdr>
            <w:top w:val="none" w:sz="0" w:space="0" w:color="auto"/>
            <w:left w:val="none" w:sz="0" w:space="0" w:color="auto"/>
            <w:bottom w:val="none" w:sz="0" w:space="0" w:color="auto"/>
            <w:right w:val="none" w:sz="0" w:space="0" w:color="auto"/>
          </w:divBdr>
        </w:div>
        <w:div w:id="1661084015">
          <w:marLeft w:val="0"/>
          <w:marRight w:val="0"/>
          <w:marTop w:val="0"/>
          <w:marBottom w:val="0"/>
          <w:divBdr>
            <w:top w:val="none" w:sz="0" w:space="0" w:color="auto"/>
            <w:left w:val="none" w:sz="0" w:space="0" w:color="auto"/>
            <w:bottom w:val="none" w:sz="0" w:space="0" w:color="auto"/>
            <w:right w:val="none" w:sz="0" w:space="0" w:color="auto"/>
          </w:divBdr>
        </w:div>
        <w:div w:id="563610734">
          <w:marLeft w:val="0"/>
          <w:marRight w:val="0"/>
          <w:marTop w:val="0"/>
          <w:marBottom w:val="0"/>
          <w:divBdr>
            <w:top w:val="none" w:sz="0" w:space="0" w:color="auto"/>
            <w:left w:val="none" w:sz="0" w:space="0" w:color="auto"/>
            <w:bottom w:val="none" w:sz="0" w:space="0" w:color="auto"/>
            <w:right w:val="none" w:sz="0" w:space="0" w:color="auto"/>
          </w:divBdr>
        </w:div>
        <w:div w:id="1949465443">
          <w:marLeft w:val="0"/>
          <w:marRight w:val="0"/>
          <w:marTop w:val="0"/>
          <w:marBottom w:val="0"/>
          <w:divBdr>
            <w:top w:val="none" w:sz="0" w:space="0" w:color="auto"/>
            <w:left w:val="none" w:sz="0" w:space="0" w:color="auto"/>
            <w:bottom w:val="none" w:sz="0" w:space="0" w:color="auto"/>
            <w:right w:val="none" w:sz="0" w:space="0" w:color="auto"/>
          </w:divBdr>
        </w:div>
        <w:div w:id="195585251">
          <w:marLeft w:val="0"/>
          <w:marRight w:val="0"/>
          <w:marTop w:val="0"/>
          <w:marBottom w:val="0"/>
          <w:divBdr>
            <w:top w:val="none" w:sz="0" w:space="0" w:color="auto"/>
            <w:left w:val="none" w:sz="0" w:space="0" w:color="auto"/>
            <w:bottom w:val="none" w:sz="0" w:space="0" w:color="auto"/>
            <w:right w:val="none" w:sz="0" w:space="0" w:color="auto"/>
          </w:divBdr>
        </w:div>
        <w:div w:id="252053658">
          <w:marLeft w:val="0"/>
          <w:marRight w:val="0"/>
          <w:marTop w:val="0"/>
          <w:marBottom w:val="0"/>
          <w:divBdr>
            <w:top w:val="none" w:sz="0" w:space="0" w:color="auto"/>
            <w:left w:val="none" w:sz="0" w:space="0" w:color="auto"/>
            <w:bottom w:val="none" w:sz="0" w:space="0" w:color="auto"/>
            <w:right w:val="none" w:sz="0" w:space="0" w:color="auto"/>
          </w:divBdr>
        </w:div>
        <w:div w:id="2122844995">
          <w:marLeft w:val="0"/>
          <w:marRight w:val="0"/>
          <w:marTop w:val="0"/>
          <w:marBottom w:val="0"/>
          <w:divBdr>
            <w:top w:val="none" w:sz="0" w:space="0" w:color="auto"/>
            <w:left w:val="none" w:sz="0" w:space="0" w:color="auto"/>
            <w:bottom w:val="none" w:sz="0" w:space="0" w:color="auto"/>
            <w:right w:val="none" w:sz="0" w:space="0" w:color="auto"/>
          </w:divBdr>
        </w:div>
        <w:div w:id="44909318">
          <w:marLeft w:val="0"/>
          <w:marRight w:val="0"/>
          <w:marTop w:val="0"/>
          <w:marBottom w:val="0"/>
          <w:divBdr>
            <w:top w:val="none" w:sz="0" w:space="0" w:color="auto"/>
            <w:left w:val="none" w:sz="0" w:space="0" w:color="auto"/>
            <w:bottom w:val="none" w:sz="0" w:space="0" w:color="auto"/>
            <w:right w:val="none" w:sz="0" w:space="0" w:color="auto"/>
          </w:divBdr>
        </w:div>
        <w:div w:id="1562447084">
          <w:marLeft w:val="0"/>
          <w:marRight w:val="0"/>
          <w:marTop w:val="0"/>
          <w:marBottom w:val="0"/>
          <w:divBdr>
            <w:top w:val="none" w:sz="0" w:space="0" w:color="auto"/>
            <w:left w:val="none" w:sz="0" w:space="0" w:color="auto"/>
            <w:bottom w:val="none" w:sz="0" w:space="0" w:color="auto"/>
            <w:right w:val="none" w:sz="0" w:space="0" w:color="auto"/>
          </w:divBdr>
        </w:div>
        <w:div w:id="1477406350">
          <w:marLeft w:val="0"/>
          <w:marRight w:val="0"/>
          <w:marTop w:val="0"/>
          <w:marBottom w:val="0"/>
          <w:divBdr>
            <w:top w:val="none" w:sz="0" w:space="0" w:color="auto"/>
            <w:left w:val="none" w:sz="0" w:space="0" w:color="auto"/>
            <w:bottom w:val="none" w:sz="0" w:space="0" w:color="auto"/>
            <w:right w:val="none" w:sz="0" w:space="0" w:color="auto"/>
          </w:divBdr>
        </w:div>
        <w:div w:id="1545949215">
          <w:marLeft w:val="0"/>
          <w:marRight w:val="0"/>
          <w:marTop w:val="0"/>
          <w:marBottom w:val="0"/>
          <w:divBdr>
            <w:top w:val="none" w:sz="0" w:space="0" w:color="auto"/>
            <w:left w:val="none" w:sz="0" w:space="0" w:color="auto"/>
            <w:bottom w:val="none" w:sz="0" w:space="0" w:color="auto"/>
            <w:right w:val="none" w:sz="0" w:space="0" w:color="auto"/>
          </w:divBdr>
        </w:div>
        <w:div w:id="1200241089">
          <w:marLeft w:val="0"/>
          <w:marRight w:val="0"/>
          <w:marTop w:val="0"/>
          <w:marBottom w:val="0"/>
          <w:divBdr>
            <w:top w:val="none" w:sz="0" w:space="0" w:color="auto"/>
            <w:left w:val="none" w:sz="0" w:space="0" w:color="auto"/>
            <w:bottom w:val="none" w:sz="0" w:space="0" w:color="auto"/>
            <w:right w:val="none" w:sz="0" w:space="0" w:color="auto"/>
          </w:divBdr>
        </w:div>
        <w:div w:id="1095007316">
          <w:marLeft w:val="0"/>
          <w:marRight w:val="0"/>
          <w:marTop w:val="0"/>
          <w:marBottom w:val="0"/>
          <w:divBdr>
            <w:top w:val="none" w:sz="0" w:space="0" w:color="auto"/>
            <w:left w:val="none" w:sz="0" w:space="0" w:color="auto"/>
            <w:bottom w:val="none" w:sz="0" w:space="0" w:color="auto"/>
            <w:right w:val="none" w:sz="0" w:space="0" w:color="auto"/>
          </w:divBdr>
        </w:div>
        <w:div w:id="1648900272">
          <w:marLeft w:val="0"/>
          <w:marRight w:val="0"/>
          <w:marTop w:val="0"/>
          <w:marBottom w:val="0"/>
          <w:divBdr>
            <w:top w:val="none" w:sz="0" w:space="0" w:color="auto"/>
            <w:left w:val="none" w:sz="0" w:space="0" w:color="auto"/>
            <w:bottom w:val="none" w:sz="0" w:space="0" w:color="auto"/>
            <w:right w:val="none" w:sz="0" w:space="0" w:color="auto"/>
          </w:divBdr>
        </w:div>
        <w:div w:id="1084885794">
          <w:marLeft w:val="0"/>
          <w:marRight w:val="0"/>
          <w:marTop w:val="0"/>
          <w:marBottom w:val="0"/>
          <w:divBdr>
            <w:top w:val="none" w:sz="0" w:space="0" w:color="auto"/>
            <w:left w:val="none" w:sz="0" w:space="0" w:color="auto"/>
            <w:bottom w:val="none" w:sz="0" w:space="0" w:color="auto"/>
            <w:right w:val="none" w:sz="0" w:space="0" w:color="auto"/>
          </w:divBdr>
        </w:div>
        <w:div w:id="483818480">
          <w:marLeft w:val="0"/>
          <w:marRight w:val="0"/>
          <w:marTop w:val="0"/>
          <w:marBottom w:val="0"/>
          <w:divBdr>
            <w:top w:val="none" w:sz="0" w:space="0" w:color="auto"/>
            <w:left w:val="none" w:sz="0" w:space="0" w:color="auto"/>
            <w:bottom w:val="none" w:sz="0" w:space="0" w:color="auto"/>
            <w:right w:val="none" w:sz="0" w:space="0" w:color="auto"/>
          </w:divBdr>
        </w:div>
        <w:div w:id="1497842649">
          <w:marLeft w:val="0"/>
          <w:marRight w:val="0"/>
          <w:marTop w:val="0"/>
          <w:marBottom w:val="0"/>
          <w:divBdr>
            <w:top w:val="none" w:sz="0" w:space="0" w:color="auto"/>
            <w:left w:val="none" w:sz="0" w:space="0" w:color="auto"/>
            <w:bottom w:val="none" w:sz="0" w:space="0" w:color="auto"/>
            <w:right w:val="none" w:sz="0" w:space="0" w:color="auto"/>
          </w:divBdr>
        </w:div>
        <w:div w:id="1868057569">
          <w:marLeft w:val="0"/>
          <w:marRight w:val="0"/>
          <w:marTop w:val="0"/>
          <w:marBottom w:val="0"/>
          <w:divBdr>
            <w:top w:val="none" w:sz="0" w:space="0" w:color="auto"/>
            <w:left w:val="none" w:sz="0" w:space="0" w:color="auto"/>
            <w:bottom w:val="none" w:sz="0" w:space="0" w:color="auto"/>
            <w:right w:val="none" w:sz="0" w:space="0" w:color="auto"/>
          </w:divBdr>
        </w:div>
        <w:div w:id="520821342">
          <w:marLeft w:val="0"/>
          <w:marRight w:val="0"/>
          <w:marTop w:val="0"/>
          <w:marBottom w:val="0"/>
          <w:divBdr>
            <w:top w:val="none" w:sz="0" w:space="0" w:color="auto"/>
            <w:left w:val="none" w:sz="0" w:space="0" w:color="auto"/>
            <w:bottom w:val="none" w:sz="0" w:space="0" w:color="auto"/>
            <w:right w:val="none" w:sz="0" w:space="0" w:color="auto"/>
          </w:divBdr>
        </w:div>
        <w:div w:id="305166751">
          <w:marLeft w:val="0"/>
          <w:marRight w:val="0"/>
          <w:marTop w:val="0"/>
          <w:marBottom w:val="0"/>
          <w:divBdr>
            <w:top w:val="none" w:sz="0" w:space="0" w:color="auto"/>
            <w:left w:val="none" w:sz="0" w:space="0" w:color="auto"/>
            <w:bottom w:val="none" w:sz="0" w:space="0" w:color="auto"/>
            <w:right w:val="none" w:sz="0" w:space="0" w:color="auto"/>
          </w:divBdr>
        </w:div>
        <w:div w:id="4479335">
          <w:marLeft w:val="0"/>
          <w:marRight w:val="0"/>
          <w:marTop w:val="0"/>
          <w:marBottom w:val="0"/>
          <w:divBdr>
            <w:top w:val="none" w:sz="0" w:space="0" w:color="auto"/>
            <w:left w:val="none" w:sz="0" w:space="0" w:color="auto"/>
            <w:bottom w:val="none" w:sz="0" w:space="0" w:color="auto"/>
            <w:right w:val="none" w:sz="0" w:space="0" w:color="auto"/>
          </w:divBdr>
        </w:div>
        <w:div w:id="1987273448">
          <w:marLeft w:val="0"/>
          <w:marRight w:val="0"/>
          <w:marTop w:val="0"/>
          <w:marBottom w:val="0"/>
          <w:divBdr>
            <w:top w:val="none" w:sz="0" w:space="0" w:color="auto"/>
            <w:left w:val="none" w:sz="0" w:space="0" w:color="auto"/>
            <w:bottom w:val="none" w:sz="0" w:space="0" w:color="auto"/>
            <w:right w:val="none" w:sz="0" w:space="0" w:color="auto"/>
          </w:divBdr>
        </w:div>
        <w:div w:id="171578612">
          <w:marLeft w:val="0"/>
          <w:marRight w:val="0"/>
          <w:marTop w:val="0"/>
          <w:marBottom w:val="0"/>
          <w:divBdr>
            <w:top w:val="none" w:sz="0" w:space="0" w:color="auto"/>
            <w:left w:val="none" w:sz="0" w:space="0" w:color="auto"/>
            <w:bottom w:val="none" w:sz="0" w:space="0" w:color="auto"/>
            <w:right w:val="none" w:sz="0" w:space="0" w:color="auto"/>
          </w:divBdr>
        </w:div>
        <w:div w:id="1510875955">
          <w:marLeft w:val="0"/>
          <w:marRight w:val="0"/>
          <w:marTop w:val="0"/>
          <w:marBottom w:val="0"/>
          <w:divBdr>
            <w:top w:val="none" w:sz="0" w:space="0" w:color="auto"/>
            <w:left w:val="none" w:sz="0" w:space="0" w:color="auto"/>
            <w:bottom w:val="none" w:sz="0" w:space="0" w:color="auto"/>
            <w:right w:val="none" w:sz="0" w:space="0" w:color="auto"/>
          </w:divBdr>
        </w:div>
        <w:div w:id="1605645447">
          <w:marLeft w:val="0"/>
          <w:marRight w:val="0"/>
          <w:marTop w:val="0"/>
          <w:marBottom w:val="0"/>
          <w:divBdr>
            <w:top w:val="none" w:sz="0" w:space="0" w:color="auto"/>
            <w:left w:val="none" w:sz="0" w:space="0" w:color="auto"/>
            <w:bottom w:val="none" w:sz="0" w:space="0" w:color="auto"/>
            <w:right w:val="none" w:sz="0" w:space="0" w:color="auto"/>
          </w:divBdr>
        </w:div>
        <w:div w:id="802697343">
          <w:marLeft w:val="0"/>
          <w:marRight w:val="0"/>
          <w:marTop w:val="0"/>
          <w:marBottom w:val="0"/>
          <w:divBdr>
            <w:top w:val="none" w:sz="0" w:space="0" w:color="auto"/>
            <w:left w:val="none" w:sz="0" w:space="0" w:color="auto"/>
            <w:bottom w:val="none" w:sz="0" w:space="0" w:color="auto"/>
            <w:right w:val="none" w:sz="0" w:space="0" w:color="auto"/>
          </w:divBdr>
        </w:div>
        <w:div w:id="164832452">
          <w:marLeft w:val="0"/>
          <w:marRight w:val="0"/>
          <w:marTop w:val="0"/>
          <w:marBottom w:val="0"/>
          <w:divBdr>
            <w:top w:val="none" w:sz="0" w:space="0" w:color="auto"/>
            <w:left w:val="none" w:sz="0" w:space="0" w:color="auto"/>
            <w:bottom w:val="none" w:sz="0" w:space="0" w:color="auto"/>
            <w:right w:val="none" w:sz="0" w:space="0" w:color="auto"/>
          </w:divBdr>
        </w:div>
        <w:div w:id="2136363921">
          <w:marLeft w:val="0"/>
          <w:marRight w:val="0"/>
          <w:marTop w:val="0"/>
          <w:marBottom w:val="0"/>
          <w:divBdr>
            <w:top w:val="none" w:sz="0" w:space="0" w:color="auto"/>
            <w:left w:val="none" w:sz="0" w:space="0" w:color="auto"/>
            <w:bottom w:val="none" w:sz="0" w:space="0" w:color="auto"/>
            <w:right w:val="none" w:sz="0" w:space="0" w:color="auto"/>
          </w:divBdr>
        </w:div>
        <w:div w:id="59062335">
          <w:marLeft w:val="0"/>
          <w:marRight w:val="0"/>
          <w:marTop w:val="0"/>
          <w:marBottom w:val="0"/>
          <w:divBdr>
            <w:top w:val="none" w:sz="0" w:space="0" w:color="auto"/>
            <w:left w:val="none" w:sz="0" w:space="0" w:color="auto"/>
            <w:bottom w:val="none" w:sz="0" w:space="0" w:color="auto"/>
            <w:right w:val="none" w:sz="0" w:space="0" w:color="auto"/>
          </w:divBdr>
        </w:div>
        <w:div w:id="1697655412">
          <w:marLeft w:val="0"/>
          <w:marRight w:val="0"/>
          <w:marTop w:val="0"/>
          <w:marBottom w:val="0"/>
          <w:divBdr>
            <w:top w:val="none" w:sz="0" w:space="0" w:color="auto"/>
            <w:left w:val="none" w:sz="0" w:space="0" w:color="auto"/>
            <w:bottom w:val="none" w:sz="0" w:space="0" w:color="auto"/>
            <w:right w:val="none" w:sz="0" w:space="0" w:color="auto"/>
          </w:divBdr>
        </w:div>
        <w:div w:id="1073893086">
          <w:marLeft w:val="0"/>
          <w:marRight w:val="0"/>
          <w:marTop w:val="0"/>
          <w:marBottom w:val="0"/>
          <w:divBdr>
            <w:top w:val="none" w:sz="0" w:space="0" w:color="auto"/>
            <w:left w:val="none" w:sz="0" w:space="0" w:color="auto"/>
            <w:bottom w:val="none" w:sz="0" w:space="0" w:color="auto"/>
            <w:right w:val="none" w:sz="0" w:space="0" w:color="auto"/>
          </w:divBdr>
        </w:div>
        <w:div w:id="657147225">
          <w:marLeft w:val="0"/>
          <w:marRight w:val="0"/>
          <w:marTop w:val="0"/>
          <w:marBottom w:val="0"/>
          <w:divBdr>
            <w:top w:val="none" w:sz="0" w:space="0" w:color="auto"/>
            <w:left w:val="none" w:sz="0" w:space="0" w:color="auto"/>
            <w:bottom w:val="none" w:sz="0" w:space="0" w:color="auto"/>
            <w:right w:val="none" w:sz="0" w:space="0" w:color="auto"/>
          </w:divBdr>
        </w:div>
        <w:div w:id="7878605">
          <w:marLeft w:val="0"/>
          <w:marRight w:val="0"/>
          <w:marTop w:val="0"/>
          <w:marBottom w:val="0"/>
          <w:divBdr>
            <w:top w:val="none" w:sz="0" w:space="0" w:color="auto"/>
            <w:left w:val="none" w:sz="0" w:space="0" w:color="auto"/>
            <w:bottom w:val="none" w:sz="0" w:space="0" w:color="auto"/>
            <w:right w:val="none" w:sz="0" w:space="0" w:color="auto"/>
          </w:divBdr>
        </w:div>
        <w:div w:id="1134909284">
          <w:marLeft w:val="0"/>
          <w:marRight w:val="0"/>
          <w:marTop w:val="0"/>
          <w:marBottom w:val="0"/>
          <w:divBdr>
            <w:top w:val="none" w:sz="0" w:space="0" w:color="auto"/>
            <w:left w:val="none" w:sz="0" w:space="0" w:color="auto"/>
            <w:bottom w:val="none" w:sz="0" w:space="0" w:color="auto"/>
            <w:right w:val="none" w:sz="0" w:space="0" w:color="auto"/>
          </w:divBdr>
        </w:div>
        <w:div w:id="954020712">
          <w:marLeft w:val="0"/>
          <w:marRight w:val="0"/>
          <w:marTop w:val="0"/>
          <w:marBottom w:val="0"/>
          <w:divBdr>
            <w:top w:val="none" w:sz="0" w:space="0" w:color="auto"/>
            <w:left w:val="none" w:sz="0" w:space="0" w:color="auto"/>
            <w:bottom w:val="none" w:sz="0" w:space="0" w:color="auto"/>
            <w:right w:val="none" w:sz="0" w:space="0" w:color="auto"/>
          </w:divBdr>
        </w:div>
        <w:div w:id="568462579">
          <w:marLeft w:val="0"/>
          <w:marRight w:val="0"/>
          <w:marTop w:val="0"/>
          <w:marBottom w:val="0"/>
          <w:divBdr>
            <w:top w:val="none" w:sz="0" w:space="0" w:color="auto"/>
            <w:left w:val="none" w:sz="0" w:space="0" w:color="auto"/>
            <w:bottom w:val="none" w:sz="0" w:space="0" w:color="auto"/>
            <w:right w:val="none" w:sz="0" w:space="0" w:color="auto"/>
          </w:divBdr>
        </w:div>
        <w:div w:id="1121222287">
          <w:marLeft w:val="0"/>
          <w:marRight w:val="0"/>
          <w:marTop w:val="0"/>
          <w:marBottom w:val="0"/>
          <w:divBdr>
            <w:top w:val="none" w:sz="0" w:space="0" w:color="auto"/>
            <w:left w:val="none" w:sz="0" w:space="0" w:color="auto"/>
            <w:bottom w:val="none" w:sz="0" w:space="0" w:color="auto"/>
            <w:right w:val="none" w:sz="0" w:space="0" w:color="auto"/>
          </w:divBdr>
        </w:div>
        <w:div w:id="1674451277">
          <w:marLeft w:val="0"/>
          <w:marRight w:val="0"/>
          <w:marTop w:val="0"/>
          <w:marBottom w:val="0"/>
          <w:divBdr>
            <w:top w:val="none" w:sz="0" w:space="0" w:color="auto"/>
            <w:left w:val="none" w:sz="0" w:space="0" w:color="auto"/>
            <w:bottom w:val="none" w:sz="0" w:space="0" w:color="auto"/>
            <w:right w:val="none" w:sz="0" w:space="0" w:color="auto"/>
          </w:divBdr>
        </w:div>
        <w:div w:id="905144524">
          <w:marLeft w:val="0"/>
          <w:marRight w:val="0"/>
          <w:marTop w:val="0"/>
          <w:marBottom w:val="0"/>
          <w:divBdr>
            <w:top w:val="none" w:sz="0" w:space="0" w:color="auto"/>
            <w:left w:val="none" w:sz="0" w:space="0" w:color="auto"/>
            <w:bottom w:val="none" w:sz="0" w:space="0" w:color="auto"/>
            <w:right w:val="none" w:sz="0" w:space="0" w:color="auto"/>
          </w:divBdr>
        </w:div>
        <w:div w:id="2062242136">
          <w:marLeft w:val="0"/>
          <w:marRight w:val="0"/>
          <w:marTop w:val="0"/>
          <w:marBottom w:val="0"/>
          <w:divBdr>
            <w:top w:val="none" w:sz="0" w:space="0" w:color="auto"/>
            <w:left w:val="none" w:sz="0" w:space="0" w:color="auto"/>
            <w:bottom w:val="none" w:sz="0" w:space="0" w:color="auto"/>
            <w:right w:val="none" w:sz="0" w:space="0" w:color="auto"/>
          </w:divBdr>
        </w:div>
        <w:div w:id="1003975146">
          <w:marLeft w:val="0"/>
          <w:marRight w:val="0"/>
          <w:marTop w:val="0"/>
          <w:marBottom w:val="0"/>
          <w:divBdr>
            <w:top w:val="none" w:sz="0" w:space="0" w:color="auto"/>
            <w:left w:val="none" w:sz="0" w:space="0" w:color="auto"/>
            <w:bottom w:val="none" w:sz="0" w:space="0" w:color="auto"/>
            <w:right w:val="none" w:sz="0" w:space="0" w:color="auto"/>
          </w:divBdr>
        </w:div>
        <w:div w:id="1401754692">
          <w:marLeft w:val="0"/>
          <w:marRight w:val="0"/>
          <w:marTop w:val="0"/>
          <w:marBottom w:val="0"/>
          <w:divBdr>
            <w:top w:val="none" w:sz="0" w:space="0" w:color="auto"/>
            <w:left w:val="none" w:sz="0" w:space="0" w:color="auto"/>
            <w:bottom w:val="none" w:sz="0" w:space="0" w:color="auto"/>
            <w:right w:val="none" w:sz="0" w:space="0" w:color="auto"/>
          </w:divBdr>
        </w:div>
        <w:div w:id="76900907">
          <w:marLeft w:val="0"/>
          <w:marRight w:val="0"/>
          <w:marTop w:val="0"/>
          <w:marBottom w:val="0"/>
          <w:divBdr>
            <w:top w:val="none" w:sz="0" w:space="0" w:color="auto"/>
            <w:left w:val="none" w:sz="0" w:space="0" w:color="auto"/>
            <w:bottom w:val="none" w:sz="0" w:space="0" w:color="auto"/>
            <w:right w:val="none" w:sz="0" w:space="0" w:color="auto"/>
          </w:divBdr>
        </w:div>
        <w:div w:id="741680191">
          <w:marLeft w:val="0"/>
          <w:marRight w:val="0"/>
          <w:marTop w:val="0"/>
          <w:marBottom w:val="0"/>
          <w:divBdr>
            <w:top w:val="none" w:sz="0" w:space="0" w:color="auto"/>
            <w:left w:val="none" w:sz="0" w:space="0" w:color="auto"/>
            <w:bottom w:val="none" w:sz="0" w:space="0" w:color="auto"/>
            <w:right w:val="none" w:sz="0" w:space="0" w:color="auto"/>
          </w:divBdr>
        </w:div>
        <w:div w:id="523056004">
          <w:marLeft w:val="0"/>
          <w:marRight w:val="0"/>
          <w:marTop w:val="0"/>
          <w:marBottom w:val="0"/>
          <w:divBdr>
            <w:top w:val="none" w:sz="0" w:space="0" w:color="auto"/>
            <w:left w:val="none" w:sz="0" w:space="0" w:color="auto"/>
            <w:bottom w:val="none" w:sz="0" w:space="0" w:color="auto"/>
            <w:right w:val="none" w:sz="0" w:space="0" w:color="auto"/>
          </w:divBdr>
        </w:div>
        <w:div w:id="1628392019">
          <w:marLeft w:val="0"/>
          <w:marRight w:val="0"/>
          <w:marTop w:val="0"/>
          <w:marBottom w:val="0"/>
          <w:divBdr>
            <w:top w:val="none" w:sz="0" w:space="0" w:color="auto"/>
            <w:left w:val="none" w:sz="0" w:space="0" w:color="auto"/>
            <w:bottom w:val="none" w:sz="0" w:space="0" w:color="auto"/>
            <w:right w:val="none" w:sz="0" w:space="0" w:color="auto"/>
          </w:divBdr>
        </w:div>
        <w:div w:id="1980382554">
          <w:marLeft w:val="0"/>
          <w:marRight w:val="0"/>
          <w:marTop w:val="0"/>
          <w:marBottom w:val="0"/>
          <w:divBdr>
            <w:top w:val="none" w:sz="0" w:space="0" w:color="auto"/>
            <w:left w:val="none" w:sz="0" w:space="0" w:color="auto"/>
            <w:bottom w:val="none" w:sz="0" w:space="0" w:color="auto"/>
            <w:right w:val="none" w:sz="0" w:space="0" w:color="auto"/>
          </w:divBdr>
        </w:div>
        <w:div w:id="1373917782">
          <w:marLeft w:val="0"/>
          <w:marRight w:val="0"/>
          <w:marTop w:val="0"/>
          <w:marBottom w:val="0"/>
          <w:divBdr>
            <w:top w:val="none" w:sz="0" w:space="0" w:color="auto"/>
            <w:left w:val="none" w:sz="0" w:space="0" w:color="auto"/>
            <w:bottom w:val="none" w:sz="0" w:space="0" w:color="auto"/>
            <w:right w:val="none" w:sz="0" w:space="0" w:color="auto"/>
          </w:divBdr>
        </w:div>
        <w:div w:id="1569420696">
          <w:marLeft w:val="0"/>
          <w:marRight w:val="0"/>
          <w:marTop w:val="0"/>
          <w:marBottom w:val="0"/>
          <w:divBdr>
            <w:top w:val="none" w:sz="0" w:space="0" w:color="auto"/>
            <w:left w:val="none" w:sz="0" w:space="0" w:color="auto"/>
            <w:bottom w:val="none" w:sz="0" w:space="0" w:color="auto"/>
            <w:right w:val="none" w:sz="0" w:space="0" w:color="auto"/>
          </w:divBdr>
        </w:div>
        <w:div w:id="1634403838">
          <w:marLeft w:val="0"/>
          <w:marRight w:val="0"/>
          <w:marTop w:val="0"/>
          <w:marBottom w:val="0"/>
          <w:divBdr>
            <w:top w:val="none" w:sz="0" w:space="0" w:color="auto"/>
            <w:left w:val="none" w:sz="0" w:space="0" w:color="auto"/>
            <w:bottom w:val="none" w:sz="0" w:space="0" w:color="auto"/>
            <w:right w:val="none" w:sz="0" w:space="0" w:color="auto"/>
          </w:divBdr>
        </w:div>
        <w:div w:id="1646348156">
          <w:marLeft w:val="0"/>
          <w:marRight w:val="0"/>
          <w:marTop w:val="0"/>
          <w:marBottom w:val="0"/>
          <w:divBdr>
            <w:top w:val="none" w:sz="0" w:space="0" w:color="auto"/>
            <w:left w:val="none" w:sz="0" w:space="0" w:color="auto"/>
            <w:bottom w:val="none" w:sz="0" w:space="0" w:color="auto"/>
            <w:right w:val="none" w:sz="0" w:space="0" w:color="auto"/>
          </w:divBdr>
        </w:div>
        <w:div w:id="2099062185">
          <w:marLeft w:val="0"/>
          <w:marRight w:val="0"/>
          <w:marTop w:val="0"/>
          <w:marBottom w:val="0"/>
          <w:divBdr>
            <w:top w:val="none" w:sz="0" w:space="0" w:color="auto"/>
            <w:left w:val="none" w:sz="0" w:space="0" w:color="auto"/>
            <w:bottom w:val="none" w:sz="0" w:space="0" w:color="auto"/>
            <w:right w:val="none" w:sz="0" w:space="0" w:color="auto"/>
          </w:divBdr>
        </w:div>
        <w:div w:id="1496142559">
          <w:marLeft w:val="0"/>
          <w:marRight w:val="0"/>
          <w:marTop w:val="0"/>
          <w:marBottom w:val="0"/>
          <w:divBdr>
            <w:top w:val="none" w:sz="0" w:space="0" w:color="auto"/>
            <w:left w:val="none" w:sz="0" w:space="0" w:color="auto"/>
            <w:bottom w:val="none" w:sz="0" w:space="0" w:color="auto"/>
            <w:right w:val="none" w:sz="0" w:space="0" w:color="auto"/>
          </w:divBdr>
        </w:div>
        <w:div w:id="1307398239">
          <w:marLeft w:val="0"/>
          <w:marRight w:val="0"/>
          <w:marTop w:val="0"/>
          <w:marBottom w:val="0"/>
          <w:divBdr>
            <w:top w:val="none" w:sz="0" w:space="0" w:color="auto"/>
            <w:left w:val="none" w:sz="0" w:space="0" w:color="auto"/>
            <w:bottom w:val="none" w:sz="0" w:space="0" w:color="auto"/>
            <w:right w:val="none" w:sz="0" w:space="0" w:color="auto"/>
          </w:divBdr>
        </w:div>
        <w:div w:id="1546211920">
          <w:marLeft w:val="0"/>
          <w:marRight w:val="0"/>
          <w:marTop w:val="0"/>
          <w:marBottom w:val="0"/>
          <w:divBdr>
            <w:top w:val="none" w:sz="0" w:space="0" w:color="auto"/>
            <w:left w:val="none" w:sz="0" w:space="0" w:color="auto"/>
            <w:bottom w:val="none" w:sz="0" w:space="0" w:color="auto"/>
            <w:right w:val="none" w:sz="0" w:space="0" w:color="auto"/>
          </w:divBdr>
        </w:div>
        <w:div w:id="1850021561">
          <w:marLeft w:val="0"/>
          <w:marRight w:val="0"/>
          <w:marTop w:val="0"/>
          <w:marBottom w:val="0"/>
          <w:divBdr>
            <w:top w:val="none" w:sz="0" w:space="0" w:color="auto"/>
            <w:left w:val="none" w:sz="0" w:space="0" w:color="auto"/>
            <w:bottom w:val="none" w:sz="0" w:space="0" w:color="auto"/>
            <w:right w:val="none" w:sz="0" w:space="0" w:color="auto"/>
          </w:divBdr>
        </w:div>
        <w:div w:id="877202390">
          <w:marLeft w:val="0"/>
          <w:marRight w:val="0"/>
          <w:marTop w:val="0"/>
          <w:marBottom w:val="0"/>
          <w:divBdr>
            <w:top w:val="none" w:sz="0" w:space="0" w:color="auto"/>
            <w:left w:val="none" w:sz="0" w:space="0" w:color="auto"/>
            <w:bottom w:val="none" w:sz="0" w:space="0" w:color="auto"/>
            <w:right w:val="none" w:sz="0" w:space="0" w:color="auto"/>
          </w:divBdr>
        </w:div>
        <w:div w:id="350686933">
          <w:marLeft w:val="0"/>
          <w:marRight w:val="0"/>
          <w:marTop w:val="0"/>
          <w:marBottom w:val="0"/>
          <w:divBdr>
            <w:top w:val="none" w:sz="0" w:space="0" w:color="auto"/>
            <w:left w:val="none" w:sz="0" w:space="0" w:color="auto"/>
            <w:bottom w:val="none" w:sz="0" w:space="0" w:color="auto"/>
            <w:right w:val="none" w:sz="0" w:space="0" w:color="auto"/>
          </w:divBdr>
        </w:div>
        <w:div w:id="85541031">
          <w:marLeft w:val="0"/>
          <w:marRight w:val="0"/>
          <w:marTop w:val="0"/>
          <w:marBottom w:val="0"/>
          <w:divBdr>
            <w:top w:val="none" w:sz="0" w:space="0" w:color="auto"/>
            <w:left w:val="none" w:sz="0" w:space="0" w:color="auto"/>
            <w:bottom w:val="none" w:sz="0" w:space="0" w:color="auto"/>
            <w:right w:val="none" w:sz="0" w:space="0" w:color="auto"/>
          </w:divBdr>
        </w:div>
        <w:div w:id="1648826938">
          <w:marLeft w:val="0"/>
          <w:marRight w:val="0"/>
          <w:marTop w:val="0"/>
          <w:marBottom w:val="0"/>
          <w:divBdr>
            <w:top w:val="none" w:sz="0" w:space="0" w:color="auto"/>
            <w:left w:val="none" w:sz="0" w:space="0" w:color="auto"/>
            <w:bottom w:val="none" w:sz="0" w:space="0" w:color="auto"/>
            <w:right w:val="none" w:sz="0" w:space="0" w:color="auto"/>
          </w:divBdr>
        </w:div>
        <w:div w:id="787315211">
          <w:marLeft w:val="0"/>
          <w:marRight w:val="0"/>
          <w:marTop w:val="0"/>
          <w:marBottom w:val="0"/>
          <w:divBdr>
            <w:top w:val="none" w:sz="0" w:space="0" w:color="auto"/>
            <w:left w:val="none" w:sz="0" w:space="0" w:color="auto"/>
            <w:bottom w:val="none" w:sz="0" w:space="0" w:color="auto"/>
            <w:right w:val="none" w:sz="0" w:space="0" w:color="auto"/>
          </w:divBdr>
        </w:div>
        <w:div w:id="689376778">
          <w:marLeft w:val="0"/>
          <w:marRight w:val="0"/>
          <w:marTop w:val="0"/>
          <w:marBottom w:val="0"/>
          <w:divBdr>
            <w:top w:val="none" w:sz="0" w:space="0" w:color="auto"/>
            <w:left w:val="none" w:sz="0" w:space="0" w:color="auto"/>
            <w:bottom w:val="none" w:sz="0" w:space="0" w:color="auto"/>
            <w:right w:val="none" w:sz="0" w:space="0" w:color="auto"/>
          </w:divBdr>
        </w:div>
        <w:div w:id="1872843510">
          <w:marLeft w:val="0"/>
          <w:marRight w:val="0"/>
          <w:marTop w:val="0"/>
          <w:marBottom w:val="0"/>
          <w:divBdr>
            <w:top w:val="none" w:sz="0" w:space="0" w:color="auto"/>
            <w:left w:val="none" w:sz="0" w:space="0" w:color="auto"/>
            <w:bottom w:val="none" w:sz="0" w:space="0" w:color="auto"/>
            <w:right w:val="none" w:sz="0" w:space="0" w:color="auto"/>
          </w:divBdr>
        </w:div>
        <w:div w:id="1453742035">
          <w:marLeft w:val="0"/>
          <w:marRight w:val="0"/>
          <w:marTop w:val="0"/>
          <w:marBottom w:val="0"/>
          <w:divBdr>
            <w:top w:val="none" w:sz="0" w:space="0" w:color="auto"/>
            <w:left w:val="none" w:sz="0" w:space="0" w:color="auto"/>
            <w:bottom w:val="none" w:sz="0" w:space="0" w:color="auto"/>
            <w:right w:val="none" w:sz="0" w:space="0" w:color="auto"/>
          </w:divBdr>
        </w:div>
        <w:div w:id="1300264027">
          <w:marLeft w:val="0"/>
          <w:marRight w:val="0"/>
          <w:marTop w:val="0"/>
          <w:marBottom w:val="0"/>
          <w:divBdr>
            <w:top w:val="none" w:sz="0" w:space="0" w:color="auto"/>
            <w:left w:val="none" w:sz="0" w:space="0" w:color="auto"/>
            <w:bottom w:val="none" w:sz="0" w:space="0" w:color="auto"/>
            <w:right w:val="none" w:sz="0" w:space="0" w:color="auto"/>
          </w:divBdr>
        </w:div>
        <w:div w:id="1875998428">
          <w:marLeft w:val="0"/>
          <w:marRight w:val="0"/>
          <w:marTop w:val="0"/>
          <w:marBottom w:val="0"/>
          <w:divBdr>
            <w:top w:val="none" w:sz="0" w:space="0" w:color="auto"/>
            <w:left w:val="none" w:sz="0" w:space="0" w:color="auto"/>
            <w:bottom w:val="none" w:sz="0" w:space="0" w:color="auto"/>
            <w:right w:val="none" w:sz="0" w:space="0" w:color="auto"/>
          </w:divBdr>
        </w:div>
        <w:div w:id="150952013">
          <w:marLeft w:val="0"/>
          <w:marRight w:val="0"/>
          <w:marTop w:val="0"/>
          <w:marBottom w:val="0"/>
          <w:divBdr>
            <w:top w:val="none" w:sz="0" w:space="0" w:color="auto"/>
            <w:left w:val="none" w:sz="0" w:space="0" w:color="auto"/>
            <w:bottom w:val="none" w:sz="0" w:space="0" w:color="auto"/>
            <w:right w:val="none" w:sz="0" w:space="0" w:color="auto"/>
          </w:divBdr>
        </w:div>
        <w:div w:id="721561524">
          <w:marLeft w:val="0"/>
          <w:marRight w:val="0"/>
          <w:marTop w:val="0"/>
          <w:marBottom w:val="0"/>
          <w:divBdr>
            <w:top w:val="none" w:sz="0" w:space="0" w:color="auto"/>
            <w:left w:val="none" w:sz="0" w:space="0" w:color="auto"/>
            <w:bottom w:val="none" w:sz="0" w:space="0" w:color="auto"/>
            <w:right w:val="none" w:sz="0" w:space="0" w:color="auto"/>
          </w:divBdr>
        </w:div>
        <w:div w:id="1188716291">
          <w:marLeft w:val="0"/>
          <w:marRight w:val="0"/>
          <w:marTop w:val="0"/>
          <w:marBottom w:val="0"/>
          <w:divBdr>
            <w:top w:val="none" w:sz="0" w:space="0" w:color="auto"/>
            <w:left w:val="none" w:sz="0" w:space="0" w:color="auto"/>
            <w:bottom w:val="none" w:sz="0" w:space="0" w:color="auto"/>
            <w:right w:val="none" w:sz="0" w:space="0" w:color="auto"/>
          </w:divBdr>
        </w:div>
        <w:div w:id="513229060">
          <w:marLeft w:val="0"/>
          <w:marRight w:val="0"/>
          <w:marTop w:val="0"/>
          <w:marBottom w:val="0"/>
          <w:divBdr>
            <w:top w:val="none" w:sz="0" w:space="0" w:color="auto"/>
            <w:left w:val="none" w:sz="0" w:space="0" w:color="auto"/>
            <w:bottom w:val="none" w:sz="0" w:space="0" w:color="auto"/>
            <w:right w:val="none" w:sz="0" w:space="0" w:color="auto"/>
          </w:divBdr>
        </w:div>
        <w:div w:id="1519465219">
          <w:marLeft w:val="0"/>
          <w:marRight w:val="0"/>
          <w:marTop w:val="0"/>
          <w:marBottom w:val="0"/>
          <w:divBdr>
            <w:top w:val="none" w:sz="0" w:space="0" w:color="auto"/>
            <w:left w:val="none" w:sz="0" w:space="0" w:color="auto"/>
            <w:bottom w:val="none" w:sz="0" w:space="0" w:color="auto"/>
            <w:right w:val="none" w:sz="0" w:space="0" w:color="auto"/>
          </w:divBdr>
        </w:div>
        <w:div w:id="181749755">
          <w:marLeft w:val="0"/>
          <w:marRight w:val="0"/>
          <w:marTop w:val="0"/>
          <w:marBottom w:val="0"/>
          <w:divBdr>
            <w:top w:val="none" w:sz="0" w:space="0" w:color="auto"/>
            <w:left w:val="none" w:sz="0" w:space="0" w:color="auto"/>
            <w:bottom w:val="none" w:sz="0" w:space="0" w:color="auto"/>
            <w:right w:val="none" w:sz="0" w:space="0" w:color="auto"/>
          </w:divBdr>
        </w:div>
        <w:div w:id="195852360">
          <w:marLeft w:val="0"/>
          <w:marRight w:val="0"/>
          <w:marTop w:val="0"/>
          <w:marBottom w:val="0"/>
          <w:divBdr>
            <w:top w:val="none" w:sz="0" w:space="0" w:color="auto"/>
            <w:left w:val="none" w:sz="0" w:space="0" w:color="auto"/>
            <w:bottom w:val="none" w:sz="0" w:space="0" w:color="auto"/>
            <w:right w:val="none" w:sz="0" w:space="0" w:color="auto"/>
          </w:divBdr>
        </w:div>
        <w:div w:id="126632050">
          <w:marLeft w:val="0"/>
          <w:marRight w:val="0"/>
          <w:marTop w:val="0"/>
          <w:marBottom w:val="0"/>
          <w:divBdr>
            <w:top w:val="none" w:sz="0" w:space="0" w:color="auto"/>
            <w:left w:val="none" w:sz="0" w:space="0" w:color="auto"/>
            <w:bottom w:val="none" w:sz="0" w:space="0" w:color="auto"/>
            <w:right w:val="none" w:sz="0" w:space="0" w:color="auto"/>
          </w:divBdr>
        </w:div>
        <w:div w:id="1957633423">
          <w:marLeft w:val="0"/>
          <w:marRight w:val="0"/>
          <w:marTop w:val="0"/>
          <w:marBottom w:val="0"/>
          <w:divBdr>
            <w:top w:val="none" w:sz="0" w:space="0" w:color="auto"/>
            <w:left w:val="none" w:sz="0" w:space="0" w:color="auto"/>
            <w:bottom w:val="none" w:sz="0" w:space="0" w:color="auto"/>
            <w:right w:val="none" w:sz="0" w:space="0" w:color="auto"/>
          </w:divBdr>
        </w:div>
        <w:div w:id="302778235">
          <w:marLeft w:val="0"/>
          <w:marRight w:val="0"/>
          <w:marTop w:val="0"/>
          <w:marBottom w:val="0"/>
          <w:divBdr>
            <w:top w:val="none" w:sz="0" w:space="0" w:color="auto"/>
            <w:left w:val="none" w:sz="0" w:space="0" w:color="auto"/>
            <w:bottom w:val="none" w:sz="0" w:space="0" w:color="auto"/>
            <w:right w:val="none" w:sz="0" w:space="0" w:color="auto"/>
          </w:divBdr>
        </w:div>
        <w:div w:id="127748125">
          <w:marLeft w:val="0"/>
          <w:marRight w:val="0"/>
          <w:marTop w:val="0"/>
          <w:marBottom w:val="0"/>
          <w:divBdr>
            <w:top w:val="none" w:sz="0" w:space="0" w:color="auto"/>
            <w:left w:val="none" w:sz="0" w:space="0" w:color="auto"/>
            <w:bottom w:val="none" w:sz="0" w:space="0" w:color="auto"/>
            <w:right w:val="none" w:sz="0" w:space="0" w:color="auto"/>
          </w:divBdr>
        </w:div>
        <w:div w:id="794327138">
          <w:marLeft w:val="0"/>
          <w:marRight w:val="0"/>
          <w:marTop w:val="0"/>
          <w:marBottom w:val="0"/>
          <w:divBdr>
            <w:top w:val="none" w:sz="0" w:space="0" w:color="auto"/>
            <w:left w:val="none" w:sz="0" w:space="0" w:color="auto"/>
            <w:bottom w:val="none" w:sz="0" w:space="0" w:color="auto"/>
            <w:right w:val="none" w:sz="0" w:space="0" w:color="auto"/>
          </w:divBdr>
        </w:div>
        <w:div w:id="2036272811">
          <w:marLeft w:val="0"/>
          <w:marRight w:val="0"/>
          <w:marTop w:val="0"/>
          <w:marBottom w:val="0"/>
          <w:divBdr>
            <w:top w:val="none" w:sz="0" w:space="0" w:color="auto"/>
            <w:left w:val="none" w:sz="0" w:space="0" w:color="auto"/>
            <w:bottom w:val="none" w:sz="0" w:space="0" w:color="auto"/>
            <w:right w:val="none" w:sz="0" w:space="0" w:color="auto"/>
          </w:divBdr>
        </w:div>
        <w:div w:id="879325299">
          <w:marLeft w:val="0"/>
          <w:marRight w:val="0"/>
          <w:marTop w:val="0"/>
          <w:marBottom w:val="0"/>
          <w:divBdr>
            <w:top w:val="none" w:sz="0" w:space="0" w:color="auto"/>
            <w:left w:val="none" w:sz="0" w:space="0" w:color="auto"/>
            <w:bottom w:val="none" w:sz="0" w:space="0" w:color="auto"/>
            <w:right w:val="none" w:sz="0" w:space="0" w:color="auto"/>
          </w:divBdr>
        </w:div>
        <w:div w:id="578172702">
          <w:marLeft w:val="0"/>
          <w:marRight w:val="0"/>
          <w:marTop w:val="0"/>
          <w:marBottom w:val="0"/>
          <w:divBdr>
            <w:top w:val="none" w:sz="0" w:space="0" w:color="auto"/>
            <w:left w:val="none" w:sz="0" w:space="0" w:color="auto"/>
            <w:bottom w:val="none" w:sz="0" w:space="0" w:color="auto"/>
            <w:right w:val="none" w:sz="0" w:space="0" w:color="auto"/>
          </w:divBdr>
        </w:div>
        <w:div w:id="228199305">
          <w:marLeft w:val="0"/>
          <w:marRight w:val="0"/>
          <w:marTop w:val="0"/>
          <w:marBottom w:val="0"/>
          <w:divBdr>
            <w:top w:val="none" w:sz="0" w:space="0" w:color="auto"/>
            <w:left w:val="none" w:sz="0" w:space="0" w:color="auto"/>
            <w:bottom w:val="none" w:sz="0" w:space="0" w:color="auto"/>
            <w:right w:val="none" w:sz="0" w:space="0" w:color="auto"/>
          </w:divBdr>
        </w:div>
        <w:div w:id="236745305">
          <w:marLeft w:val="0"/>
          <w:marRight w:val="0"/>
          <w:marTop w:val="0"/>
          <w:marBottom w:val="0"/>
          <w:divBdr>
            <w:top w:val="none" w:sz="0" w:space="0" w:color="auto"/>
            <w:left w:val="none" w:sz="0" w:space="0" w:color="auto"/>
            <w:bottom w:val="none" w:sz="0" w:space="0" w:color="auto"/>
            <w:right w:val="none" w:sz="0" w:space="0" w:color="auto"/>
          </w:divBdr>
        </w:div>
        <w:div w:id="1487864703">
          <w:marLeft w:val="0"/>
          <w:marRight w:val="0"/>
          <w:marTop w:val="0"/>
          <w:marBottom w:val="0"/>
          <w:divBdr>
            <w:top w:val="none" w:sz="0" w:space="0" w:color="auto"/>
            <w:left w:val="none" w:sz="0" w:space="0" w:color="auto"/>
            <w:bottom w:val="none" w:sz="0" w:space="0" w:color="auto"/>
            <w:right w:val="none" w:sz="0" w:space="0" w:color="auto"/>
          </w:divBdr>
        </w:div>
        <w:div w:id="449782840">
          <w:marLeft w:val="0"/>
          <w:marRight w:val="0"/>
          <w:marTop w:val="0"/>
          <w:marBottom w:val="0"/>
          <w:divBdr>
            <w:top w:val="none" w:sz="0" w:space="0" w:color="auto"/>
            <w:left w:val="none" w:sz="0" w:space="0" w:color="auto"/>
            <w:bottom w:val="none" w:sz="0" w:space="0" w:color="auto"/>
            <w:right w:val="none" w:sz="0" w:space="0" w:color="auto"/>
          </w:divBdr>
        </w:div>
        <w:div w:id="228732866">
          <w:marLeft w:val="0"/>
          <w:marRight w:val="0"/>
          <w:marTop w:val="0"/>
          <w:marBottom w:val="0"/>
          <w:divBdr>
            <w:top w:val="none" w:sz="0" w:space="0" w:color="auto"/>
            <w:left w:val="none" w:sz="0" w:space="0" w:color="auto"/>
            <w:bottom w:val="none" w:sz="0" w:space="0" w:color="auto"/>
            <w:right w:val="none" w:sz="0" w:space="0" w:color="auto"/>
          </w:divBdr>
        </w:div>
        <w:div w:id="691760493">
          <w:marLeft w:val="0"/>
          <w:marRight w:val="0"/>
          <w:marTop w:val="0"/>
          <w:marBottom w:val="0"/>
          <w:divBdr>
            <w:top w:val="none" w:sz="0" w:space="0" w:color="auto"/>
            <w:left w:val="none" w:sz="0" w:space="0" w:color="auto"/>
            <w:bottom w:val="none" w:sz="0" w:space="0" w:color="auto"/>
            <w:right w:val="none" w:sz="0" w:space="0" w:color="auto"/>
          </w:divBdr>
        </w:div>
        <w:div w:id="217741639">
          <w:marLeft w:val="0"/>
          <w:marRight w:val="0"/>
          <w:marTop w:val="0"/>
          <w:marBottom w:val="0"/>
          <w:divBdr>
            <w:top w:val="none" w:sz="0" w:space="0" w:color="auto"/>
            <w:left w:val="none" w:sz="0" w:space="0" w:color="auto"/>
            <w:bottom w:val="none" w:sz="0" w:space="0" w:color="auto"/>
            <w:right w:val="none" w:sz="0" w:space="0" w:color="auto"/>
          </w:divBdr>
        </w:div>
        <w:div w:id="1466049361">
          <w:marLeft w:val="0"/>
          <w:marRight w:val="0"/>
          <w:marTop w:val="0"/>
          <w:marBottom w:val="0"/>
          <w:divBdr>
            <w:top w:val="none" w:sz="0" w:space="0" w:color="auto"/>
            <w:left w:val="none" w:sz="0" w:space="0" w:color="auto"/>
            <w:bottom w:val="none" w:sz="0" w:space="0" w:color="auto"/>
            <w:right w:val="none" w:sz="0" w:space="0" w:color="auto"/>
          </w:divBdr>
        </w:div>
        <w:div w:id="1879971277">
          <w:marLeft w:val="0"/>
          <w:marRight w:val="0"/>
          <w:marTop w:val="0"/>
          <w:marBottom w:val="0"/>
          <w:divBdr>
            <w:top w:val="none" w:sz="0" w:space="0" w:color="auto"/>
            <w:left w:val="none" w:sz="0" w:space="0" w:color="auto"/>
            <w:bottom w:val="none" w:sz="0" w:space="0" w:color="auto"/>
            <w:right w:val="none" w:sz="0" w:space="0" w:color="auto"/>
          </w:divBdr>
        </w:div>
        <w:div w:id="1752122073">
          <w:marLeft w:val="0"/>
          <w:marRight w:val="0"/>
          <w:marTop w:val="0"/>
          <w:marBottom w:val="0"/>
          <w:divBdr>
            <w:top w:val="none" w:sz="0" w:space="0" w:color="auto"/>
            <w:left w:val="none" w:sz="0" w:space="0" w:color="auto"/>
            <w:bottom w:val="none" w:sz="0" w:space="0" w:color="auto"/>
            <w:right w:val="none" w:sz="0" w:space="0" w:color="auto"/>
          </w:divBdr>
        </w:div>
        <w:div w:id="202520774">
          <w:marLeft w:val="0"/>
          <w:marRight w:val="0"/>
          <w:marTop w:val="0"/>
          <w:marBottom w:val="0"/>
          <w:divBdr>
            <w:top w:val="none" w:sz="0" w:space="0" w:color="auto"/>
            <w:left w:val="none" w:sz="0" w:space="0" w:color="auto"/>
            <w:bottom w:val="none" w:sz="0" w:space="0" w:color="auto"/>
            <w:right w:val="none" w:sz="0" w:space="0" w:color="auto"/>
          </w:divBdr>
        </w:div>
        <w:div w:id="446854417">
          <w:marLeft w:val="0"/>
          <w:marRight w:val="0"/>
          <w:marTop w:val="0"/>
          <w:marBottom w:val="0"/>
          <w:divBdr>
            <w:top w:val="none" w:sz="0" w:space="0" w:color="auto"/>
            <w:left w:val="none" w:sz="0" w:space="0" w:color="auto"/>
            <w:bottom w:val="none" w:sz="0" w:space="0" w:color="auto"/>
            <w:right w:val="none" w:sz="0" w:space="0" w:color="auto"/>
          </w:divBdr>
        </w:div>
        <w:div w:id="1175848870">
          <w:marLeft w:val="0"/>
          <w:marRight w:val="0"/>
          <w:marTop w:val="0"/>
          <w:marBottom w:val="0"/>
          <w:divBdr>
            <w:top w:val="none" w:sz="0" w:space="0" w:color="auto"/>
            <w:left w:val="none" w:sz="0" w:space="0" w:color="auto"/>
            <w:bottom w:val="none" w:sz="0" w:space="0" w:color="auto"/>
            <w:right w:val="none" w:sz="0" w:space="0" w:color="auto"/>
          </w:divBdr>
        </w:div>
        <w:div w:id="1741096733">
          <w:marLeft w:val="0"/>
          <w:marRight w:val="0"/>
          <w:marTop w:val="0"/>
          <w:marBottom w:val="0"/>
          <w:divBdr>
            <w:top w:val="none" w:sz="0" w:space="0" w:color="auto"/>
            <w:left w:val="none" w:sz="0" w:space="0" w:color="auto"/>
            <w:bottom w:val="none" w:sz="0" w:space="0" w:color="auto"/>
            <w:right w:val="none" w:sz="0" w:space="0" w:color="auto"/>
          </w:divBdr>
        </w:div>
        <w:div w:id="1946762883">
          <w:marLeft w:val="0"/>
          <w:marRight w:val="0"/>
          <w:marTop w:val="0"/>
          <w:marBottom w:val="0"/>
          <w:divBdr>
            <w:top w:val="none" w:sz="0" w:space="0" w:color="auto"/>
            <w:left w:val="none" w:sz="0" w:space="0" w:color="auto"/>
            <w:bottom w:val="none" w:sz="0" w:space="0" w:color="auto"/>
            <w:right w:val="none" w:sz="0" w:space="0" w:color="auto"/>
          </w:divBdr>
        </w:div>
        <w:div w:id="913976250">
          <w:marLeft w:val="0"/>
          <w:marRight w:val="0"/>
          <w:marTop w:val="0"/>
          <w:marBottom w:val="0"/>
          <w:divBdr>
            <w:top w:val="none" w:sz="0" w:space="0" w:color="auto"/>
            <w:left w:val="none" w:sz="0" w:space="0" w:color="auto"/>
            <w:bottom w:val="none" w:sz="0" w:space="0" w:color="auto"/>
            <w:right w:val="none" w:sz="0" w:space="0" w:color="auto"/>
          </w:divBdr>
        </w:div>
        <w:div w:id="401952125">
          <w:marLeft w:val="0"/>
          <w:marRight w:val="0"/>
          <w:marTop w:val="0"/>
          <w:marBottom w:val="0"/>
          <w:divBdr>
            <w:top w:val="none" w:sz="0" w:space="0" w:color="auto"/>
            <w:left w:val="none" w:sz="0" w:space="0" w:color="auto"/>
            <w:bottom w:val="none" w:sz="0" w:space="0" w:color="auto"/>
            <w:right w:val="none" w:sz="0" w:space="0" w:color="auto"/>
          </w:divBdr>
        </w:div>
        <w:div w:id="1125659945">
          <w:marLeft w:val="0"/>
          <w:marRight w:val="0"/>
          <w:marTop w:val="0"/>
          <w:marBottom w:val="0"/>
          <w:divBdr>
            <w:top w:val="none" w:sz="0" w:space="0" w:color="auto"/>
            <w:left w:val="none" w:sz="0" w:space="0" w:color="auto"/>
            <w:bottom w:val="none" w:sz="0" w:space="0" w:color="auto"/>
            <w:right w:val="none" w:sz="0" w:space="0" w:color="auto"/>
          </w:divBdr>
        </w:div>
        <w:div w:id="148982107">
          <w:marLeft w:val="0"/>
          <w:marRight w:val="0"/>
          <w:marTop w:val="0"/>
          <w:marBottom w:val="0"/>
          <w:divBdr>
            <w:top w:val="none" w:sz="0" w:space="0" w:color="auto"/>
            <w:left w:val="none" w:sz="0" w:space="0" w:color="auto"/>
            <w:bottom w:val="none" w:sz="0" w:space="0" w:color="auto"/>
            <w:right w:val="none" w:sz="0" w:space="0" w:color="auto"/>
          </w:divBdr>
        </w:div>
        <w:div w:id="1261646795">
          <w:marLeft w:val="0"/>
          <w:marRight w:val="0"/>
          <w:marTop w:val="0"/>
          <w:marBottom w:val="0"/>
          <w:divBdr>
            <w:top w:val="none" w:sz="0" w:space="0" w:color="auto"/>
            <w:left w:val="none" w:sz="0" w:space="0" w:color="auto"/>
            <w:bottom w:val="none" w:sz="0" w:space="0" w:color="auto"/>
            <w:right w:val="none" w:sz="0" w:space="0" w:color="auto"/>
          </w:divBdr>
        </w:div>
        <w:div w:id="348869131">
          <w:marLeft w:val="0"/>
          <w:marRight w:val="0"/>
          <w:marTop w:val="0"/>
          <w:marBottom w:val="0"/>
          <w:divBdr>
            <w:top w:val="none" w:sz="0" w:space="0" w:color="auto"/>
            <w:left w:val="none" w:sz="0" w:space="0" w:color="auto"/>
            <w:bottom w:val="none" w:sz="0" w:space="0" w:color="auto"/>
            <w:right w:val="none" w:sz="0" w:space="0" w:color="auto"/>
          </w:divBdr>
        </w:div>
        <w:div w:id="365058418">
          <w:marLeft w:val="0"/>
          <w:marRight w:val="0"/>
          <w:marTop w:val="0"/>
          <w:marBottom w:val="0"/>
          <w:divBdr>
            <w:top w:val="none" w:sz="0" w:space="0" w:color="auto"/>
            <w:left w:val="none" w:sz="0" w:space="0" w:color="auto"/>
            <w:bottom w:val="none" w:sz="0" w:space="0" w:color="auto"/>
            <w:right w:val="none" w:sz="0" w:space="0" w:color="auto"/>
          </w:divBdr>
        </w:div>
        <w:div w:id="376466921">
          <w:marLeft w:val="0"/>
          <w:marRight w:val="0"/>
          <w:marTop w:val="0"/>
          <w:marBottom w:val="0"/>
          <w:divBdr>
            <w:top w:val="none" w:sz="0" w:space="0" w:color="auto"/>
            <w:left w:val="none" w:sz="0" w:space="0" w:color="auto"/>
            <w:bottom w:val="none" w:sz="0" w:space="0" w:color="auto"/>
            <w:right w:val="none" w:sz="0" w:space="0" w:color="auto"/>
          </w:divBdr>
        </w:div>
        <w:div w:id="750202845">
          <w:marLeft w:val="0"/>
          <w:marRight w:val="0"/>
          <w:marTop w:val="0"/>
          <w:marBottom w:val="0"/>
          <w:divBdr>
            <w:top w:val="none" w:sz="0" w:space="0" w:color="auto"/>
            <w:left w:val="none" w:sz="0" w:space="0" w:color="auto"/>
            <w:bottom w:val="none" w:sz="0" w:space="0" w:color="auto"/>
            <w:right w:val="none" w:sz="0" w:space="0" w:color="auto"/>
          </w:divBdr>
        </w:div>
        <w:div w:id="972714433">
          <w:marLeft w:val="0"/>
          <w:marRight w:val="0"/>
          <w:marTop w:val="0"/>
          <w:marBottom w:val="0"/>
          <w:divBdr>
            <w:top w:val="none" w:sz="0" w:space="0" w:color="auto"/>
            <w:left w:val="none" w:sz="0" w:space="0" w:color="auto"/>
            <w:bottom w:val="none" w:sz="0" w:space="0" w:color="auto"/>
            <w:right w:val="none" w:sz="0" w:space="0" w:color="auto"/>
          </w:divBdr>
        </w:div>
        <w:div w:id="651369645">
          <w:marLeft w:val="0"/>
          <w:marRight w:val="0"/>
          <w:marTop w:val="0"/>
          <w:marBottom w:val="0"/>
          <w:divBdr>
            <w:top w:val="none" w:sz="0" w:space="0" w:color="auto"/>
            <w:left w:val="none" w:sz="0" w:space="0" w:color="auto"/>
            <w:bottom w:val="none" w:sz="0" w:space="0" w:color="auto"/>
            <w:right w:val="none" w:sz="0" w:space="0" w:color="auto"/>
          </w:divBdr>
        </w:div>
        <w:div w:id="847914303">
          <w:marLeft w:val="0"/>
          <w:marRight w:val="0"/>
          <w:marTop w:val="0"/>
          <w:marBottom w:val="0"/>
          <w:divBdr>
            <w:top w:val="none" w:sz="0" w:space="0" w:color="auto"/>
            <w:left w:val="none" w:sz="0" w:space="0" w:color="auto"/>
            <w:bottom w:val="none" w:sz="0" w:space="0" w:color="auto"/>
            <w:right w:val="none" w:sz="0" w:space="0" w:color="auto"/>
          </w:divBdr>
        </w:div>
        <w:div w:id="33503591">
          <w:marLeft w:val="0"/>
          <w:marRight w:val="0"/>
          <w:marTop w:val="0"/>
          <w:marBottom w:val="0"/>
          <w:divBdr>
            <w:top w:val="none" w:sz="0" w:space="0" w:color="auto"/>
            <w:left w:val="none" w:sz="0" w:space="0" w:color="auto"/>
            <w:bottom w:val="none" w:sz="0" w:space="0" w:color="auto"/>
            <w:right w:val="none" w:sz="0" w:space="0" w:color="auto"/>
          </w:divBdr>
        </w:div>
        <w:div w:id="963072488">
          <w:marLeft w:val="0"/>
          <w:marRight w:val="0"/>
          <w:marTop w:val="0"/>
          <w:marBottom w:val="0"/>
          <w:divBdr>
            <w:top w:val="none" w:sz="0" w:space="0" w:color="auto"/>
            <w:left w:val="none" w:sz="0" w:space="0" w:color="auto"/>
            <w:bottom w:val="none" w:sz="0" w:space="0" w:color="auto"/>
            <w:right w:val="none" w:sz="0" w:space="0" w:color="auto"/>
          </w:divBdr>
        </w:div>
        <w:div w:id="1260604495">
          <w:marLeft w:val="0"/>
          <w:marRight w:val="0"/>
          <w:marTop w:val="0"/>
          <w:marBottom w:val="0"/>
          <w:divBdr>
            <w:top w:val="none" w:sz="0" w:space="0" w:color="auto"/>
            <w:left w:val="none" w:sz="0" w:space="0" w:color="auto"/>
            <w:bottom w:val="none" w:sz="0" w:space="0" w:color="auto"/>
            <w:right w:val="none" w:sz="0" w:space="0" w:color="auto"/>
          </w:divBdr>
        </w:div>
        <w:div w:id="197546548">
          <w:marLeft w:val="0"/>
          <w:marRight w:val="0"/>
          <w:marTop w:val="0"/>
          <w:marBottom w:val="0"/>
          <w:divBdr>
            <w:top w:val="none" w:sz="0" w:space="0" w:color="auto"/>
            <w:left w:val="none" w:sz="0" w:space="0" w:color="auto"/>
            <w:bottom w:val="none" w:sz="0" w:space="0" w:color="auto"/>
            <w:right w:val="none" w:sz="0" w:space="0" w:color="auto"/>
          </w:divBdr>
        </w:div>
        <w:div w:id="589773435">
          <w:marLeft w:val="0"/>
          <w:marRight w:val="0"/>
          <w:marTop w:val="0"/>
          <w:marBottom w:val="0"/>
          <w:divBdr>
            <w:top w:val="none" w:sz="0" w:space="0" w:color="auto"/>
            <w:left w:val="none" w:sz="0" w:space="0" w:color="auto"/>
            <w:bottom w:val="none" w:sz="0" w:space="0" w:color="auto"/>
            <w:right w:val="none" w:sz="0" w:space="0" w:color="auto"/>
          </w:divBdr>
        </w:div>
        <w:div w:id="330135990">
          <w:marLeft w:val="0"/>
          <w:marRight w:val="0"/>
          <w:marTop w:val="0"/>
          <w:marBottom w:val="0"/>
          <w:divBdr>
            <w:top w:val="none" w:sz="0" w:space="0" w:color="auto"/>
            <w:left w:val="none" w:sz="0" w:space="0" w:color="auto"/>
            <w:bottom w:val="none" w:sz="0" w:space="0" w:color="auto"/>
            <w:right w:val="none" w:sz="0" w:space="0" w:color="auto"/>
          </w:divBdr>
        </w:div>
        <w:div w:id="1834758853">
          <w:marLeft w:val="0"/>
          <w:marRight w:val="0"/>
          <w:marTop w:val="0"/>
          <w:marBottom w:val="0"/>
          <w:divBdr>
            <w:top w:val="none" w:sz="0" w:space="0" w:color="auto"/>
            <w:left w:val="none" w:sz="0" w:space="0" w:color="auto"/>
            <w:bottom w:val="none" w:sz="0" w:space="0" w:color="auto"/>
            <w:right w:val="none" w:sz="0" w:space="0" w:color="auto"/>
          </w:divBdr>
        </w:div>
        <w:div w:id="917907104">
          <w:marLeft w:val="0"/>
          <w:marRight w:val="0"/>
          <w:marTop w:val="0"/>
          <w:marBottom w:val="0"/>
          <w:divBdr>
            <w:top w:val="none" w:sz="0" w:space="0" w:color="auto"/>
            <w:left w:val="none" w:sz="0" w:space="0" w:color="auto"/>
            <w:bottom w:val="none" w:sz="0" w:space="0" w:color="auto"/>
            <w:right w:val="none" w:sz="0" w:space="0" w:color="auto"/>
          </w:divBdr>
        </w:div>
        <w:div w:id="1670136893">
          <w:marLeft w:val="0"/>
          <w:marRight w:val="0"/>
          <w:marTop w:val="0"/>
          <w:marBottom w:val="0"/>
          <w:divBdr>
            <w:top w:val="none" w:sz="0" w:space="0" w:color="auto"/>
            <w:left w:val="none" w:sz="0" w:space="0" w:color="auto"/>
            <w:bottom w:val="none" w:sz="0" w:space="0" w:color="auto"/>
            <w:right w:val="none" w:sz="0" w:space="0" w:color="auto"/>
          </w:divBdr>
        </w:div>
        <w:div w:id="45421370">
          <w:marLeft w:val="0"/>
          <w:marRight w:val="0"/>
          <w:marTop w:val="0"/>
          <w:marBottom w:val="0"/>
          <w:divBdr>
            <w:top w:val="none" w:sz="0" w:space="0" w:color="auto"/>
            <w:left w:val="none" w:sz="0" w:space="0" w:color="auto"/>
            <w:bottom w:val="none" w:sz="0" w:space="0" w:color="auto"/>
            <w:right w:val="none" w:sz="0" w:space="0" w:color="auto"/>
          </w:divBdr>
        </w:div>
        <w:div w:id="356198364">
          <w:marLeft w:val="0"/>
          <w:marRight w:val="0"/>
          <w:marTop w:val="0"/>
          <w:marBottom w:val="0"/>
          <w:divBdr>
            <w:top w:val="none" w:sz="0" w:space="0" w:color="auto"/>
            <w:left w:val="none" w:sz="0" w:space="0" w:color="auto"/>
            <w:bottom w:val="none" w:sz="0" w:space="0" w:color="auto"/>
            <w:right w:val="none" w:sz="0" w:space="0" w:color="auto"/>
          </w:divBdr>
        </w:div>
        <w:div w:id="944580177">
          <w:marLeft w:val="0"/>
          <w:marRight w:val="0"/>
          <w:marTop w:val="0"/>
          <w:marBottom w:val="0"/>
          <w:divBdr>
            <w:top w:val="none" w:sz="0" w:space="0" w:color="auto"/>
            <w:left w:val="none" w:sz="0" w:space="0" w:color="auto"/>
            <w:bottom w:val="none" w:sz="0" w:space="0" w:color="auto"/>
            <w:right w:val="none" w:sz="0" w:space="0" w:color="auto"/>
          </w:divBdr>
        </w:div>
        <w:div w:id="2051225614">
          <w:marLeft w:val="0"/>
          <w:marRight w:val="0"/>
          <w:marTop w:val="0"/>
          <w:marBottom w:val="0"/>
          <w:divBdr>
            <w:top w:val="none" w:sz="0" w:space="0" w:color="auto"/>
            <w:left w:val="none" w:sz="0" w:space="0" w:color="auto"/>
            <w:bottom w:val="none" w:sz="0" w:space="0" w:color="auto"/>
            <w:right w:val="none" w:sz="0" w:space="0" w:color="auto"/>
          </w:divBdr>
        </w:div>
        <w:div w:id="457644432">
          <w:marLeft w:val="0"/>
          <w:marRight w:val="0"/>
          <w:marTop w:val="0"/>
          <w:marBottom w:val="0"/>
          <w:divBdr>
            <w:top w:val="none" w:sz="0" w:space="0" w:color="auto"/>
            <w:left w:val="none" w:sz="0" w:space="0" w:color="auto"/>
            <w:bottom w:val="none" w:sz="0" w:space="0" w:color="auto"/>
            <w:right w:val="none" w:sz="0" w:space="0" w:color="auto"/>
          </w:divBdr>
        </w:div>
        <w:div w:id="802773419">
          <w:marLeft w:val="0"/>
          <w:marRight w:val="0"/>
          <w:marTop w:val="0"/>
          <w:marBottom w:val="0"/>
          <w:divBdr>
            <w:top w:val="none" w:sz="0" w:space="0" w:color="auto"/>
            <w:left w:val="none" w:sz="0" w:space="0" w:color="auto"/>
            <w:bottom w:val="none" w:sz="0" w:space="0" w:color="auto"/>
            <w:right w:val="none" w:sz="0" w:space="0" w:color="auto"/>
          </w:divBdr>
        </w:div>
        <w:div w:id="220405730">
          <w:marLeft w:val="0"/>
          <w:marRight w:val="0"/>
          <w:marTop w:val="0"/>
          <w:marBottom w:val="0"/>
          <w:divBdr>
            <w:top w:val="none" w:sz="0" w:space="0" w:color="auto"/>
            <w:left w:val="none" w:sz="0" w:space="0" w:color="auto"/>
            <w:bottom w:val="none" w:sz="0" w:space="0" w:color="auto"/>
            <w:right w:val="none" w:sz="0" w:space="0" w:color="auto"/>
          </w:divBdr>
        </w:div>
        <w:div w:id="845751311">
          <w:marLeft w:val="0"/>
          <w:marRight w:val="0"/>
          <w:marTop w:val="0"/>
          <w:marBottom w:val="0"/>
          <w:divBdr>
            <w:top w:val="none" w:sz="0" w:space="0" w:color="auto"/>
            <w:left w:val="none" w:sz="0" w:space="0" w:color="auto"/>
            <w:bottom w:val="none" w:sz="0" w:space="0" w:color="auto"/>
            <w:right w:val="none" w:sz="0" w:space="0" w:color="auto"/>
          </w:divBdr>
        </w:div>
        <w:div w:id="1887063427">
          <w:marLeft w:val="0"/>
          <w:marRight w:val="0"/>
          <w:marTop w:val="0"/>
          <w:marBottom w:val="0"/>
          <w:divBdr>
            <w:top w:val="none" w:sz="0" w:space="0" w:color="auto"/>
            <w:left w:val="none" w:sz="0" w:space="0" w:color="auto"/>
            <w:bottom w:val="none" w:sz="0" w:space="0" w:color="auto"/>
            <w:right w:val="none" w:sz="0" w:space="0" w:color="auto"/>
          </w:divBdr>
        </w:div>
        <w:div w:id="750927505">
          <w:marLeft w:val="0"/>
          <w:marRight w:val="0"/>
          <w:marTop w:val="0"/>
          <w:marBottom w:val="0"/>
          <w:divBdr>
            <w:top w:val="none" w:sz="0" w:space="0" w:color="auto"/>
            <w:left w:val="none" w:sz="0" w:space="0" w:color="auto"/>
            <w:bottom w:val="none" w:sz="0" w:space="0" w:color="auto"/>
            <w:right w:val="none" w:sz="0" w:space="0" w:color="auto"/>
          </w:divBdr>
        </w:div>
        <w:div w:id="1751000973">
          <w:marLeft w:val="0"/>
          <w:marRight w:val="0"/>
          <w:marTop w:val="0"/>
          <w:marBottom w:val="0"/>
          <w:divBdr>
            <w:top w:val="none" w:sz="0" w:space="0" w:color="auto"/>
            <w:left w:val="none" w:sz="0" w:space="0" w:color="auto"/>
            <w:bottom w:val="none" w:sz="0" w:space="0" w:color="auto"/>
            <w:right w:val="none" w:sz="0" w:space="0" w:color="auto"/>
          </w:divBdr>
        </w:div>
        <w:div w:id="1543789890">
          <w:marLeft w:val="0"/>
          <w:marRight w:val="0"/>
          <w:marTop w:val="0"/>
          <w:marBottom w:val="0"/>
          <w:divBdr>
            <w:top w:val="none" w:sz="0" w:space="0" w:color="auto"/>
            <w:left w:val="none" w:sz="0" w:space="0" w:color="auto"/>
            <w:bottom w:val="none" w:sz="0" w:space="0" w:color="auto"/>
            <w:right w:val="none" w:sz="0" w:space="0" w:color="auto"/>
          </w:divBdr>
        </w:div>
        <w:div w:id="1496650636">
          <w:marLeft w:val="0"/>
          <w:marRight w:val="0"/>
          <w:marTop w:val="0"/>
          <w:marBottom w:val="0"/>
          <w:divBdr>
            <w:top w:val="none" w:sz="0" w:space="0" w:color="auto"/>
            <w:left w:val="none" w:sz="0" w:space="0" w:color="auto"/>
            <w:bottom w:val="none" w:sz="0" w:space="0" w:color="auto"/>
            <w:right w:val="none" w:sz="0" w:space="0" w:color="auto"/>
          </w:divBdr>
        </w:div>
        <w:div w:id="1725566198">
          <w:marLeft w:val="0"/>
          <w:marRight w:val="0"/>
          <w:marTop w:val="0"/>
          <w:marBottom w:val="0"/>
          <w:divBdr>
            <w:top w:val="none" w:sz="0" w:space="0" w:color="auto"/>
            <w:left w:val="none" w:sz="0" w:space="0" w:color="auto"/>
            <w:bottom w:val="none" w:sz="0" w:space="0" w:color="auto"/>
            <w:right w:val="none" w:sz="0" w:space="0" w:color="auto"/>
          </w:divBdr>
        </w:div>
        <w:div w:id="1098869475">
          <w:marLeft w:val="0"/>
          <w:marRight w:val="0"/>
          <w:marTop w:val="0"/>
          <w:marBottom w:val="0"/>
          <w:divBdr>
            <w:top w:val="none" w:sz="0" w:space="0" w:color="auto"/>
            <w:left w:val="none" w:sz="0" w:space="0" w:color="auto"/>
            <w:bottom w:val="none" w:sz="0" w:space="0" w:color="auto"/>
            <w:right w:val="none" w:sz="0" w:space="0" w:color="auto"/>
          </w:divBdr>
        </w:div>
        <w:div w:id="506334564">
          <w:marLeft w:val="0"/>
          <w:marRight w:val="0"/>
          <w:marTop w:val="0"/>
          <w:marBottom w:val="0"/>
          <w:divBdr>
            <w:top w:val="none" w:sz="0" w:space="0" w:color="auto"/>
            <w:left w:val="none" w:sz="0" w:space="0" w:color="auto"/>
            <w:bottom w:val="none" w:sz="0" w:space="0" w:color="auto"/>
            <w:right w:val="none" w:sz="0" w:space="0" w:color="auto"/>
          </w:divBdr>
        </w:div>
        <w:div w:id="1400130209">
          <w:marLeft w:val="0"/>
          <w:marRight w:val="0"/>
          <w:marTop w:val="0"/>
          <w:marBottom w:val="0"/>
          <w:divBdr>
            <w:top w:val="none" w:sz="0" w:space="0" w:color="auto"/>
            <w:left w:val="none" w:sz="0" w:space="0" w:color="auto"/>
            <w:bottom w:val="none" w:sz="0" w:space="0" w:color="auto"/>
            <w:right w:val="none" w:sz="0" w:space="0" w:color="auto"/>
          </w:divBdr>
        </w:div>
        <w:div w:id="431360259">
          <w:marLeft w:val="0"/>
          <w:marRight w:val="0"/>
          <w:marTop w:val="0"/>
          <w:marBottom w:val="0"/>
          <w:divBdr>
            <w:top w:val="none" w:sz="0" w:space="0" w:color="auto"/>
            <w:left w:val="none" w:sz="0" w:space="0" w:color="auto"/>
            <w:bottom w:val="none" w:sz="0" w:space="0" w:color="auto"/>
            <w:right w:val="none" w:sz="0" w:space="0" w:color="auto"/>
          </w:divBdr>
        </w:div>
        <w:div w:id="986514059">
          <w:marLeft w:val="0"/>
          <w:marRight w:val="0"/>
          <w:marTop w:val="0"/>
          <w:marBottom w:val="0"/>
          <w:divBdr>
            <w:top w:val="none" w:sz="0" w:space="0" w:color="auto"/>
            <w:left w:val="none" w:sz="0" w:space="0" w:color="auto"/>
            <w:bottom w:val="none" w:sz="0" w:space="0" w:color="auto"/>
            <w:right w:val="none" w:sz="0" w:space="0" w:color="auto"/>
          </w:divBdr>
        </w:div>
        <w:div w:id="606348515">
          <w:marLeft w:val="0"/>
          <w:marRight w:val="0"/>
          <w:marTop w:val="0"/>
          <w:marBottom w:val="0"/>
          <w:divBdr>
            <w:top w:val="none" w:sz="0" w:space="0" w:color="auto"/>
            <w:left w:val="none" w:sz="0" w:space="0" w:color="auto"/>
            <w:bottom w:val="none" w:sz="0" w:space="0" w:color="auto"/>
            <w:right w:val="none" w:sz="0" w:space="0" w:color="auto"/>
          </w:divBdr>
        </w:div>
        <w:div w:id="1032530694">
          <w:marLeft w:val="0"/>
          <w:marRight w:val="0"/>
          <w:marTop w:val="0"/>
          <w:marBottom w:val="0"/>
          <w:divBdr>
            <w:top w:val="none" w:sz="0" w:space="0" w:color="auto"/>
            <w:left w:val="none" w:sz="0" w:space="0" w:color="auto"/>
            <w:bottom w:val="none" w:sz="0" w:space="0" w:color="auto"/>
            <w:right w:val="none" w:sz="0" w:space="0" w:color="auto"/>
          </w:divBdr>
        </w:div>
        <w:div w:id="638268957">
          <w:marLeft w:val="0"/>
          <w:marRight w:val="0"/>
          <w:marTop w:val="0"/>
          <w:marBottom w:val="0"/>
          <w:divBdr>
            <w:top w:val="none" w:sz="0" w:space="0" w:color="auto"/>
            <w:left w:val="none" w:sz="0" w:space="0" w:color="auto"/>
            <w:bottom w:val="none" w:sz="0" w:space="0" w:color="auto"/>
            <w:right w:val="none" w:sz="0" w:space="0" w:color="auto"/>
          </w:divBdr>
        </w:div>
        <w:div w:id="503668124">
          <w:marLeft w:val="0"/>
          <w:marRight w:val="0"/>
          <w:marTop w:val="0"/>
          <w:marBottom w:val="0"/>
          <w:divBdr>
            <w:top w:val="none" w:sz="0" w:space="0" w:color="auto"/>
            <w:left w:val="none" w:sz="0" w:space="0" w:color="auto"/>
            <w:bottom w:val="none" w:sz="0" w:space="0" w:color="auto"/>
            <w:right w:val="none" w:sz="0" w:space="0" w:color="auto"/>
          </w:divBdr>
        </w:div>
        <w:div w:id="1137914728">
          <w:marLeft w:val="0"/>
          <w:marRight w:val="0"/>
          <w:marTop w:val="0"/>
          <w:marBottom w:val="0"/>
          <w:divBdr>
            <w:top w:val="none" w:sz="0" w:space="0" w:color="auto"/>
            <w:left w:val="none" w:sz="0" w:space="0" w:color="auto"/>
            <w:bottom w:val="none" w:sz="0" w:space="0" w:color="auto"/>
            <w:right w:val="none" w:sz="0" w:space="0" w:color="auto"/>
          </w:divBdr>
        </w:div>
        <w:div w:id="1117143024">
          <w:marLeft w:val="0"/>
          <w:marRight w:val="0"/>
          <w:marTop w:val="0"/>
          <w:marBottom w:val="0"/>
          <w:divBdr>
            <w:top w:val="none" w:sz="0" w:space="0" w:color="auto"/>
            <w:left w:val="none" w:sz="0" w:space="0" w:color="auto"/>
            <w:bottom w:val="none" w:sz="0" w:space="0" w:color="auto"/>
            <w:right w:val="none" w:sz="0" w:space="0" w:color="auto"/>
          </w:divBdr>
        </w:div>
        <w:div w:id="1819149323">
          <w:marLeft w:val="0"/>
          <w:marRight w:val="0"/>
          <w:marTop w:val="0"/>
          <w:marBottom w:val="0"/>
          <w:divBdr>
            <w:top w:val="none" w:sz="0" w:space="0" w:color="auto"/>
            <w:left w:val="none" w:sz="0" w:space="0" w:color="auto"/>
            <w:bottom w:val="none" w:sz="0" w:space="0" w:color="auto"/>
            <w:right w:val="none" w:sz="0" w:space="0" w:color="auto"/>
          </w:divBdr>
        </w:div>
        <w:div w:id="424303560">
          <w:marLeft w:val="0"/>
          <w:marRight w:val="0"/>
          <w:marTop w:val="0"/>
          <w:marBottom w:val="0"/>
          <w:divBdr>
            <w:top w:val="none" w:sz="0" w:space="0" w:color="auto"/>
            <w:left w:val="none" w:sz="0" w:space="0" w:color="auto"/>
            <w:bottom w:val="none" w:sz="0" w:space="0" w:color="auto"/>
            <w:right w:val="none" w:sz="0" w:space="0" w:color="auto"/>
          </w:divBdr>
        </w:div>
        <w:div w:id="645089433">
          <w:marLeft w:val="0"/>
          <w:marRight w:val="0"/>
          <w:marTop w:val="0"/>
          <w:marBottom w:val="0"/>
          <w:divBdr>
            <w:top w:val="none" w:sz="0" w:space="0" w:color="auto"/>
            <w:left w:val="none" w:sz="0" w:space="0" w:color="auto"/>
            <w:bottom w:val="none" w:sz="0" w:space="0" w:color="auto"/>
            <w:right w:val="none" w:sz="0" w:space="0" w:color="auto"/>
          </w:divBdr>
        </w:div>
        <w:div w:id="655036838">
          <w:marLeft w:val="0"/>
          <w:marRight w:val="0"/>
          <w:marTop w:val="0"/>
          <w:marBottom w:val="0"/>
          <w:divBdr>
            <w:top w:val="none" w:sz="0" w:space="0" w:color="auto"/>
            <w:left w:val="none" w:sz="0" w:space="0" w:color="auto"/>
            <w:bottom w:val="none" w:sz="0" w:space="0" w:color="auto"/>
            <w:right w:val="none" w:sz="0" w:space="0" w:color="auto"/>
          </w:divBdr>
        </w:div>
        <w:div w:id="187790955">
          <w:marLeft w:val="0"/>
          <w:marRight w:val="0"/>
          <w:marTop w:val="0"/>
          <w:marBottom w:val="0"/>
          <w:divBdr>
            <w:top w:val="none" w:sz="0" w:space="0" w:color="auto"/>
            <w:left w:val="none" w:sz="0" w:space="0" w:color="auto"/>
            <w:bottom w:val="none" w:sz="0" w:space="0" w:color="auto"/>
            <w:right w:val="none" w:sz="0" w:space="0" w:color="auto"/>
          </w:divBdr>
        </w:div>
        <w:div w:id="314379400">
          <w:marLeft w:val="0"/>
          <w:marRight w:val="0"/>
          <w:marTop w:val="0"/>
          <w:marBottom w:val="0"/>
          <w:divBdr>
            <w:top w:val="none" w:sz="0" w:space="0" w:color="auto"/>
            <w:left w:val="none" w:sz="0" w:space="0" w:color="auto"/>
            <w:bottom w:val="none" w:sz="0" w:space="0" w:color="auto"/>
            <w:right w:val="none" w:sz="0" w:space="0" w:color="auto"/>
          </w:divBdr>
        </w:div>
        <w:div w:id="1333802134">
          <w:marLeft w:val="0"/>
          <w:marRight w:val="0"/>
          <w:marTop w:val="0"/>
          <w:marBottom w:val="0"/>
          <w:divBdr>
            <w:top w:val="none" w:sz="0" w:space="0" w:color="auto"/>
            <w:left w:val="none" w:sz="0" w:space="0" w:color="auto"/>
            <w:bottom w:val="none" w:sz="0" w:space="0" w:color="auto"/>
            <w:right w:val="none" w:sz="0" w:space="0" w:color="auto"/>
          </w:divBdr>
        </w:div>
        <w:div w:id="1668510316">
          <w:marLeft w:val="0"/>
          <w:marRight w:val="0"/>
          <w:marTop w:val="0"/>
          <w:marBottom w:val="0"/>
          <w:divBdr>
            <w:top w:val="none" w:sz="0" w:space="0" w:color="auto"/>
            <w:left w:val="none" w:sz="0" w:space="0" w:color="auto"/>
            <w:bottom w:val="none" w:sz="0" w:space="0" w:color="auto"/>
            <w:right w:val="none" w:sz="0" w:space="0" w:color="auto"/>
          </w:divBdr>
        </w:div>
        <w:div w:id="1498767946">
          <w:marLeft w:val="0"/>
          <w:marRight w:val="0"/>
          <w:marTop w:val="0"/>
          <w:marBottom w:val="0"/>
          <w:divBdr>
            <w:top w:val="none" w:sz="0" w:space="0" w:color="auto"/>
            <w:left w:val="none" w:sz="0" w:space="0" w:color="auto"/>
            <w:bottom w:val="none" w:sz="0" w:space="0" w:color="auto"/>
            <w:right w:val="none" w:sz="0" w:space="0" w:color="auto"/>
          </w:divBdr>
        </w:div>
        <w:div w:id="1365474203">
          <w:marLeft w:val="0"/>
          <w:marRight w:val="0"/>
          <w:marTop w:val="0"/>
          <w:marBottom w:val="0"/>
          <w:divBdr>
            <w:top w:val="none" w:sz="0" w:space="0" w:color="auto"/>
            <w:left w:val="none" w:sz="0" w:space="0" w:color="auto"/>
            <w:bottom w:val="none" w:sz="0" w:space="0" w:color="auto"/>
            <w:right w:val="none" w:sz="0" w:space="0" w:color="auto"/>
          </w:divBdr>
        </w:div>
        <w:div w:id="663318279">
          <w:marLeft w:val="0"/>
          <w:marRight w:val="0"/>
          <w:marTop w:val="0"/>
          <w:marBottom w:val="0"/>
          <w:divBdr>
            <w:top w:val="none" w:sz="0" w:space="0" w:color="auto"/>
            <w:left w:val="none" w:sz="0" w:space="0" w:color="auto"/>
            <w:bottom w:val="none" w:sz="0" w:space="0" w:color="auto"/>
            <w:right w:val="none" w:sz="0" w:space="0" w:color="auto"/>
          </w:divBdr>
        </w:div>
        <w:div w:id="170604375">
          <w:marLeft w:val="0"/>
          <w:marRight w:val="0"/>
          <w:marTop w:val="0"/>
          <w:marBottom w:val="0"/>
          <w:divBdr>
            <w:top w:val="none" w:sz="0" w:space="0" w:color="auto"/>
            <w:left w:val="none" w:sz="0" w:space="0" w:color="auto"/>
            <w:bottom w:val="none" w:sz="0" w:space="0" w:color="auto"/>
            <w:right w:val="none" w:sz="0" w:space="0" w:color="auto"/>
          </w:divBdr>
        </w:div>
        <w:div w:id="727456408">
          <w:marLeft w:val="0"/>
          <w:marRight w:val="0"/>
          <w:marTop w:val="0"/>
          <w:marBottom w:val="0"/>
          <w:divBdr>
            <w:top w:val="none" w:sz="0" w:space="0" w:color="auto"/>
            <w:left w:val="none" w:sz="0" w:space="0" w:color="auto"/>
            <w:bottom w:val="none" w:sz="0" w:space="0" w:color="auto"/>
            <w:right w:val="none" w:sz="0" w:space="0" w:color="auto"/>
          </w:divBdr>
        </w:div>
        <w:div w:id="1166439653">
          <w:marLeft w:val="0"/>
          <w:marRight w:val="0"/>
          <w:marTop w:val="0"/>
          <w:marBottom w:val="0"/>
          <w:divBdr>
            <w:top w:val="none" w:sz="0" w:space="0" w:color="auto"/>
            <w:left w:val="none" w:sz="0" w:space="0" w:color="auto"/>
            <w:bottom w:val="none" w:sz="0" w:space="0" w:color="auto"/>
            <w:right w:val="none" w:sz="0" w:space="0" w:color="auto"/>
          </w:divBdr>
        </w:div>
        <w:div w:id="770055909">
          <w:marLeft w:val="0"/>
          <w:marRight w:val="0"/>
          <w:marTop w:val="0"/>
          <w:marBottom w:val="0"/>
          <w:divBdr>
            <w:top w:val="none" w:sz="0" w:space="0" w:color="auto"/>
            <w:left w:val="none" w:sz="0" w:space="0" w:color="auto"/>
            <w:bottom w:val="none" w:sz="0" w:space="0" w:color="auto"/>
            <w:right w:val="none" w:sz="0" w:space="0" w:color="auto"/>
          </w:divBdr>
        </w:div>
        <w:div w:id="1492022988">
          <w:marLeft w:val="0"/>
          <w:marRight w:val="0"/>
          <w:marTop w:val="0"/>
          <w:marBottom w:val="0"/>
          <w:divBdr>
            <w:top w:val="none" w:sz="0" w:space="0" w:color="auto"/>
            <w:left w:val="none" w:sz="0" w:space="0" w:color="auto"/>
            <w:bottom w:val="none" w:sz="0" w:space="0" w:color="auto"/>
            <w:right w:val="none" w:sz="0" w:space="0" w:color="auto"/>
          </w:divBdr>
        </w:div>
        <w:div w:id="352343771">
          <w:marLeft w:val="0"/>
          <w:marRight w:val="0"/>
          <w:marTop w:val="0"/>
          <w:marBottom w:val="0"/>
          <w:divBdr>
            <w:top w:val="none" w:sz="0" w:space="0" w:color="auto"/>
            <w:left w:val="none" w:sz="0" w:space="0" w:color="auto"/>
            <w:bottom w:val="none" w:sz="0" w:space="0" w:color="auto"/>
            <w:right w:val="none" w:sz="0" w:space="0" w:color="auto"/>
          </w:divBdr>
        </w:div>
        <w:div w:id="1036391736">
          <w:marLeft w:val="0"/>
          <w:marRight w:val="0"/>
          <w:marTop w:val="0"/>
          <w:marBottom w:val="0"/>
          <w:divBdr>
            <w:top w:val="none" w:sz="0" w:space="0" w:color="auto"/>
            <w:left w:val="none" w:sz="0" w:space="0" w:color="auto"/>
            <w:bottom w:val="none" w:sz="0" w:space="0" w:color="auto"/>
            <w:right w:val="none" w:sz="0" w:space="0" w:color="auto"/>
          </w:divBdr>
        </w:div>
        <w:div w:id="433747911">
          <w:marLeft w:val="0"/>
          <w:marRight w:val="0"/>
          <w:marTop w:val="0"/>
          <w:marBottom w:val="0"/>
          <w:divBdr>
            <w:top w:val="none" w:sz="0" w:space="0" w:color="auto"/>
            <w:left w:val="none" w:sz="0" w:space="0" w:color="auto"/>
            <w:bottom w:val="none" w:sz="0" w:space="0" w:color="auto"/>
            <w:right w:val="none" w:sz="0" w:space="0" w:color="auto"/>
          </w:divBdr>
        </w:div>
        <w:div w:id="1157113205">
          <w:marLeft w:val="0"/>
          <w:marRight w:val="0"/>
          <w:marTop w:val="0"/>
          <w:marBottom w:val="0"/>
          <w:divBdr>
            <w:top w:val="none" w:sz="0" w:space="0" w:color="auto"/>
            <w:left w:val="none" w:sz="0" w:space="0" w:color="auto"/>
            <w:bottom w:val="none" w:sz="0" w:space="0" w:color="auto"/>
            <w:right w:val="none" w:sz="0" w:space="0" w:color="auto"/>
          </w:divBdr>
        </w:div>
        <w:div w:id="120345123">
          <w:marLeft w:val="0"/>
          <w:marRight w:val="0"/>
          <w:marTop w:val="0"/>
          <w:marBottom w:val="0"/>
          <w:divBdr>
            <w:top w:val="none" w:sz="0" w:space="0" w:color="auto"/>
            <w:left w:val="none" w:sz="0" w:space="0" w:color="auto"/>
            <w:bottom w:val="none" w:sz="0" w:space="0" w:color="auto"/>
            <w:right w:val="none" w:sz="0" w:space="0" w:color="auto"/>
          </w:divBdr>
        </w:div>
        <w:div w:id="981890603">
          <w:marLeft w:val="0"/>
          <w:marRight w:val="0"/>
          <w:marTop w:val="0"/>
          <w:marBottom w:val="0"/>
          <w:divBdr>
            <w:top w:val="none" w:sz="0" w:space="0" w:color="auto"/>
            <w:left w:val="none" w:sz="0" w:space="0" w:color="auto"/>
            <w:bottom w:val="none" w:sz="0" w:space="0" w:color="auto"/>
            <w:right w:val="none" w:sz="0" w:space="0" w:color="auto"/>
          </w:divBdr>
        </w:div>
        <w:div w:id="1776708810">
          <w:marLeft w:val="0"/>
          <w:marRight w:val="0"/>
          <w:marTop w:val="0"/>
          <w:marBottom w:val="0"/>
          <w:divBdr>
            <w:top w:val="none" w:sz="0" w:space="0" w:color="auto"/>
            <w:left w:val="none" w:sz="0" w:space="0" w:color="auto"/>
            <w:bottom w:val="none" w:sz="0" w:space="0" w:color="auto"/>
            <w:right w:val="none" w:sz="0" w:space="0" w:color="auto"/>
          </w:divBdr>
        </w:div>
        <w:div w:id="536702807">
          <w:marLeft w:val="0"/>
          <w:marRight w:val="0"/>
          <w:marTop w:val="0"/>
          <w:marBottom w:val="0"/>
          <w:divBdr>
            <w:top w:val="none" w:sz="0" w:space="0" w:color="auto"/>
            <w:left w:val="none" w:sz="0" w:space="0" w:color="auto"/>
            <w:bottom w:val="none" w:sz="0" w:space="0" w:color="auto"/>
            <w:right w:val="none" w:sz="0" w:space="0" w:color="auto"/>
          </w:divBdr>
        </w:div>
        <w:div w:id="381908610">
          <w:marLeft w:val="0"/>
          <w:marRight w:val="0"/>
          <w:marTop w:val="0"/>
          <w:marBottom w:val="0"/>
          <w:divBdr>
            <w:top w:val="none" w:sz="0" w:space="0" w:color="auto"/>
            <w:left w:val="none" w:sz="0" w:space="0" w:color="auto"/>
            <w:bottom w:val="none" w:sz="0" w:space="0" w:color="auto"/>
            <w:right w:val="none" w:sz="0" w:space="0" w:color="auto"/>
          </w:divBdr>
        </w:div>
        <w:div w:id="1944529937">
          <w:marLeft w:val="0"/>
          <w:marRight w:val="0"/>
          <w:marTop w:val="0"/>
          <w:marBottom w:val="0"/>
          <w:divBdr>
            <w:top w:val="none" w:sz="0" w:space="0" w:color="auto"/>
            <w:left w:val="none" w:sz="0" w:space="0" w:color="auto"/>
            <w:bottom w:val="none" w:sz="0" w:space="0" w:color="auto"/>
            <w:right w:val="none" w:sz="0" w:space="0" w:color="auto"/>
          </w:divBdr>
        </w:div>
        <w:div w:id="558858128">
          <w:marLeft w:val="0"/>
          <w:marRight w:val="0"/>
          <w:marTop w:val="0"/>
          <w:marBottom w:val="0"/>
          <w:divBdr>
            <w:top w:val="none" w:sz="0" w:space="0" w:color="auto"/>
            <w:left w:val="none" w:sz="0" w:space="0" w:color="auto"/>
            <w:bottom w:val="none" w:sz="0" w:space="0" w:color="auto"/>
            <w:right w:val="none" w:sz="0" w:space="0" w:color="auto"/>
          </w:divBdr>
        </w:div>
        <w:div w:id="1587837708">
          <w:marLeft w:val="0"/>
          <w:marRight w:val="0"/>
          <w:marTop w:val="0"/>
          <w:marBottom w:val="0"/>
          <w:divBdr>
            <w:top w:val="none" w:sz="0" w:space="0" w:color="auto"/>
            <w:left w:val="none" w:sz="0" w:space="0" w:color="auto"/>
            <w:bottom w:val="none" w:sz="0" w:space="0" w:color="auto"/>
            <w:right w:val="none" w:sz="0" w:space="0" w:color="auto"/>
          </w:divBdr>
        </w:div>
        <w:div w:id="910970152">
          <w:marLeft w:val="0"/>
          <w:marRight w:val="0"/>
          <w:marTop w:val="0"/>
          <w:marBottom w:val="0"/>
          <w:divBdr>
            <w:top w:val="none" w:sz="0" w:space="0" w:color="auto"/>
            <w:left w:val="none" w:sz="0" w:space="0" w:color="auto"/>
            <w:bottom w:val="none" w:sz="0" w:space="0" w:color="auto"/>
            <w:right w:val="none" w:sz="0" w:space="0" w:color="auto"/>
          </w:divBdr>
        </w:div>
        <w:div w:id="315763595">
          <w:marLeft w:val="0"/>
          <w:marRight w:val="0"/>
          <w:marTop w:val="0"/>
          <w:marBottom w:val="0"/>
          <w:divBdr>
            <w:top w:val="none" w:sz="0" w:space="0" w:color="auto"/>
            <w:left w:val="none" w:sz="0" w:space="0" w:color="auto"/>
            <w:bottom w:val="none" w:sz="0" w:space="0" w:color="auto"/>
            <w:right w:val="none" w:sz="0" w:space="0" w:color="auto"/>
          </w:divBdr>
        </w:div>
        <w:div w:id="445546232">
          <w:marLeft w:val="0"/>
          <w:marRight w:val="0"/>
          <w:marTop w:val="0"/>
          <w:marBottom w:val="0"/>
          <w:divBdr>
            <w:top w:val="none" w:sz="0" w:space="0" w:color="auto"/>
            <w:left w:val="none" w:sz="0" w:space="0" w:color="auto"/>
            <w:bottom w:val="none" w:sz="0" w:space="0" w:color="auto"/>
            <w:right w:val="none" w:sz="0" w:space="0" w:color="auto"/>
          </w:divBdr>
        </w:div>
        <w:div w:id="427432253">
          <w:marLeft w:val="0"/>
          <w:marRight w:val="0"/>
          <w:marTop w:val="0"/>
          <w:marBottom w:val="0"/>
          <w:divBdr>
            <w:top w:val="none" w:sz="0" w:space="0" w:color="auto"/>
            <w:left w:val="none" w:sz="0" w:space="0" w:color="auto"/>
            <w:bottom w:val="none" w:sz="0" w:space="0" w:color="auto"/>
            <w:right w:val="none" w:sz="0" w:space="0" w:color="auto"/>
          </w:divBdr>
        </w:div>
        <w:div w:id="1144391083">
          <w:marLeft w:val="0"/>
          <w:marRight w:val="0"/>
          <w:marTop w:val="0"/>
          <w:marBottom w:val="0"/>
          <w:divBdr>
            <w:top w:val="none" w:sz="0" w:space="0" w:color="auto"/>
            <w:left w:val="none" w:sz="0" w:space="0" w:color="auto"/>
            <w:bottom w:val="none" w:sz="0" w:space="0" w:color="auto"/>
            <w:right w:val="none" w:sz="0" w:space="0" w:color="auto"/>
          </w:divBdr>
        </w:div>
        <w:div w:id="2042707223">
          <w:marLeft w:val="0"/>
          <w:marRight w:val="0"/>
          <w:marTop w:val="0"/>
          <w:marBottom w:val="0"/>
          <w:divBdr>
            <w:top w:val="none" w:sz="0" w:space="0" w:color="auto"/>
            <w:left w:val="none" w:sz="0" w:space="0" w:color="auto"/>
            <w:bottom w:val="none" w:sz="0" w:space="0" w:color="auto"/>
            <w:right w:val="none" w:sz="0" w:space="0" w:color="auto"/>
          </w:divBdr>
        </w:div>
        <w:div w:id="999429573">
          <w:marLeft w:val="0"/>
          <w:marRight w:val="0"/>
          <w:marTop w:val="0"/>
          <w:marBottom w:val="0"/>
          <w:divBdr>
            <w:top w:val="none" w:sz="0" w:space="0" w:color="auto"/>
            <w:left w:val="none" w:sz="0" w:space="0" w:color="auto"/>
            <w:bottom w:val="none" w:sz="0" w:space="0" w:color="auto"/>
            <w:right w:val="none" w:sz="0" w:space="0" w:color="auto"/>
          </w:divBdr>
        </w:div>
        <w:div w:id="1053774324">
          <w:marLeft w:val="0"/>
          <w:marRight w:val="0"/>
          <w:marTop w:val="0"/>
          <w:marBottom w:val="0"/>
          <w:divBdr>
            <w:top w:val="none" w:sz="0" w:space="0" w:color="auto"/>
            <w:left w:val="none" w:sz="0" w:space="0" w:color="auto"/>
            <w:bottom w:val="none" w:sz="0" w:space="0" w:color="auto"/>
            <w:right w:val="none" w:sz="0" w:space="0" w:color="auto"/>
          </w:divBdr>
        </w:div>
        <w:div w:id="663436405">
          <w:marLeft w:val="0"/>
          <w:marRight w:val="0"/>
          <w:marTop w:val="0"/>
          <w:marBottom w:val="0"/>
          <w:divBdr>
            <w:top w:val="none" w:sz="0" w:space="0" w:color="auto"/>
            <w:left w:val="none" w:sz="0" w:space="0" w:color="auto"/>
            <w:bottom w:val="none" w:sz="0" w:space="0" w:color="auto"/>
            <w:right w:val="none" w:sz="0" w:space="0" w:color="auto"/>
          </w:divBdr>
        </w:div>
        <w:div w:id="1027414384">
          <w:marLeft w:val="0"/>
          <w:marRight w:val="0"/>
          <w:marTop w:val="0"/>
          <w:marBottom w:val="0"/>
          <w:divBdr>
            <w:top w:val="none" w:sz="0" w:space="0" w:color="auto"/>
            <w:left w:val="none" w:sz="0" w:space="0" w:color="auto"/>
            <w:bottom w:val="none" w:sz="0" w:space="0" w:color="auto"/>
            <w:right w:val="none" w:sz="0" w:space="0" w:color="auto"/>
          </w:divBdr>
        </w:div>
        <w:div w:id="2143308035">
          <w:marLeft w:val="0"/>
          <w:marRight w:val="0"/>
          <w:marTop w:val="0"/>
          <w:marBottom w:val="0"/>
          <w:divBdr>
            <w:top w:val="none" w:sz="0" w:space="0" w:color="auto"/>
            <w:left w:val="none" w:sz="0" w:space="0" w:color="auto"/>
            <w:bottom w:val="none" w:sz="0" w:space="0" w:color="auto"/>
            <w:right w:val="none" w:sz="0" w:space="0" w:color="auto"/>
          </w:divBdr>
        </w:div>
        <w:div w:id="618684977">
          <w:marLeft w:val="0"/>
          <w:marRight w:val="0"/>
          <w:marTop w:val="0"/>
          <w:marBottom w:val="0"/>
          <w:divBdr>
            <w:top w:val="none" w:sz="0" w:space="0" w:color="auto"/>
            <w:left w:val="none" w:sz="0" w:space="0" w:color="auto"/>
            <w:bottom w:val="none" w:sz="0" w:space="0" w:color="auto"/>
            <w:right w:val="none" w:sz="0" w:space="0" w:color="auto"/>
          </w:divBdr>
        </w:div>
        <w:div w:id="449739348">
          <w:marLeft w:val="0"/>
          <w:marRight w:val="0"/>
          <w:marTop w:val="0"/>
          <w:marBottom w:val="0"/>
          <w:divBdr>
            <w:top w:val="none" w:sz="0" w:space="0" w:color="auto"/>
            <w:left w:val="none" w:sz="0" w:space="0" w:color="auto"/>
            <w:bottom w:val="none" w:sz="0" w:space="0" w:color="auto"/>
            <w:right w:val="none" w:sz="0" w:space="0" w:color="auto"/>
          </w:divBdr>
        </w:div>
        <w:div w:id="235363483">
          <w:marLeft w:val="0"/>
          <w:marRight w:val="0"/>
          <w:marTop w:val="0"/>
          <w:marBottom w:val="0"/>
          <w:divBdr>
            <w:top w:val="none" w:sz="0" w:space="0" w:color="auto"/>
            <w:left w:val="none" w:sz="0" w:space="0" w:color="auto"/>
            <w:bottom w:val="none" w:sz="0" w:space="0" w:color="auto"/>
            <w:right w:val="none" w:sz="0" w:space="0" w:color="auto"/>
          </w:divBdr>
        </w:div>
        <w:div w:id="1145775704">
          <w:marLeft w:val="0"/>
          <w:marRight w:val="0"/>
          <w:marTop w:val="0"/>
          <w:marBottom w:val="0"/>
          <w:divBdr>
            <w:top w:val="none" w:sz="0" w:space="0" w:color="auto"/>
            <w:left w:val="none" w:sz="0" w:space="0" w:color="auto"/>
            <w:bottom w:val="none" w:sz="0" w:space="0" w:color="auto"/>
            <w:right w:val="none" w:sz="0" w:space="0" w:color="auto"/>
          </w:divBdr>
        </w:div>
        <w:div w:id="1253590498">
          <w:marLeft w:val="0"/>
          <w:marRight w:val="0"/>
          <w:marTop w:val="0"/>
          <w:marBottom w:val="0"/>
          <w:divBdr>
            <w:top w:val="none" w:sz="0" w:space="0" w:color="auto"/>
            <w:left w:val="none" w:sz="0" w:space="0" w:color="auto"/>
            <w:bottom w:val="none" w:sz="0" w:space="0" w:color="auto"/>
            <w:right w:val="none" w:sz="0" w:space="0" w:color="auto"/>
          </w:divBdr>
        </w:div>
        <w:div w:id="2086292019">
          <w:marLeft w:val="0"/>
          <w:marRight w:val="0"/>
          <w:marTop w:val="0"/>
          <w:marBottom w:val="0"/>
          <w:divBdr>
            <w:top w:val="none" w:sz="0" w:space="0" w:color="auto"/>
            <w:left w:val="none" w:sz="0" w:space="0" w:color="auto"/>
            <w:bottom w:val="none" w:sz="0" w:space="0" w:color="auto"/>
            <w:right w:val="none" w:sz="0" w:space="0" w:color="auto"/>
          </w:divBdr>
        </w:div>
        <w:div w:id="1709406723">
          <w:marLeft w:val="0"/>
          <w:marRight w:val="0"/>
          <w:marTop w:val="0"/>
          <w:marBottom w:val="0"/>
          <w:divBdr>
            <w:top w:val="none" w:sz="0" w:space="0" w:color="auto"/>
            <w:left w:val="none" w:sz="0" w:space="0" w:color="auto"/>
            <w:bottom w:val="none" w:sz="0" w:space="0" w:color="auto"/>
            <w:right w:val="none" w:sz="0" w:space="0" w:color="auto"/>
          </w:divBdr>
        </w:div>
        <w:div w:id="1964074538">
          <w:marLeft w:val="0"/>
          <w:marRight w:val="0"/>
          <w:marTop w:val="0"/>
          <w:marBottom w:val="0"/>
          <w:divBdr>
            <w:top w:val="none" w:sz="0" w:space="0" w:color="auto"/>
            <w:left w:val="none" w:sz="0" w:space="0" w:color="auto"/>
            <w:bottom w:val="none" w:sz="0" w:space="0" w:color="auto"/>
            <w:right w:val="none" w:sz="0" w:space="0" w:color="auto"/>
          </w:divBdr>
        </w:div>
        <w:div w:id="1053777159">
          <w:marLeft w:val="0"/>
          <w:marRight w:val="0"/>
          <w:marTop w:val="0"/>
          <w:marBottom w:val="0"/>
          <w:divBdr>
            <w:top w:val="none" w:sz="0" w:space="0" w:color="auto"/>
            <w:left w:val="none" w:sz="0" w:space="0" w:color="auto"/>
            <w:bottom w:val="none" w:sz="0" w:space="0" w:color="auto"/>
            <w:right w:val="none" w:sz="0" w:space="0" w:color="auto"/>
          </w:divBdr>
        </w:div>
        <w:div w:id="1689796720">
          <w:marLeft w:val="0"/>
          <w:marRight w:val="0"/>
          <w:marTop w:val="0"/>
          <w:marBottom w:val="0"/>
          <w:divBdr>
            <w:top w:val="none" w:sz="0" w:space="0" w:color="auto"/>
            <w:left w:val="none" w:sz="0" w:space="0" w:color="auto"/>
            <w:bottom w:val="none" w:sz="0" w:space="0" w:color="auto"/>
            <w:right w:val="none" w:sz="0" w:space="0" w:color="auto"/>
          </w:divBdr>
        </w:div>
        <w:div w:id="471488821">
          <w:marLeft w:val="0"/>
          <w:marRight w:val="0"/>
          <w:marTop w:val="0"/>
          <w:marBottom w:val="0"/>
          <w:divBdr>
            <w:top w:val="none" w:sz="0" w:space="0" w:color="auto"/>
            <w:left w:val="none" w:sz="0" w:space="0" w:color="auto"/>
            <w:bottom w:val="none" w:sz="0" w:space="0" w:color="auto"/>
            <w:right w:val="none" w:sz="0" w:space="0" w:color="auto"/>
          </w:divBdr>
        </w:div>
        <w:div w:id="736242109">
          <w:marLeft w:val="0"/>
          <w:marRight w:val="0"/>
          <w:marTop w:val="0"/>
          <w:marBottom w:val="0"/>
          <w:divBdr>
            <w:top w:val="none" w:sz="0" w:space="0" w:color="auto"/>
            <w:left w:val="none" w:sz="0" w:space="0" w:color="auto"/>
            <w:bottom w:val="none" w:sz="0" w:space="0" w:color="auto"/>
            <w:right w:val="none" w:sz="0" w:space="0" w:color="auto"/>
          </w:divBdr>
        </w:div>
        <w:div w:id="493687219">
          <w:marLeft w:val="0"/>
          <w:marRight w:val="0"/>
          <w:marTop w:val="0"/>
          <w:marBottom w:val="0"/>
          <w:divBdr>
            <w:top w:val="none" w:sz="0" w:space="0" w:color="auto"/>
            <w:left w:val="none" w:sz="0" w:space="0" w:color="auto"/>
            <w:bottom w:val="none" w:sz="0" w:space="0" w:color="auto"/>
            <w:right w:val="none" w:sz="0" w:space="0" w:color="auto"/>
          </w:divBdr>
        </w:div>
        <w:div w:id="493879801">
          <w:marLeft w:val="0"/>
          <w:marRight w:val="0"/>
          <w:marTop w:val="0"/>
          <w:marBottom w:val="0"/>
          <w:divBdr>
            <w:top w:val="none" w:sz="0" w:space="0" w:color="auto"/>
            <w:left w:val="none" w:sz="0" w:space="0" w:color="auto"/>
            <w:bottom w:val="none" w:sz="0" w:space="0" w:color="auto"/>
            <w:right w:val="none" w:sz="0" w:space="0" w:color="auto"/>
          </w:divBdr>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09061027">
      <w:bodyDiv w:val="1"/>
      <w:marLeft w:val="0"/>
      <w:marRight w:val="0"/>
      <w:marTop w:val="0"/>
      <w:marBottom w:val="0"/>
      <w:divBdr>
        <w:top w:val="none" w:sz="0" w:space="0" w:color="auto"/>
        <w:left w:val="none" w:sz="0" w:space="0" w:color="auto"/>
        <w:bottom w:val="none" w:sz="0" w:space="0" w:color="auto"/>
        <w:right w:val="none" w:sz="0" w:space="0" w:color="auto"/>
      </w:divBdr>
      <w:divsChild>
        <w:div w:id="809132063">
          <w:marLeft w:val="0"/>
          <w:marRight w:val="0"/>
          <w:marTop w:val="0"/>
          <w:marBottom w:val="0"/>
          <w:divBdr>
            <w:top w:val="none" w:sz="0" w:space="0" w:color="auto"/>
            <w:left w:val="none" w:sz="0" w:space="0" w:color="auto"/>
            <w:bottom w:val="none" w:sz="0" w:space="0" w:color="auto"/>
            <w:right w:val="none" w:sz="0" w:space="0" w:color="auto"/>
          </w:divBdr>
        </w:div>
        <w:div w:id="793332559">
          <w:marLeft w:val="0"/>
          <w:marRight w:val="0"/>
          <w:marTop w:val="0"/>
          <w:marBottom w:val="0"/>
          <w:divBdr>
            <w:top w:val="none" w:sz="0" w:space="0" w:color="auto"/>
            <w:left w:val="none" w:sz="0" w:space="0" w:color="auto"/>
            <w:bottom w:val="none" w:sz="0" w:space="0" w:color="auto"/>
            <w:right w:val="none" w:sz="0" w:space="0" w:color="auto"/>
          </w:divBdr>
        </w:div>
        <w:div w:id="1129974185">
          <w:marLeft w:val="0"/>
          <w:marRight w:val="0"/>
          <w:marTop w:val="0"/>
          <w:marBottom w:val="0"/>
          <w:divBdr>
            <w:top w:val="none" w:sz="0" w:space="0" w:color="auto"/>
            <w:left w:val="none" w:sz="0" w:space="0" w:color="auto"/>
            <w:bottom w:val="none" w:sz="0" w:space="0" w:color="auto"/>
            <w:right w:val="none" w:sz="0" w:space="0" w:color="auto"/>
          </w:divBdr>
        </w:div>
        <w:div w:id="597521563">
          <w:marLeft w:val="0"/>
          <w:marRight w:val="0"/>
          <w:marTop w:val="0"/>
          <w:marBottom w:val="0"/>
          <w:divBdr>
            <w:top w:val="none" w:sz="0" w:space="0" w:color="auto"/>
            <w:left w:val="none" w:sz="0" w:space="0" w:color="auto"/>
            <w:bottom w:val="none" w:sz="0" w:space="0" w:color="auto"/>
            <w:right w:val="none" w:sz="0" w:space="0" w:color="auto"/>
          </w:divBdr>
        </w:div>
        <w:div w:id="2009478077">
          <w:marLeft w:val="0"/>
          <w:marRight w:val="0"/>
          <w:marTop w:val="0"/>
          <w:marBottom w:val="0"/>
          <w:divBdr>
            <w:top w:val="none" w:sz="0" w:space="0" w:color="auto"/>
            <w:left w:val="none" w:sz="0" w:space="0" w:color="auto"/>
            <w:bottom w:val="none" w:sz="0" w:space="0" w:color="auto"/>
            <w:right w:val="none" w:sz="0" w:space="0" w:color="auto"/>
          </w:divBdr>
        </w:div>
        <w:div w:id="1525947087">
          <w:marLeft w:val="0"/>
          <w:marRight w:val="0"/>
          <w:marTop w:val="0"/>
          <w:marBottom w:val="0"/>
          <w:divBdr>
            <w:top w:val="none" w:sz="0" w:space="0" w:color="auto"/>
            <w:left w:val="none" w:sz="0" w:space="0" w:color="auto"/>
            <w:bottom w:val="none" w:sz="0" w:space="0" w:color="auto"/>
            <w:right w:val="none" w:sz="0" w:space="0" w:color="auto"/>
          </w:divBdr>
          <w:divsChild>
            <w:div w:id="1960145540">
              <w:marLeft w:val="0"/>
              <w:marRight w:val="0"/>
              <w:marTop w:val="0"/>
              <w:marBottom w:val="0"/>
              <w:divBdr>
                <w:top w:val="none" w:sz="0" w:space="0" w:color="auto"/>
                <w:left w:val="none" w:sz="0" w:space="0" w:color="auto"/>
                <w:bottom w:val="none" w:sz="0" w:space="0" w:color="auto"/>
                <w:right w:val="none" w:sz="0" w:space="0" w:color="auto"/>
              </w:divBdr>
            </w:div>
          </w:divsChild>
        </w:div>
        <w:div w:id="2025129518">
          <w:marLeft w:val="0"/>
          <w:marRight w:val="0"/>
          <w:marTop w:val="0"/>
          <w:marBottom w:val="0"/>
          <w:divBdr>
            <w:top w:val="none" w:sz="0" w:space="0" w:color="auto"/>
            <w:left w:val="none" w:sz="0" w:space="0" w:color="auto"/>
            <w:bottom w:val="none" w:sz="0" w:space="0" w:color="auto"/>
            <w:right w:val="none" w:sz="0" w:space="0" w:color="auto"/>
          </w:divBdr>
        </w:div>
        <w:div w:id="580992697">
          <w:marLeft w:val="0"/>
          <w:marRight w:val="0"/>
          <w:marTop w:val="0"/>
          <w:marBottom w:val="0"/>
          <w:divBdr>
            <w:top w:val="none" w:sz="0" w:space="0" w:color="auto"/>
            <w:left w:val="none" w:sz="0" w:space="0" w:color="auto"/>
            <w:bottom w:val="none" w:sz="0" w:space="0" w:color="auto"/>
            <w:right w:val="none" w:sz="0" w:space="0" w:color="auto"/>
          </w:divBdr>
        </w:div>
        <w:div w:id="1254633431">
          <w:marLeft w:val="0"/>
          <w:marRight w:val="0"/>
          <w:marTop w:val="0"/>
          <w:marBottom w:val="0"/>
          <w:divBdr>
            <w:top w:val="none" w:sz="0" w:space="0" w:color="auto"/>
            <w:left w:val="none" w:sz="0" w:space="0" w:color="auto"/>
            <w:bottom w:val="none" w:sz="0" w:space="0" w:color="auto"/>
            <w:right w:val="none" w:sz="0" w:space="0" w:color="auto"/>
          </w:divBdr>
        </w:div>
        <w:div w:id="1643584413">
          <w:marLeft w:val="0"/>
          <w:marRight w:val="0"/>
          <w:marTop w:val="0"/>
          <w:marBottom w:val="0"/>
          <w:divBdr>
            <w:top w:val="none" w:sz="0" w:space="0" w:color="auto"/>
            <w:left w:val="none" w:sz="0" w:space="0" w:color="auto"/>
            <w:bottom w:val="none" w:sz="0" w:space="0" w:color="auto"/>
            <w:right w:val="none" w:sz="0" w:space="0" w:color="auto"/>
          </w:divBdr>
        </w:div>
        <w:div w:id="1886940673">
          <w:marLeft w:val="0"/>
          <w:marRight w:val="0"/>
          <w:marTop w:val="0"/>
          <w:marBottom w:val="0"/>
          <w:divBdr>
            <w:top w:val="none" w:sz="0" w:space="0" w:color="auto"/>
            <w:left w:val="none" w:sz="0" w:space="0" w:color="auto"/>
            <w:bottom w:val="none" w:sz="0" w:space="0" w:color="auto"/>
            <w:right w:val="none" w:sz="0" w:space="0" w:color="auto"/>
          </w:divBdr>
        </w:div>
        <w:div w:id="1283150413">
          <w:marLeft w:val="0"/>
          <w:marRight w:val="0"/>
          <w:marTop w:val="0"/>
          <w:marBottom w:val="0"/>
          <w:divBdr>
            <w:top w:val="none" w:sz="0" w:space="0" w:color="auto"/>
            <w:left w:val="none" w:sz="0" w:space="0" w:color="auto"/>
            <w:bottom w:val="none" w:sz="0" w:space="0" w:color="auto"/>
            <w:right w:val="none" w:sz="0" w:space="0" w:color="auto"/>
          </w:divBdr>
        </w:div>
        <w:div w:id="892347022">
          <w:marLeft w:val="0"/>
          <w:marRight w:val="0"/>
          <w:marTop w:val="0"/>
          <w:marBottom w:val="0"/>
          <w:divBdr>
            <w:top w:val="none" w:sz="0" w:space="0" w:color="auto"/>
            <w:left w:val="none" w:sz="0" w:space="0" w:color="auto"/>
            <w:bottom w:val="none" w:sz="0" w:space="0" w:color="auto"/>
            <w:right w:val="none" w:sz="0" w:space="0" w:color="auto"/>
          </w:divBdr>
        </w:div>
        <w:div w:id="735279208">
          <w:marLeft w:val="0"/>
          <w:marRight w:val="0"/>
          <w:marTop w:val="0"/>
          <w:marBottom w:val="0"/>
          <w:divBdr>
            <w:top w:val="none" w:sz="0" w:space="0" w:color="auto"/>
            <w:left w:val="none" w:sz="0" w:space="0" w:color="auto"/>
            <w:bottom w:val="none" w:sz="0" w:space="0" w:color="auto"/>
            <w:right w:val="none" w:sz="0" w:space="0" w:color="auto"/>
          </w:divBdr>
        </w:div>
        <w:div w:id="746733237">
          <w:marLeft w:val="0"/>
          <w:marRight w:val="0"/>
          <w:marTop w:val="0"/>
          <w:marBottom w:val="0"/>
          <w:divBdr>
            <w:top w:val="none" w:sz="0" w:space="0" w:color="auto"/>
            <w:left w:val="none" w:sz="0" w:space="0" w:color="auto"/>
            <w:bottom w:val="none" w:sz="0" w:space="0" w:color="auto"/>
            <w:right w:val="none" w:sz="0" w:space="0" w:color="auto"/>
          </w:divBdr>
        </w:div>
        <w:div w:id="855316357">
          <w:marLeft w:val="0"/>
          <w:marRight w:val="0"/>
          <w:marTop w:val="0"/>
          <w:marBottom w:val="0"/>
          <w:divBdr>
            <w:top w:val="none" w:sz="0" w:space="0" w:color="auto"/>
            <w:left w:val="none" w:sz="0" w:space="0" w:color="auto"/>
            <w:bottom w:val="none" w:sz="0" w:space="0" w:color="auto"/>
            <w:right w:val="none" w:sz="0" w:space="0" w:color="auto"/>
          </w:divBdr>
        </w:div>
        <w:div w:id="1362897166">
          <w:marLeft w:val="0"/>
          <w:marRight w:val="0"/>
          <w:marTop w:val="0"/>
          <w:marBottom w:val="0"/>
          <w:divBdr>
            <w:top w:val="none" w:sz="0" w:space="0" w:color="auto"/>
            <w:left w:val="none" w:sz="0" w:space="0" w:color="auto"/>
            <w:bottom w:val="none" w:sz="0" w:space="0" w:color="auto"/>
            <w:right w:val="none" w:sz="0" w:space="0" w:color="auto"/>
          </w:divBdr>
        </w:div>
        <w:div w:id="451755199">
          <w:marLeft w:val="0"/>
          <w:marRight w:val="0"/>
          <w:marTop w:val="0"/>
          <w:marBottom w:val="0"/>
          <w:divBdr>
            <w:top w:val="none" w:sz="0" w:space="0" w:color="auto"/>
            <w:left w:val="none" w:sz="0" w:space="0" w:color="auto"/>
            <w:bottom w:val="none" w:sz="0" w:space="0" w:color="auto"/>
            <w:right w:val="none" w:sz="0" w:space="0" w:color="auto"/>
          </w:divBdr>
        </w:div>
        <w:div w:id="147213285">
          <w:marLeft w:val="0"/>
          <w:marRight w:val="0"/>
          <w:marTop w:val="0"/>
          <w:marBottom w:val="0"/>
          <w:divBdr>
            <w:top w:val="none" w:sz="0" w:space="0" w:color="auto"/>
            <w:left w:val="none" w:sz="0" w:space="0" w:color="auto"/>
            <w:bottom w:val="none" w:sz="0" w:space="0" w:color="auto"/>
            <w:right w:val="none" w:sz="0" w:space="0" w:color="auto"/>
          </w:divBdr>
        </w:div>
        <w:div w:id="1058892488">
          <w:marLeft w:val="0"/>
          <w:marRight w:val="0"/>
          <w:marTop w:val="0"/>
          <w:marBottom w:val="0"/>
          <w:divBdr>
            <w:top w:val="none" w:sz="0" w:space="0" w:color="auto"/>
            <w:left w:val="none" w:sz="0" w:space="0" w:color="auto"/>
            <w:bottom w:val="none" w:sz="0" w:space="0" w:color="auto"/>
            <w:right w:val="none" w:sz="0" w:space="0" w:color="auto"/>
          </w:divBdr>
        </w:div>
        <w:div w:id="1709992198">
          <w:marLeft w:val="0"/>
          <w:marRight w:val="0"/>
          <w:marTop w:val="0"/>
          <w:marBottom w:val="0"/>
          <w:divBdr>
            <w:top w:val="none" w:sz="0" w:space="0" w:color="auto"/>
            <w:left w:val="none" w:sz="0" w:space="0" w:color="auto"/>
            <w:bottom w:val="none" w:sz="0" w:space="0" w:color="auto"/>
            <w:right w:val="none" w:sz="0" w:space="0" w:color="auto"/>
          </w:divBdr>
        </w:div>
        <w:div w:id="1132594816">
          <w:marLeft w:val="0"/>
          <w:marRight w:val="0"/>
          <w:marTop w:val="0"/>
          <w:marBottom w:val="0"/>
          <w:divBdr>
            <w:top w:val="none" w:sz="0" w:space="0" w:color="auto"/>
            <w:left w:val="none" w:sz="0" w:space="0" w:color="auto"/>
            <w:bottom w:val="none" w:sz="0" w:space="0" w:color="auto"/>
            <w:right w:val="none" w:sz="0" w:space="0" w:color="auto"/>
          </w:divBdr>
        </w:div>
        <w:div w:id="1534732053">
          <w:marLeft w:val="0"/>
          <w:marRight w:val="0"/>
          <w:marTop w:val="0"/>
          <w:marBottom w:val="0"/>
          <w:divBdr>
            <w:top w:val="none" w:sz="0" w:space="0" w:color="auto"/>
            <w:left w:val="none" w:sz="0" w:space="0" w:color="auto"/>
            <w:bottom w:val="none" w:sz="0" w:space="0" w:color="auto"/>
            <w:right w:val="none" w:sz="0" w:space="0" w:color="auto"/>
          </w:divBdr>
        </w:div>
        <w:div w:id="1706561733">
          <w:marLeft w:val="0"/>
          <w:marRight w:val="0"/>
          <w:marTop w:val="0"/>
          <w:marBottom w:val="0"/>
          <w:divBdr>
            <w:top w:val="none" w:sz="0" w:space="0" w:color="auto"/>
            <w:left w:val="none" w:sz="0" w:space="0" w:color="auto"/>
            <w:bottom w:val="none" w:sz="0" w:space="0" w:color="auto"/>
            <w:right w:val="none" w:sz="0" w:space="0" w:color="auto"/>
          </w:divBdr>
        </w:div>
        <w:div w:id="1801068702">
          <w:marLeft w:val="0"/>
          <w:marRight w:val="0"/>
          <w:marTop w:val="0"/>
          <w:marBottom w:val="0"/>
          <w:divBdr>
            <w:top w:val="none" w:sz="0" w:space="0" w:color="auto"/>
            <w:left w:val="none" w:sz="0" w:space="0" w:color="auto"/>
            <w:bottom w:val="none" w:sz="0" w:space="0" w:color="auto"/>
            <w:right w:val="none" w:sz="0" w:space="0" w:color="auto"/>
          </w:divBdr>
        </w:div>
        <w:div w:id="1588659468">
          <w:marLeft w:val="0"/>
          <w:marRight w:val="0"/>
          <w:marTop w:val="0"/>
          <w:marBottom w:val="0"/>
          <w:divBdr>
            <w:top w:val="none" w:sz="0" w:space="0" w:color="auto"/>
            <w:left w:val="none" w:sz="0" w:space="0" w:color="auto"/>
            <w:bottom w:val="none" w:sz="0" w:space="0" w:color="auto"/>
            <w:right w:val="none" w:sz="0" w:space="0" w:color="auto"/>
          </w:divBdr>
        </w:div>
        <w:div w:id="543179350">
          <w:marLeft w:val="0"/>
          <w:marRight w:val="0"/>
          <w:marTop w:val="0"/>
          <w:marBottom w:val="0"/>
          <w:divBdr>
            <w:top w:val="none" w:sz="0" w:space="0" w:color="auto"/>
            <w:left w:val="none" w:sz="0" w:space="0" w:color="auto"/>
            <w:bottom w:val="none" w:sz="0" w:space="0" w:color="auto"/>
            <w:right w:val="none" w:sz="0" w:space="0" w:color="auto"/>
          </w:divBdr>
        </w:div>
        <w:div w:id="1872646201">
          <w:marLeft w:val="0"/>
          <w:marRight w:val="0"/>
          <w:marTop w:val="0"/>
          <w:marBottom w:val="0"/>
          <w:divBdr>
            <w:top w:val="none" w:sz="0" w:space="0" w:color="auto"/>
            <w:left w:val="none" w:sz="0" w:space="0" w:color="auto"/>
            <w:bottom w:val="none" w:sz="0" w:space="0" w:color="auto"/>
            <w:right w:val="none" w:sz="0" w:space="0" w:color="auto"/>
          </w:divBdr>
        </w:div>
        <w:div w:id="1013922046">
          <w:marLeft w:val="0"/>
          <w:marRight w:val="0"/>
          <w:marTop w:val="0"/>
          <w:marBottom w:val="0"/>
          <w:divBdr>
            <w:top w:val="none" w:sz="0" w:space="0" w:color="auto"/>
            <w:left w:val="none" w:sz="0" w:space="0" w:color="auto"/>
            <w:bottom w:val="none" w:sz="0" w:space="0" w:color="auto"/>
            <w:right w:val="none" w:sz="0" w:space="0" w:color="auto"/>
          </w:divBdr>
        </w:div>
        <w:div w:id="2038776642">
          <w:marLeft w:val="0"/>
          <w:marRight w:val="0"/>
          <w:marTop w:val="0"/>
          <w:marBottom w:val="0"/>
          <w:divBdr>
            <w:top w:val="none" w:sz="0" w:space="0" w:color="auto"/>
            <w:left w:val="none" w:sz="0" w:space="0" w:color="auto"/>
            <w:bottom w:val="none" w:sz="0" w:space="0" w:color="auto"/>
            <w:right w:val="none" w:sz="0" w:space="0" w:color="auto"/>
          </w:divBdr>
        </w:div>
        <w:div w:id="1051610909">
          <w:marLeft w:val="0"/>
          <w:marRight w:val="0"/>
          <w:marTop w:val="0"/>
          <w:marBottom w:val="0"/>
          <w:divBdr>
            <w:top w:val="none" w:sz="0" w:space="0" w:color="auto"/>
            <w:left w:val="none" w:sz="0" w:space="0" w:color="auto"/>
            <w:bottom w:val="none" w:sz="0" w:space="0" w:color="auto"/>
            <w:right w:val="none" w:sz="0" w:space="0" w:color="auto"/>
          </w:divBdr>
        </w:div>
        <w:div w:id="425930706">
          <w:marLeft w:val="0"/>
          <w:marRight w:val="0"/>
          <w:marTop w:val="0"/>
          <w:marBottom w:val="0"/>
          <w:divBdr>
            <w:top w:val="none" w:sz="0" w:space="0" w:color="auto"/>
            <w:left w:val="none" w:sz="0" w:space="0" w:color="auto"/>
            <w:bottom w:val="none" w:sz="0" w:space="0" w:color="auto"/>
            <w:right w:val="none" w:sz="0" w:space="0" w:color="auto"/>
          </w:divBdr>
        </w:div>
        <w:div w:id="881475649">
          <w:marLeft w:val="0"/>
          <w:marRight w:val="0"/>
          <w:marTop w:val="0"/>
          <w:marBottom w:val="0"/>
          <w:divBdr>
            <w:top w:val="none" w:sz="0" w:space="0" w:color="auto"/>
            <w:left w:val="none" w:sz="0" w:space="0" w:color="auto"/>
            <w:bottom w:val="none" w:sz="0" w:space="0" w:color="auto"/>
            <w:right w:val="none" w:sz="0" w:space="0" w:color="auto"/>
          </w:divBdr>
        </w:div>
        <w:div w:id="421419873">
          <w:marLeft w:val="0"/>
          <w:marRight w:val="0"/>
          <w:marTop w:val="0"/>
          <w:marBottom w:val="0"/>
          <w:divBdr>
            <w:top w:val="none" w:sz="0" w:space="0" w:color="auto"/>
            <w:left w:val="none" w:sz="0" w:space="0" w:color="auto"/>
            <w:bottom w:val="none" w:sz="0" w:space="0" w:color="auto"/>
            <w:right w:val="none" w:sz="0" w:space="0" w:color="auto"/>
          </w:divBdr>
        </w:div>
        <w:div w:id="1116872577">
          <w:marLeft w:val="0"/>
          <w:marRight w:val="0"/>
          <w:marTop w:val="0"/>
          <w:marBottom w:val="0"/>
          <w:divBdr>
            <w:top w:val="none" w:sz="0" w:space="0" w:color="auto"/>
            <w:left w:val="none" w:sz="0" w:space="0" w:color="auto"/>
            <w:bottom w:val="none" w:sz="0" w:space="0" w:color="auto"/>
            <w:right w:val="none" w:sz="0" w:space="0" w:color="auto"/>
          </w:divBdr>
        </w:div>
        <w:div w:id="471873907">
          <w:marLeft w:val="0"/>
          <w:marRight w:val="0"/>
          <w:marTop w:val="0"/>
          <w:marBottom w:val="0"/>
          <w:divBdr>
            <w:top w:val="none" w:sz="0" w:space="0" w:color="auto"/>
            <w:left w:val="none" w:sz="0" w:space="0" w:color="auto"/>
            <w:bottom w:val="none" w:sz="0" w:space="0" w:color="auto"/>
            <w:right w:val="none" w:sz="0" w:space="0" w:color="auto"/>
          </w:divBdr>
        </w:div>
        <w:div w:id="1791045383">
          <w:marLeft w:val="0"/>
          <w:marRight w:val="0"/>
          <w:marTop w:val="0"/>
          <w:marBottom w:val="0"/>
          <w:divBdr>
            <w:top w:val="none" w:sz="0" w:space="0" w:color="auto"/>
            <w:left w:val="none" w:sz="0" w:space="0" w:color="auto"/>
            <w:bottom w:val="none" w:sz="0" w:space="0" w:color="auto"/>
            <w:right w:val="none" w:sz="0" w:space="0" w:color="auto"/>
          </w:divBdr>
        </w:div>
        <w:div w:id="1005354754">
          <w:marLeft w:val="0"/>
          <w:marRight w:val="0"/>
          <w:marTop w:val="0"/>
          <w:marBottom w:val="0"/>
          <w:divBdr>
            <w:top w:val="none" w:sz="0" w:space="0" w:color="auto"/>
            <w:left w:val="none" w:sz="0" w:space="0" w:color="auto"/>
            <w:bottom w:val="none" w:sz="0" w:space="0" w:color="auto"/>
            <w:right w:val="none" w:sz="0" w:space="0" w:color="auto"/>
          </w:divBdr>
        </w:div>
        <w:div w:id="811214007">
          <w:marLeft w:val="0"/>
          <w:marRight w:val="0"/>
          <w:marTop w:val="0"/>
          <w:marBottom w:val="0"/>
          <w:divBdr>
            <w:top w:val="none" w:sz="0" w:space="0" w:color="auto"/>
            <w:left w:val="none" w:sz="0" w:space="0" w:color="auto"/>
            <w:bottom w:val="none" w:sz="0" w:space="0" w:color="auto"/>
            <w:right w:val="none" w:sz="0" w:space="0" w:color="auto"/>
          </w:divBdr>
        </w:div>
        <w:div w:id="436684696">
          <w:marLeft w:val="0"/>
          <w:marRight w:val="0"/>
          <w:marTop w:val="0"/>
          <w:marBottom w:val="0"/>
          <w:divBdr>
            <w:top w:val="none" w:sz="0" w:space="0" w:color="auto"/>
            <w:left w:val="none" w:sz="0" w:space="0" w:color="auto"/>
            <w:bottom w:val="none" w:sz="0" w:space="0" w:color="auto"/>
            <w:right w:val="none" w:sz="0" w:space="0" w:color="auto"/>
          </w:divBdr>
        </w:div>
        <w:div w:id="873007051">
          <w:marLeft w:val="0"/>
          <w:marRight w:val="0"/>
          <w:marTop w:val="0"/>
          <w:marBottom w:val="0"/>
          <w:divBdr>
            <w:top w:val="none" w:sz="0" w:space="0" w:color="auto"/>
            <w:left w:val="none" w:sz="0" w:space="0" w:color="auto"/>
            <w:bottom w:val="none" w:sz="0" w:space="0" w:color="auto"/>
            <w:right w:val="none" w:sz="0" w:space="0" w:color="auto"/>
          </w:divBdr>
        </w:div>
        <w:div w:id="703023073">
          <w:marLeft w:val="0"/>
          <w:marRight w:val="0"/>
          <w:marTop w:val="0"/>
          <w:marBottom w:val="0"/>
          <w:divBdr>
            <w:top w:val="none" w:sz="0" w:space="0" w:color="auto"/>
            <w:left w:val="none" w:sz="0" w:space="0" w:color="auto"/>
            <w:bottom w:val="none" w:sz="0" w:space="0" w:color="auto"/>
            <w:right w:val="none" w:sz="0" w:space="0" w:color="auto"/>
          </w:divBdr>
        </w:div>
        <w:div w:id="983505577">
          <w:marLeft w:val="0"/>
          <w:marRight w:val="0"/>
          <w:marTop w:val="0"/>
          <w:marBottom w:val="0"/>
          <w:divBdr>
            <w:top w:val="none" w:sz="0" w:space="0" w:color="auto"/>
            <w:left w:val="none" w:sz="0" w:space="0" w:color="auto"/>
            <w:bottom w:val="none" w:sz="0" w:space="0" w:color="auto"/>
            <w:right w:val="none" w:sz="0" w:space="0" w:color="auto"/>
          </w:divBdr>
        </w:div>
        <w:div w:id="1603949795">
          <w:marLeft w:val="0"/>
          <w:marRight w:val="0"/>
          <w:marTop w:val="0"/>
          <w:marBottom w:val="0"/>
          <w:divBdr>
            <w:top w:val="none" w:sz="0" w:space="0" w:color="auto"/>
            <w:left w:val="none" w:sz="0" w:space="0" w:color="auto"/>
            <w:bottom w:val="none" w:sz="0" w:space="0" w:color="auto"/>
            <w:right w:val="none" w:sz="0" w:space="0" w:color="auto"/>
          </w:divBdr>
        </w:div>
        <w:div w:id="584992071">
          <w:marLeft w:val="0"/>
          <w:marRight w:val="0"/>
          <w:marTop w:val="0"/>
          <w:marBottom w:val="0"/>
          <w:divBdr>
            <w:top w:val="none" w:sz="0" w:space="0" w:color="auto"/>
            <w:left w:val="none" w:sz="0" w:space="0" w:color="auto"/>
            <w:bottom w:val="none" w:sz="0" w:space="0" w:color="auto"/>
            <w:right w:val="none" w:sz="0" w:space="0" w:color="auto"/>
          </w:divBdr>
        </w:div>
        <w:div w:id="1649818623">
          <w:marLeft w:val="0"/>
          <w:marRight w:val="0"/>
          <w:marTop w:val="0"/>
          <w:marBottom w:val="0"/>
          <w:divBdr>
            <w:top w:val="none" w:sz="0" w:space="0" w:color="auto"/>
            <w:left w:val="none" w:sz="0" w:space="0" w:color="auto"/>
            <w:bottom w:val="none" w:sz="0" w:space="0" w:color="auto"/>
            <w:right w:val="none" w:sz="0" w:space="0" w:color="auto"/>
          </w:divBdr>
        </w:div>
        <w:div w:id="937061853">
          <w:marLeft w:val="0"/>
          <w:marRight w:val="0"/>
          <w:marTop w:val="0"/>
          <w:marBottom w:val="0"/>
          <w:divBdr>
            <w:top w:val="none" w:sz="0" w:space="0" w:color="auto"/>
            <w:left w:val="none" w:sz="0" w:space="0" w:color="auto"/>
            <w:bottom w:val="none" w:sz="0" w:space="0" w:color="auto"/>
            <w:right w:val="none" w:sz="0" w:space="0" w:color="auto"/>
          </w:divBdr>
        </w:div>
        <w:div w:id="472715899">
          <w:marLeft w:val="0"/>
          <w:marRight w:val="0"/>
          <w:marTop w:val="0"/>
          <w:marBottom w:val="0"/>
          <w:divBdr>
            <w:top w:val="none" w:sz="0" w:space="0" w:color="auto"/>
            <w:left w:val="none" w:sz="0" w:space="0" w:color="auto"/>
            <w:bottom w:val="none" w:sz="0" w:space="0" w:color="auto"/>
            <w:right w:val="none" w:sz="0" w:space="0" w:color="auto"/>
          </w:divBdr>
        </w:div>
        <w:div w:id="291713184">
          <w:marLeft w:val="0"/>
          <w:marRight w:val="0"/>
          <w:marTop w:val="0"/>
          <w:marBottom w:val="0"/>
          <w:divBdr>
            <w:top w:val="none" w:sz="0" w:space="0" w:color="auto"/>
            <w:left w:val="none" w:sz="0" w:space="0" w:color="auto"/>
            <w:bottom w:val="none" w:sz="0" w:space="0" w:color="auto"/>
            <w:right w:val="none" w:sz="0" w:space="0" w:color="auto"/>
          </w:divBdr>
        </w:div>
        <w:div w:id="311326209">
          <w:marLeft w:val="0"/>
          <w:marRight w:val="0"/>
          <w:marTop w:val="0"/>
          <w:marBottom w:val="0"/>
          <w:divBdr>
            <w:top w:val="none" w:sz="0" w:space="0" w:color="auto"/>
            <w:left w:val="none" w:sz="0" w:space="0" w:color="auto"/>
            <w:bottom w:val="none" w:sz="0" w:space="0" w:color="auto"/>
            <w:right w:val="none" w:sz="0" w:space="0" w:color="auto"/>
          </w:divBdr>
        </w:div>
        <w:div w:id="950091850">
          <w:marLeft w:val="0"/>
          <w:marRight w:val="0"/>
          <w:marTop w:val="0"/>
          <w:marBottom w:val="0"/>
          <w:divBdr>
            <w:top w:val="none" w:sz="0" w:space="0" w:color="auto"/>
            <w:left w:val="none" w:sz="0" w:space="0" w:color="auto"/>
            <w:bottom w:val="none" w:sz="0" w:space="0" w:color="auto"/>
            <w:right w:val="none" w:sz="0" w:space="0" w:color="auto"/>
          </w:divBdr>
        </w:div>
        <w:div w:id="1943612146">
          <w:marLeft w:val="0"/>
          <w:marRight w:val="0"/>
          <w:marTop w:val="0"/>
          <w:marBottom w:val="0"/>
          <w:divBdr>
            <w:top w:val="none" w:sz="0" w:space="0" w:color="auto"/>
            <w:left w:val="none" w:sz="0" w:space="0" w:color="auto"/>
            <w:bottom w:val="none" w:sz="0" w:space="0" w:color="auto"/>
            <w:right w:val="none" w:sz="0" w:space="0" w:color="auto"/>
          </w:divBdr>
        </w:div>
        <w:div w:id="352265571">
          <w:marLeft w:val="0"/>
          <w:marRight w:val="0"/>
          <w:marTop w:val="0"/>
          <w:marBottom w:val="0"/>
          <w:divBdr>
            <w:top w:val="none" w:sz="0" w:space="0" w:color="auto"/>
            <w:left w:val="none" w:sz="0" w:space="0" w:color="auto"/>
            <w:bottom w:val="none" w:sz="0" w:space="0" w:color="auto"/>
            <w:right w:val="none" w:sz="0" w:space="0" w:color="auto"/>
          </w:divBdr>
        </w:div>
        <w:div w:id="1551842724">
          <w:marLeft w:val="0"/>
          <w:marRight w:val="0"/>
          <w:marTop w:val="0"/>
          <w:marBottom w:val="0"/>
          <w:divBdr>
            <w:top w:val="none" w:sz="0" w:space="0" w:color="auto"/>
            <w:left w:val="none" w:sz="0" w:space="0" w:color="auto"/>
            <w:bottom w:val="none" w:sz="0" w:space="0" w:color="auto"/>
            <w:right w:val="none" w:sz="0" w:space="0" w:color="auto"/>
          </w:divBdr>
        </w:div>
        <w:div w:id="1215502123">
          <w:marLeft w:val="0"/>
          <w:marRight w:val="0"/>
          <w:marTop w:val="0"/>
          <w:marBottom w:val="0"/>
          <w:divBdr>
            <w:top w:val="none" w:sz="0" w:space="0" w:color="auto"/>
            <w:left w:val="none" w:sz="0" w:space="0" w:color="auto"/>
            <w:bottom w:val="none" w:sz="0" w:space="0" w:color="auto"/>
            <w:right w:val="none" w:sz="0" w:space="0" w:color="auto"/>
          </w:divBdr>
        </w:div>
        <w:div w:id="1569146399">
          <w:marLeft w:val="0"/>
          <w:marRight w:val="0"/>
          <w:marTop w:val="0"/>
          <w:marBottom w:val="0"/>
          <w:divBdr>
            <w:top w:val="none" w:sz="0" w:space="0" w:color="auto"/>
            <w:left w:val="none" w:sz="0" w:space="0" w:color="auto"/>
            <w:bottom w:val="none" w:sz="0" w:space="0" w:color="auto"/>
            <w:right w:val="none" w:sz="0" w:space="0" w:color="auto"/>
          </w:divBdr>
        </w:div>
        <w:div w:id="1598171905">
          <w:marLeft w:val="0"/>
          <w:marRight w:val="0"/>
          <w:marTop w:val="0"/>
          <w:marBottom w:val="0"/>
          <w:divBdr>
            <w:top w:val="none" w:sz="0" w:space="0" w:color="auto"/>
            <w:left w:val="none" w:sz="0" w:space="0" w:color="auto"/>
            <w:bottom w:val="none" w:sz="0" w:space="0" w:color="auto"/>
            <w:right w:val="none" w:sz="0" w:space="0" w:color="auto"/>
          </w:divBdr>
        </w:div>
        <w:div w:id="1816676033">
          <w:marLeft w:val="0"/>
          <w:marRight w:val="0"/>
          <w:marTop w:val="0"/>
          <w:marBottom w:val="0"/>
          <w:divBdr>
            <w:top w:val="none" w:sz="0" w:space="0" w:color="auto"/>
            <w:left w:val="none" w:sz="0" w:space="0" w:color="auto"/>
            <w:bottom w:val="none" w:sz="0" w:space="0" w:color="auto"/>
            <w:right w:val="none" w:sz="0" w:space="0" w:color="auto"/>
          </w:divBdr>
        </w:div>
        <w:div w:id="2010863258">
          <w:marLeft w:val="0"/>
          <w:marRight w:val="0"/>
          <w:marTop w:val="0"/>
          <w:marBottom w:val="0"/>
          <w:divBdr>
            <w:top w:val="none" w:sz="0" w:space="0" w:color="auto"/>
            <w:left w:val="none" w:sz="0" w:space="0" w:color="auto"/>
            <w:bottom w:val="none" w:sz="0" w:space="0" w:color="auto"/>
            <w:right w:val="none" w:sz="0" w:space="0" w:color="auto"/>
          </w:divBdr>
        </w:div>
        <w:div w:id="1692104085">
          <w:marLeft w:val="0"/>
          <w:marRight w:val="0"/>
          <w:marTop w:val="0"/>
          <w:marBottom w:val="0"/>
          <w:divBdr>
            <w:top w:val="none" w:sz="0" w:space="0" w:color="auto"/>
            <w:left w:val="none" w:sz="0" w:space="0" w:color="auto"/>
            <w:bottom w:val="none" w:sz="0" w:space="0" w:color="auto"/>
            <w:right w:val="none" w:sz="0" w:space="0" w:color="auto"/>
          </w:divBdr>
        </w:div>
        <w:div w:id="2013144614">
          <w:marLeft w:val="0"/>
          <w:marRight w:val="0"/>
          <w:marTop w:val="0"/>
          <w:marBottom w:val="0"/>
          <w:divBdr>
            <w:top w:val="none" w:sz="0" w:space="0" w:color="auto"/>
            <w:left w:val="none" w:sz="0" w:space="0" w:color="auto"/>
            <w:bottom w:val="none" w:sz="0" w:space="0" w:color="auto"/>
            <w:right w:val="none" w:sz="0" w:space="0" w:color="auto"/>
          </w:divBdr>
        </w:div>
        <w:div w:id="129445089">
          <w:marLeft w:val="0"/>
          <w:marRight w:val="0"/>
          <w:marTop w:val="0"/>
          <w:marBottom w:val="0"/>
          <w:divBdr>
            <w:top w:val="none" w:sz="0" w:space="0" w:color="auto"/>
            <w:left w:val="none" w:sz="0" w:space="0" w:color="auto"/>
            <w:bottom w:val="none" w:sz="0" w:space="0" w:color="auto"/>
            <w:right w:val="none" w:sz="0" w:space="0" w:color="auto"/>
          </w:divBdr>
        </w:div>
        <w:div w:id="1035156046">
          <w:marLeft w:val="0"/>
          <w:marRight w:val="0"/>
          <w:marTop w:val="0"/>
          <w:marBottom w:val="0"/>
          <w:divBdr>
            <w:top w:val="none" w:sz="0" w:space="0" w:color="auto"/>
            <w:left w:val="none" w:sz="0" w:space="0" w:color="auto"/>
            <w:bottom w:val="none" w:sz="0" w:space="0" w:color="auto"/>
            <w:right w:val="none" w:sz="0" w:space="0" w:color="auto"/>
          </w:divBdr>
        </w:div>
        <w:div w:id="1410691085">
          <w:marLeft w:val="0"/>
          <w:marRight w:val="0"/>
          <w:marTop w:val="0"/>
          <w:marBottom w:val="0"/>
          <w:divBdr>
            <w:top w:val="none" w:sz="0" w:space="0" w:color="auto"/>
            <w:left w:val="none" w:sz="0" w:space="0" w:color="auto"/>
            <w:bottom w:val="none" w:sz="0" w:space="0" w:color="auto"/>
            <w:right w:val="none" w:sz="0" w:space="0" w:color="auto"/>
          </w:divBdr>
        </w:div>
        <w:div w:id="152189810">
          <w:marLeft w:val="0"/>
          <w:marRight w:val="0"/>
          <w:marTop w:val="0"/>
          <w:marBottom w:val="0"/>
          <w:divBdr>
            <w:top w:val="none" w:sz="0" w:space="0" w:color="auto"/>
            <w:left w:val="none" w:sz="0" w:space="0" w:color="auto"/>
            <w:bottom w:val="none" w:sz="0" w:space="0" w:color="auto"/>
            <w:right w:val="none" w:sz="0" w:space="0" w:color="auto"/>
          </w:divBdr>
        </w:div>
        <w:div w:id="1240410260">
          <w:marLeft w:val="0"/>
          <w:marRight w:val="0"/>
          <w:marTop w:val="0"/>
          <w:marBottom w:val="0"/>
          <w:divBdr>
            <w:top w:val="none" w:sz="0" w:space="0" w:color="auto"/>
            <w:left w:val="none" w:sz="0" w:space="0" w:color="auto"/>
            <w:bottom w:val="none" w:sz="0" w:space="0" w:color="auto"/>
            <w:right w:val="none" w:sz="0" w:space="0" w:color="auto"/>
          </w:divBdr>
        </w:div>
        <w:div w:id="1518345344">
          <w:marLeft w:val="0"/>
          <w:marRight w:val="0"/>
          <w:marTop w:val="0"/>
          <w:marBottom w:val="0"/>
          <w:divBdr>
            <w:top w:val="none" w:sz="0" w:space="0" w:color="auto"/>
            <w:left w:val="none" w:sz="0" w:space="0" w:color="auto"/>
            <w:bottom w:val="none" w:sz="0" w:space="0" w:color="auto"/>
            <w:right w:val="none" w:sz="0" w:space="0" w:color="auto"/>
          </w:divBdr>
        </w:div>
        <w:div w:id="1900089904">
          <w:marLeft w:val="0"/>
          <w:marRight w:val="0"/>
          <w:marTop w:val="0"/>
          <w:marBottom w:val="0"/>
          <w:divBdr>
            <w:top w:val="none" w:sz="0" w:space="0" w:color="auto"/>
            <w:left w:val="none" w:sz="0" w:space="0" w:color="auto"/>
            <w:bottom w:val="none" w:sz="0" w:space="0" w:color="auto"/>
            <w:right w:val="none" w:sz="0" w:space="0" w:color="auto"/>
          </w:divBdr>
        </w:div>
        <w:div w:id="140276623">
          <w:marLeft w:val="0"/>
          <w:marRight w:val="0"/>
          <w:marTop w:val="0"/>
          <w:marBottom w:val="0"/>
          <w:divBdr>
            <w:top w:val="none" w:sz="0" w:space="0" w:color="auto"/>
            <w:left w:val="none" w:sz="0" w:space="0" w:color="auto"/>
            <w:bottom w:val="none" w:sz="0" w:space="0" w:color="auto"/>
            <w:right w:val="none" w:sz="0" w:space="0" w:color="auto"/>
          </w:divBdr>
        </w:div>
        <w:div w:id="1387290414">
          <w:marLeft w:val="0"/>
          <w:marRight w:val="0"/>
          <w:marTop w:val="0"/>
          <w:marBottom w:val="0"/>
          <w:divBdr>
            <w:top w:val="none" w:sz="0" w:space="0" w:color="auto"/>
            <w:left w:val="none" w:sz="0" w:space="0" w:color="auto"/>
            <w:bottom w:val="none" w:sz="0" w:space="0" w:color="auto"/>
            <w:right w:val="none" w:sz="0" w:space="0" w:color="auto"/>
          </w:divBdr>
        </w:div>
        <w:div w:id="94791323">
          <w:marLeft w:val="0"/>
          <w:marRight w:val="0"/>
          <w:marTop w:val="0"/>
          <w:marBottom w:val="0"/>
          <w:divBdr>
            <w:top w:val="none" w:sz="0" w:space="0" w:color="auto"/>
            <w:left w:val="none" w:sz="0" w:space="0" w:color="auto"/>
            <w:bottom w:val="none" w:sz="0" w:space="0" w:color="auto"/>
            <w:right w:val="none" w:sz="0" w:space="0" w:color="auto"/>
          </w:divBdr>
        </w:div>
        <w:div w:id="2018462765">
          <w:marLeft w:val="0"/>
          <w:marRight w:val="0"/>
          <w:marTop w:val="0"/>
          <w:marBottom w:val="0"/>
          <w:divBdr>
            <w:top w:val="none" w:sz="0" w:space="0" w:color="auto"/>
            <w:left w:val="none" w:sz="0" w:space="0" w:color="auto"/>
            <w:bottom w:val="none" w:sz="0" w:space="0" w:color="auto"/>
            <w:right w:val="none" w:sz="0" w:space="0" w:color="auto"/>
          </w:divBdr>
        </w:div>
        <w:div w:id="135149539">
          <w:marLeft w:val="0"/>
          <w:marRight w:val="0"/>
          <w:marTop w:val="0"/>
          <w:marBottom w:val="0"/>
          <w:divBdr>
            <w:top w:val="none" w:sz="0" w:space="0" w:color="auto"/>
            <w:left w:val="none" w:sz="0" w:space="0" w:color="auto"/>
            <w:bottom w:val="none" w:sz="0" w:space="0" w:color="auto"/>
            <w:right w:val="none" w:sz="0" w:space="0" w:color="auto"/>
          </w:divBdr>
        </w:div>
        <w:div w:id="451751390">
          <w:marLeft w:val="0"/>
          <w:marRight w:val="0"/>
          <w:marTop w:val="0"/>
          <w:marBottom w:val="0"/>
          <w:divBdr>
            <w:top w:val="none" w:sz="0" w:space="0" w:color="auto"/>
            <w:left w:val="none" w:sz="0" w:space="0" w:color="auto"/>
            <w:bottom w:val="none" w:sz="0" w:space="0" w:color="auto"/>
            <w:right w:val="none" w:sz="0" w:space="0" w:color="auto"/>
          </w:divBdr>
        </w:div>
        <w:div w:id="849101382">
          <w:marLeft w:val="0"/>
          <w:marRight w:val="0"/>
          <w:marTop w:val="0"/>
          <w:marBottom w:val="0"/>
          <w:divBdr>
            <w:top w:val="none" w:sz="0" w:space="0" w:color="auto"/>
            <w:left w:val="none" w:sz="0" w:space="0" w:color="auto"/>
            <w:bottom w:val="none" w:sz="0" w:space="0" w:color="auto"/>
            <w:right w:val="none" w:sz="0" w:space="0" w:color="auto"/>
          </w:divBdr>
        </w:div>
        <w:div w:id="88016021">
          <w:marLeft w:val="0"/>
          <w:marRight w:val="0"/>
          <w:marTop w:val="0"/>
          <w:marBottom w:val="0"/>
          <w:divBdr>
            <w:top w:val="none" w:sz="0" w:space="0" w:color="auto"/>
            <w:left w:val="none" w:sz="0" w:space="0" w:color="auto"/>
            <w:bottom w:val="none" w:sz="0" w:space="0" w:color="auto"/>
            <w:right w:val="none" w:sz="0" w:space="0" w:color="auto"/>
          </w:divBdr>
        </w:div>
        <w:div w:id="1503928820">
          <w:marLeft w:val="0"/>
          <w:marRight w:val="0"/>
          <w:marTop w:val="0"/>
          <w:marBottom w:val="0"/>
          <w:divBdr>
            <w:top w:val="none" w:sz="0" w:space="0" w:color="auto"/>
            <w:left w:val="none" w:sz="0" w:space="0" w:color="auto"/>
            <w:bottom w:val="none" w:sz="0" w:space="0" w:color="auto"/>
            <w:right w:val="none" w:sz="0" w:space="0" w:color="auto"/>
          </w:divBdr>
        </w:div>
        <w:div w:id="765735512">
          <w:marLeft w:val="0"/>
          <w:marRight w:val="0"/>
          <w:marTop w:val="0"/>
          <w:marBottom w:val="0"/>
          <w:divBdr>
            <w:top w:val="none" w:sz="0" w:space="0" w:color="auto"/>
            <w:left w:val="none" w:sz="0" w:space="0" w:color="auto"/>
            <w:bottom w:val="none" w:sz="0" w:space="0" w:color="auto"/>
            <w:right w:val="none" w:sz="0" w:space="0" w:color="auto"/>
          </w:divBdr>
        </w:div>
      </w:divsChild>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59326429">
      <w:bodyDiv w:val="1"/>
      <w:marLeft w:val="0"/>
      <w:marRight w:val="0"/>
      <w:marTop w:val="0"/>
      <w:marBottom w:val="0"/>
      <w:divBdr>
        <w:top w:val="none" w:sz="0" w:space="0" w:color="auto"/>
        <w:left w:val="none" w:sz="0" w:space="0" w:color="auto"/>
        <w:bottom w:val="none" w:sz="0" w:space="0" w:color="auto"/>
        <w:right w:val="none" w:sz="0" w:space="0" w:color="auto"/>
      </w:divBdr>
      <w:divsChild>
        <w:div w:id="830019919">
          <w:marLeft w:val="0"/>
          <w:marRight w:val="0"/>
          <w:marTop w:val="0"/>
          <w:marBottom w:val="0"/>
          <w:divBdr>
            <w:top w:val="none" w:sz="0" w:space="0" w:color="auto"/>
            <w:left w:val="none" w:sz="0" w:space="0" w:color="auto"/>
            <w:bottom w:val="none" w:sz="0" w:space="0" w:color="auto"/>
            <w:right w:val="none" w:sz="0" w:space="0" w:color="auto"/>
          </w:divBdr>
        </w:div>
        <w:div w:id="2113163154">
          <w:marLeft w:val="0"/>
          <w:marRight w:val="0"/>
          <w:marTop w:val="0"/>
          <w:marBottom w:val="0"/>
          <w:divBdr>
            <w:top w:val="none" w:sz="0" w:space="0" w:color="auto"/>
            <w:left w:val="none" w:sz="0" w:space="0" w:color="auto"/>
            <w:bottom w:val="none" w:sz="0" w:space="0" w:color="auto"/>
            <w:right w:val="none" w:sz="0" w:space="0" w:color="auto"/>
          </w:divBdr>
        </w:div>
        <w:div w:id="648635724">
          <w:marLeft w:val="0"/>
          <w:marRight w:val="0"/>
          <w:marTop w:val="0"/>
          <w:marBottom w:val="0"/>
          <w:divBdr>
            <w:top w:val="none" w:sz="0" w:space="0" w:color="auto"/>
            <w:left w:val="none" w:sz="0" w:space="0" w:color="auto"/>
            <w:bottom w:val="none" w:sz="0" w:space="0" w:color="auto"/>
            <w:right w:val="none" w:sz="0" w:space="0" w:color="auto"/>
          </w:divBdr>
        </w:div>
        <w:div w:id="782043891">
          <w:marLeft w:val="0"/>
          <w:marRight w:val="0"/>
          <w:marTop w:val="0"/>
          <w:marBottom w:val="0"/>
          <w:divBdr>
            <w:top w:val="none" w:sz="0" w:space="0" w:color="auto"/>
            <w:left w:val="none" w:sz="0" w:space="0" w:color="auto"/>
            <w:bottom w:val="none" w:sz="0" w:space="0" w:color="auto"/>
            <w:right w:val="none" w:sz="0" w:space="0" w:color="auto"/>
          </w:divBdr>
        </w:div>
        <w:div w:id="107167008">
          <w:marLeft w:val="0"/>
          <w:marRight w:val="0"/>
          <w:marTop w:val="0"/>
          <w:marBottom w:val="0"/>
          <w:divBdr>
            <w:top w:val="none" w:sz="0" w:space="0" w:color="auto"/>
            <w:left w:val="none" w:sz="0" w:space="0" w:color="auto"/>
            <w:bottom w:val="none" w:sz="0" w:space="0" w:color="auto"/>
            <w:right w:val="none" w:sz="0" w:space="0" w:color="auto"/>
          </w:divBdr>
        </w:div>
        <w:div w:id="2138057975">
          <w:marLeft w:val="0"/>
          <w:marRight w:val="0"/>
          <w:marTop w:val="0"/>
          <w:marBottom w:val="0"/>
          <w:divBdr>
            <w:top w:val="none" w:sz="0" w:space="0" w:color="auto"/>
            <w:left w:val="none" w:sz="0" w:space="0" w:color="auto"/>
            <w:bottom w:val="none" w:sz="0" w:space="0" w:color="auto"/>
            <w:right w:val="none" w:sz="0" w:space="0" w:color="auto"/>
          </w:divBdr>
        </w:div>
        <w:div w:id="195437498">
          <w:marLeft w:val="0"/>
          <w:marRight w:val="0"/>
          <w:marTop w:val="0"/>
          <w:marBottom w:val="0"/>
          <w:divBdr>
            <w:top w:val="none" w:sz="0" w:space="0" w:color="auto"/>
            <w:left w:val="none" w:sz="0" w:space="0" w:color="auto"/>
            <w:bottom w:val="none" w:sz="0" w:space="0" w:color="auto"/>
            <w:right w:val="none" w:sz="0" w:space="0" w:color="auto"/>
          </w:divBdr>
        </w:div>
        <w:div w:id="676350938">
          <w:marLeft w:val="0"/>
          <w:marRight w:val="0"/>
          <w:marTop w:val="0"/>
          <w:marBottom w:val="0"/>
          <w:divBdr>
            <w:top w:val="none" w:sz="0" w:space="0" w:color="auto"/>
            <w:left w:val="none" w:sz="0" w:space="0" w:color="auto"/>
            <w:bottom w:val="none" w:sz="0" w:space="0" w:color="auto"/>
            <w:right w:val="none" w:sz="0" w:space="0" w:color="auto"/>
          </w:divBdr>
        </w:div>
        <w:div w:id="50619196">
          <w:marLeft w:val="0"/>
          <w:marRight w:val="0"/>
          <w:marTop w:val="0"/>
          <w:marBottom w:val="0"/>
          <w:divBdr>
            <w:top w:val="none" w:sz="0" w:space="0" w:color="auto"/>
            <w:left w:val="none" w:sz="0" w:space="0" w:color="auto"/>
            <w:bottom w:val="none" w:sz="0" w:space="0" w:color="auto"/>
            <w:right w:val="none" w:sz="0" w:space="0" w:color="auto"/>
          </w:divBdr>
        </w:div>
        <w:div w:id="322856455">
          <w:marLeft w:val="0"/>
          <w:marRight w:val="0"/>
          <w:marTop w:val="0"/>
          <w:marBottom w:val="0"/>
          <w:divBdr>
            <w:top w:val="none" w:sz="0" w:space="0" w:color="auto"/>
            <w:left w:val="none" w:sz="0" w:space="0" w:color="auto"/>
            <w:bottom w:val="none" w:sz="0" w:space="0" w:color="auto"/>
            <w:right w:val="none" w:sz="0" w:space="0" w:color="auto"/>
          </w:divBdr>
        </w:div>
        <w:div w:id="1167867609">
          <w:marLeft w:val="0"/>
          <w:marRight w:val="0"/>
          <w:marTop w:val="0"/>
          <w:marBottom w:val="0"/>
          <w:divBdr>
            <w:top w:val="none" w:sz="0" w:space="0" w:color="auto"/>
            <w:left w:val="none" w:sz="0" w:space="0" w:color="auto"/>
            <w:bottom w:val="none" w:sz="0" w:space="0" w:color="auto"/>
            <w:right w:val="none" w:sz="0" w:space="0" w:color="auto"/>
          </w:divBdr>
        </w:div>
        <w:div w:id="894196330">
          <w:marLeft w:val="0"/>
          <w:marRight w:val="0"/>
          <w:marTop w:val="0"/>
          <w:marBottom w:val="0"/>
          <w:divBdr>
            <w:top w:val="none" w:sz="0" w:space="0" w:color="auto"/>
            <w:left w:val="none" w:sz="0" w:space="0" w:color="auto"/>
            <w:bottom w:val="none" w:sz="0" w:space="0" w:color="auto"/>
            <w:right w:val="none" w:sz="0" w:space="0" w:color="auto"/>
          </w:divBdr>
        </w:div>
        <w:div w:id="802191039">
          <w:marLeft w:val="0"/>
          <w:marRight w:val="0"/>
          <w:marTop w:val="0"/>
          <w:marBottom w:val="0"/>
          <w:divBdr>
            <w:top w:val="none" w:sz="0" w:space="0" w:color="auto"/>
            <w:left w:val="none" w:sz="0" w:space="0" w:color="auto"/>
            <w:bottom w:val="none" w:sz="0" w:space="0" w:color="auto"/>
            <w:right w:val="none" w:sz="0" w:space="0" w:color="auto"/>
          </w:divBdr>
        </w:div>
        <w:div w:id="562762277">
          <w:marLeft w:val="0"/>
          <w:marRight w:val="0"/>
          <w:marTop w:val="0"/>
          <w:marBottom w:val="0"/>
          <w:divBdr>
            <w:top w:val="none" w:sz="0" w:space="0" w:color="auto"/>
            <w:left w:val="none" w:sz="0" w:space="0" w:color="auto"/>
            <w:bottom w:val="none" w:sz="0" w:space="0" w:color="auto"/>
            <w:right w:val="none" w:sz="0" w:space="0" w:color="auto"/>
          </w:divBdr>
        </w:div>
        <w:div w:id="487134196">
          <w:marLeft w:val="0"/>
          <w:marRight w:val="0"/>
          <w:marTop w:val="0"/>
          <w:marBottom w:val="0"/>
          <w:divBdr>
            <w:top w:val="none" w:sz="0" w:space="0" w:color="auto"/>
            <w:left w:val="none" w:sz="0" w:space="0" w:color="auto"/>
            <w:bottom w:val="none" w:sz="0" w:space="0" w:color="auto"/>
            <w:right w:val="none" w:sz="0" w:space="0" w:color="auto"/>
          </w:divBdr>
        </w:div>
        <w:div w:id="2001736568">
          <w:marLeft w:val="0"/>
          <w:marRight w:val="0"/>
          <w:marTop w:val="0"/>
          <w:marBottom w:val="0"/>
          <w:divBdr>
            <w:top w:val="none" w:sz="0" w:space="0" w:color="auto"/>
            <w:left w:val="none" w:sz="0" w:space="0" w:color="auto"/>
            <w:bottom w:val="none" w:sz="0" w:space="0" w:color="auto"/>
            <w:right w:val="none" w:sz="0" w:space="0" w:color="auto"/>
          </w:divBdr>
        </w:div>
        <w:div w:id="20713443">
          <w:marLeft w:val="0"/>
          <w:marRight w:val="0"/>
          <w:marTop w:val="0"/>
          <w:marBottom w:val="0"/>
          <w:divBdr>
            <w:top w:val="none" w:sz="0" w:space="0" w:color="auto"/>
            <w:left w:val="none" w:sz="0" w:space="0" w:color="auto"/>
            <w:bottom w:val="none" w:sz="0" w:space="0" w:color="auto"/>
            <w:right w:val="none" w:sz="0" w:space="0" w:color="auto"/>
          </w:divBdr>
        </w:div>
        <w:div w:id="150800157">
          <w:marLeft w:val="0"/>
          <w:marRight w:val="0"/>
          <w:marTop w:val="0"/>
          <w:marBottom w:val="0"/>
          <w:divBdr>
            <w:top w:val="none" w:sz="0" w:space="0" w:color="auto"/>
            <w:left w:val="none" w:sz="0" w:space="0" w:color="auto"/>
            <w:bottom w:val="none" w:sz="0" w:space="0" w:color="auto"/>
            <w:right w:val="none" w:sz="0" w:space="0" w:color="auto"/>
          </w:divBdr>
        </w:div>
      </w:divsChild>
    </w:div>
    <w:div w:id="1760567287">
      <w:bodyDiv w:val="1"/>
      <w:marLeft w:val="0"/>
      <w:marRight w:val="0"/>
      <w:marTop w:val="0"/>
      <w:marBottom w:val="0"/>
      <w:divBdr>
        <w:top w:val="none" w:sz="0" w:space="0" w:color="auto"/>
        <w:left w:val="none" w:sz="0" w:space="0" w:color="auto"/>
        <w:bottom w:val="none" w:sz="0" w:space="0" w:color="auto"/>
        <w:right w:val="none" w:sz="0" w:space="0" w:color="auto"/>
      </w:divBdr>
      <w:divsChild>
        <w:div w:id="644162195">
          <w:marLeft w:val="0"/>
          <w:marRight w:val="0"/>
          <w:marTop w:val="0"/>
          <w:marBottom w:val="0"/>
          <w:divBdr>
            <w:top w:val="none" w:sz="0" w:space="0" w:color="auto"/>
            <w:left w:val="none" w:sz="0" w:space="0" w:color="auto"/>
            <w:bottom w:val="none" w:sz="0" w:space="0" w:color="auto"/>
            <w:right w:val="none" w:sz="0" w:space="0" w:color="auto"/>
          </w:divBdr>
        </w:div>
        <w:div w:id="1640452230">
          <w:marLeft w:val="0"/>
          <w:marRight w:val="0"/>
          <w:marTop w:val="0"/>
          <w:marBottom w:val="0"/>
          <w:divBdr>
            <w:top w:val="none" w:sz="0" w:space="0" w:color="auto"/>
            <w:left w:val="none" w:sz="0" w:space="0" w:color="auto"/>
            <w:bottom w:val="none" w:sz="0" w:space="0" w:color="auto"/>
            <w:right w:val="none" w:sz="0" w:space="0" w:color="auto"/>
          </w:divBdr>
        </w:div>
        <w:div w:id="1369797631">
          <w:marLeft w:val="0"/>
          <w:marRight w:val="0"/>
          <w:marTop w:val="0"/>
          <w:marBottom w:val="0"/>
          <w:divBdr>
            <w:top w:val="none" w:sz="0" w:space="0" w:color="auto"/>
            <w:left w:val="none" w:sz="0" w:space="0" w:color="auto"/>
            <w:bottom w:val="none" w:sz="0" w:space="0" w:color="auto"/>
            <w:right w:val="none" w:sz="0" w:space="0" w:color="auto"/>
          </w:divBdr>
        </w:div>
        <w:div w:id="702899285">
          <w:marLeft w:val="0"/>
          <w:marRight w:val="0"/>
          <w:marTop w:val="0"/>
          <w:marBottom w:val="0"/>
          <w:divBdr>
            <w:top w:val="none" w:sz="0" w:space="0" w:color="auto"/>
            <w:left w:val="none" w:sz="0" w:space="0" w:color="auto"/>
            <w:bottom w:val="none" w:sz="0" w:space="0" w:color="auto"/>
            <w:right w:val="none" w:sz="0" w:space="0" w:color="auto"/>
          </w:divBdr>
        </w:div>
        <w:div w:id="733771504">
          <w:marLeft w:val="0"/>
          <w:marRight w:val="0"/>
          <w:marTop w:val="0"/>
          <w:marBottom w:val="0"/>
          <w:divBdr>
            <w:top w:val="none" w:sz="0" w:space="0" w:color="auto"/>
            <w:left w:val="none" w:sz="0" w:space="0" w:color="auto"/>
            <w:bottom w:val="none" w:sz="0" w:space="0" w:color="auto"/>
            <w:right w:val="none" w:sz="0" w:space="0" w:color="auto"/>
          </w:divBdr>
        </w:div>
        <w:div w:id="83846994">
          <w:marLeft w:val="0"/>
          <w:marRight w:val="0"/>
          <w:marTop w:val="0"/>
          <w:marBottom w:val="0"/>
          <w:divBdr>
            <w:top w:val="none" w:sz="0" w:space="0" w:color="auto"/>
            <w:left w:val="none" w:sz="0" w:space="0" w:color="auto"/>
            <w:bottom w:val="none" w:sz="0" w:space="0" w:color="auto"/>
            <w:right w:val="none" w:sz="0" w:space="0" w:color="auto"/>
          </w:divBdr>
        </w:div>
        <w:div w:id="1523591798">
          <w:marLeft w:val="0"/>
          <w:marRight w:val="0"/>
          <w:marTop w:val="0"/>
          <w:marBottom w:val="0"/>
          <w:divBdr>
            <w:top w:val="none" w:sz="0" w:space="0" w:color="auto"/>
            <w:left w:val="none" w:sz="0" w:space="0" w:color="auto"/>
            <w:bottom w:val="none" w:sz="0" w:space="0" w:color="auto"/>
            <w:right w:val="none" w:sz="0" w:space="0" w:color="auto"/>
          </w:divBdr>
        </w:div>
        <w:div w:id="2137794247">
          <w:marLeft w:val="0"/>
          <w:marRight w:val="0"/>
          <w:marTop w:val="0"/>
          <w:marBottom w:val="0"/>
          <w:divBdr>
            <w:top w:val="none" w:sz="0" w:space="0" w:color="auto"/>
            <w:left w:val="none" w:sz="0" w:space="0" w:color="auto"/>
            <w:bottom w:val="none" w:sz="0" w:space="0" w:color="auto"/>
            <w:right w:val="none" w:sz="0" w:space="0" w:color="auto"/>
          </w:divBdr>
        </w:div>
        <w:div w:id="905651598">
          <w:marLeft w:val="0"/>
          <w:marRight w:val="0"/>
          <w:marTop w:val="0"/>
          <w:marBottom w:val="0"/>
          <w:divBdr>
            <w:top w:val="none" w:sz="0" w:space="0" w:color="auto"/>
            <w:left w:val="none" w:sz="0" w:space="0" w:color="auto"/>
            <w:bottom w:val="none" w:sz="0" w:space="0" w:color="auto"/>
            <w:right w:val="none" w:sz="0" w:space="0" w:color="auto"/>
          </w:divBdr>
        </w:div>
        <w:div w:id="1023749771">
          <w:marLeft w:val="0"/>
          <w:marRight w:val="0"/>
          <w:marTop w:val="0"/>
          <w:marBottom w:val="0"/>
          <w:divBdr>
            <w:top w:val="none" w:sz="0" w:space="0" w:color="auto"/>
            <w:left w:val="none" w:sz="0" w:space="0" w:color="auto"/>
            <w:bottom w:val="none" w:sz="0" w:space="0" w:color="auto"/>
            <w:right w:val="none" w:sz="0" w:space="0" w:color="auto"/>
          </w:divBdr>
        </w:div>
        <w:div w:id="601451667">
          <w:marLeft w:val="0"/>
          <w:marRight w:val="0"/>
          <w:marTop w:val="0"/>
          <w:marBottom w:val="0"/>
          <w:divBdr>
            <w:top w:val="none" w:sz="0" w:space="0" w:color="auto"/>
            <w:left w:val="none" w:sz="0" w:space="0" w:color="auto"/>
            <w:bottom w:val="none" w:sz="0" w:space="0" w:color="auto"/>
            <w:right w:val="none" w:sz="0" w:space="0" w:color="auto"/>
          </w:divBdr>
        </w:div>
        <w:div w:id="1549147973">
          <w:marLeft w:val="0"/>
          <w:marRight w:val="0"/>
          <w:marTop w:val="0"/>
          <w:marBottom w:val="0"/>
          <w:divBdr>
            <w:top w:val="none" w:sz="0" w:space="0" w:color="auto"/>
            <w:left w:val="none" w:sz="0" w:space="0" w:color="auto"/>
            <w:bottom w:val="none" w:sz="0" w:space="0" w:color="auto"/>
            <w:right w:val="none" w:sz="0" w:space="0" w:color="auto"/>
          </w:divBdr>
        </w:div>
        <w:div w:id="871302353">
          <w:marLeft w:val="0"/>
          <w:marRight w:val="0"/>
          <w:marTop w:val="0"/>
          <w:marBottom w:val="0"/>
          <w:divBdr>
            <w:top w:val="none" w:sz="0" w:space="0" w:color="auto"/>
            <w:left w:val="none" w:sz="0" w:space="0" w:color="auto"/>
            <w:bottom w:val="none" w:sz="0" w:space="0" w:color="auto"/>
            <w:right w:val="none" w:sz="0" w:space="0" w:color="auto"/>
          </w:divBdr>
        </w:div>
        <w:div w:id="1084646510">
          <w:marLeft w:val="0"/>
          <w:marRight w:val="0"/>
          <w:marTop w:val="0"/>
          <w:marBottom w:val="0"/>
          <w:divBdr>
            <w:top w:val="none" w:sz="0" w:space="0" w:color="auto"/>
            <w:left w:val="none" w:sz="0" w:space="0" w:color="auto"/>
            <w:bottom w:val="none" w:sz="0" w:space="0" w:color="auto"/>
            <w:right w:val="none" w:sz="0" w:space="0" w:color="auto"/>
          </w:divBdr>
        </w:div>
        <w:div w:id="158234769">
          <w:marLeft w:val="0"/>
          <w:marRight w:val="0"/>
          <w:marTop w:val="0"/>
          <w:marBottom w:val="0"/>
          <w:divBdr>
            <w:top w:val="none" w:sz="0" w:space="0" w:color="auto"/>
            <w:left w:val="none" w:sz="0" w:space="0" w:color="auto"/>
            <w:bottom w:val="none" w:sz="0" w:space="0" w:color="auto"/>
            <w:right w:val="none" w:sz="0" w:space="0" w:color="auto"/>
          </w:divBdr>
        </w:div>
        <w:div w:id="3868120">
          <w:marLeft w:val="0"/>
          <w:marRight w:val="0"/>
          <w:marTop w:val="0"/>
          <w:marBottom w:val="0"/>
          <w:divBdr>
            <w:top w:val="none" w:sz="0" w:space="0" w:color="auto"/>
            <w:left w:val="none" w:sz="0" w:space="0" w:color="auto"/>
            <w:bottom w:val="none" w:sz="0" w:space="0" w:color="auto"/>
            <w:right w:val="none" w:sz="0" w:space="0" w:color="auto"/>
          </w:divBdr>
        </w:div>
        <w:div w:id="656301762">
          <w:marLeft w:val="0"/>
          <w:marRight w:val="0"/>
          <w:marTop w:val="0"/>
          <w:marBottom w:val="0"/>
          <w:divBdr>
            <w:top w:val="none" w:sz="0" w:space="0" w:color="auto"/>
            <w:left w:val="none" w:sz="0" w:space="0" w:color="auto"/>
            <w:bottom w:val="none" w:sz="0" w:space="0" w:color="auto"/>
            <w:right w:val="none" w:sz="0" w:space="0" w:color="auto"/>
          </w:divBdr>
        </w:div>
        <w:div w:id="1612663486">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837333948">
      <w:bodyDiv w:val="1"/>
      <w:marLeft w:val="0"/>
      <w:marRight w:val="0"/>
      <w:marTop w:val="0"/>
      <w:marBottom w:val="0"/>
      <w:divBdr>
        <w:top w:val="none" w:sz="0" w:space="0" w:color="auto"/>
        <w:left w:val="none" w:sz="0" w:space="0" w:color="auto"/>
        <w:bottom w:val="none" w:sz="0" w:space="0" w:color="auto"/>
        <w:right w:val="none" w:sz="0" w:space="0" w:color="auto"/>
      </w:divBdr>
      <w:divsChild>
        <w:div w:id="1708600145">
          <w:marLeft w:val="0"/>
          <w:marRight w:val="0"/>
          <w:marTop w:val="0"/>
          <w:marBottom w:val="0"/>
          <w:divBdr>
            <w:top w:val="none" w:sz="0" w:space="0" w:color="auto"/>
            <w:left w:val="none" w:sz="0" w:space="0" w:color="auto"/>
            <w:bottom w:val="none" w:sz="0" w:space="0" w:color="auto"/>
            <w:right w:val="none" w:sz="0" w:space="0" w:color="auto"/>
          </w:divBdr>
        </w:div>
        <w:div w:id="1532454826">
          <w:marLeft w:val="0"/>
          <w:marRight w:val="0"/>
          <w:marTop w:val="0"/>
          <w:marBottom w:val="0"/>
          <w:divBdr>
            <w:top w:val="none" w:sz="0" w:space="0" w:color="auto"/>
            <w:left w:val="none" w:sz="0" w:space="0" w:color="auto"/>
            <w:bottom w:val="none" w:sz="0" w:space="0" w:color="auto"/>
            <w:right w:val="none" w:sz="0" w:space="0" w:color="auto"/>
          </w:divBdr>
        </w:div>
        <w:div w:id="490606745">
          <w:marLeft w:val="0"/>
          <w:marRight w:val="0"/>
          <w:marTop w:val="0"/>
          <w:marBottom w:val="0"/>
          <w:divBdr>
            <w:top w:val="none" w:sz="0" w:space="0" w:color="auto"/>
            <w:left w:val="none" w:sz="0" w:space="0" w:color="auto"/>
            <w:bottom w:val="none" w:sz="0" w:space="0" w:color="auto"/>
            <w:right w:val="none" w:sz="0" w:space="0" w:color="auto"/>
          </w:divBdr>
        </w:div>
        <w:div w:id="1379159054">
          <w:marLeft w:val="0"/>
          <w:marRight w:val="0"/>
          <w:marTop w:val="0"/>
          <w:marBottom w:val="0"/>
          <w:divBdr>
            <w:top w:val="none" w:sz="0" w:space="0" w:color="auto"/>
            <w:left w:val="none" w:sz="0" w:space="0" w:color="auto"/>
            <w:bottom w:val="none" w:sz="0" w:space="0" w:color="auto"/>
            <w:right w:val="none" w:sz="0" w:space="0" w:color="auto"/>
          </w:divBdr>
        </w:div>
        <w:div w:id="1480419211">
          <w:marLeft w:val="0"/>
          <w:marRight w:val="0"/>
          <w:marTop w:val="0"/>
          <w:marBottom w:val="0"/>
          <w:divBdr>
            <w:top w:val="none" w:sz="0" w:space="0" w:color="auto"/>
            <w:left w:val="none" w:sz="0" w:space="0" w:color="auto"/>
            <w:bottom w:val="none" w:sz="0" w:space="0" w:color="auto"/>
            <w:right w:val="none" w:sz="0" w:space="0" w:color="auto"/>
          </w:divBdr>
        </w:div>
        <w:div w:id="706368924">
          <w:marLeft w:val="0"/>
          <w:marRight w:val="0"/>
          <w:marTop w:val="0"/>
          <w:marBottom w:val="0"/>
          <w:divBdr>
            <w:top w:val="none" w:sz="0" w:space="0" w:color="auto"/>
            <w:left w:val="none" w:sz="0" w:space="0" w:color="auto"/>
            <w:bottom w:val="none" w:sz="0" w:space="0" w:color="auto"/>
            <w:right w:val="none" w:sz="0" w:space="0" w:color="auto"/>
          </w:divBdr>
          <w:divsChild>
            <w:div w:id="1743748613">
              <w:marLeft w:val="0"/>
              <w:marRight w:val="0"/>
              <w:marTop w:val="0"/>
              <w:marBottom w:val="0"/>
              <w:divBdr>
                <w:top w:val="none" w:sz="0" w:space="0" w:color="auto"/>
                <w:left w:val="none" w:sz="0" w:space="0" w:color="auto"/>
                <w:bottom w:val="none" w:sz="0" w:space="0" w:color="auto"/>
                <w:right w:val="none" w:sz="0" w:space="0" w:color="auto"/>
              </w:divBdr>
            </w:div>
          </w:divsChild>
        </w:div>
        <w:div w:id="1958173448">
          <w:marLeft w:val="0"/>
          <w:marRight w:val="0"/>
          <w:marTop w:val="0"/>
          <w:marBottom w:val="0"/>
          <w:divBdr>
            <w:top w:val="none" w:sz="0" w:space="0" w:color="auto"/>
            <w:left w:val="none" w:sz="0" w:space="0" w:color="auto"/>
            <w:bottom w:val="none" w:sz="0" w:space="0" w:color="auto"/>
            <w:right w:val="none" w:sz="0" w:space="0" w:color="auto"/>
          </w:divBdr>
        </w:div>
        <w:div w:id="1583681945">
          <w:marLeft w:val="0"/>
          <w:marRight w:val="0"/>
          <w:marTop w:val="0"/>
          <w:marBottom w:val="0"/>
          <w:divBdr>
            <w:top w:val="none" w:sz="0" w:space="0" w:color="auto"/>
            <w:left w:val="none" w:sz="0" w:space="0" w:color="auto"/>
            <w:bottom w:val="none" w:sz="0" w:space="0" w:color="auto"/>
            <w:right w:val="none" w:sz="0" w:space="0" w:color="auto"/>
          </w:divBdr>
        </w:div>
        <w:div w:id="663971538">
          <w:marLeft w:val="0"/>
          <w:marRight w:val="0"/>
          <w:marTop w:val="0"/>
          <w:marBottom w:val="0"/>
          <w:divBdr>
            <w:top w:val="none" w:sz="0" w:space="0" w:color="auto"/>
            <w:left w:val="none" w:sz="0" w:space="0" w:color="auto"/>
            <w:bottom w:val="none" w:sz="0" w:space="0" w:color="auto"/>
            <w:right w:val="none" w:sz="0" w:space="0" w:color="auto"/>
          </w:divBdr>
        </w:div>
        <w:div w:id="770859139">
          <w:marLeft w:val="0"/>
          <w:marRight w:val="0"/>
          <w:marTop w:val="0"/>
          <w:marBottom w:val="0"/>
          <w:divBdr>
            <w:top w:val="none" w:sz="0" w:space="0" w:color="auto"/>
            <w:left w:val="none" w:sz="0" w:space="0" w:color="auto"/>
            <w:bottom w:val="none" w:sz="0" w:space="0" w:color="auto"/>
            <w:right w:val="none" w:sz="0" w:space="0" w:color="auto"/>
          </w:divBdr>
        </w:div>
        <w:div w:id="964236024">
          <w:marLeft w:val="0"/>
          <w:marRight w:val="0"/>
          <w:marTop w:val="0"/>
          <w:marBottom w:val="0"/>
          <w:divBdr>
            <w:top w:val="none" w:sz="0" w:space="0" w:color="auto"/>
            <w:left w:val="none" w:sz="0" w:space="0" w:color="auto"/>
            <w:bottom w:val="none" w:sz="0" w:space="0" w:color="auto"/>
            <w:right w:val="none" w:sz="0" w:space="0" w:color="auto"/>
          </w:divBdr>
        </w:div>
        <w:div w:id="1365473389">
          <w:marLeft w:val="0"/>
          <w:marRight w:val="0"/>
          <w:marTop w:val="0"/>
          <w:marBottom w:val="0"/>
          <w:divBdr>
            <w:top w:val="none" w:sz="0" w:space="0" w:color="auto"/>
            <w:left w:val="none" w:sz="0" w:space="0" w:color="auto"/>
            <w:bottom w:val="none" w:sz="0" w:space="0" w:color="auto"/>
            <w:right w:val="none" w:sz="0" w:space="0" w:color="auto"/>
          </w:divBdr>
        </w:div>
        <w:div w:id="398866231">
          <w:marLeft w:val="0"/>
          <w:marRight w:val="0"/>
          <w:marTop w:val="0"/>
          <w:marBottom w:val="0"/>
          <w:divBdr>
            <w:top w:val="none" w:sz="0" w:space="0" w:color="auto"/>
            <w:left w:val="none" w:sz="0" w:space="0" w:color="auto"/>
            <w:bottom w:val="none" w:sz="0" w:space="0" w:color="auto"/>
            <w:right w:val="none" w:sz="0" w:space="0" w:color="auto"/>
          </w:divBdr>
        </w:div>
        <w:div w:id="1310548304">
          <w:marLeft w:val="0"/>
          <w:marRight w:val="0"/>
          <w:marTop w:val="0"/>
          <w:marBottom w:val="0"/>
          <w:divBdr>
            <w:top w:val="none" w:sz="0" w:space="0" w:color="auto"/>
            <w:left w:val="none" w:sz="0" w:space="0" w:color="auto"/>
            <w:bottom w:val="none" w:sz="0" w:space="0" w:color="auto"/>
            <w:right w:val="none" w:sz="0" w:space="0" w:color="auto"/>
          </w:divBdr>
        </w:div>
        <w:div w:id="673916388">
          <w:marLeft w:val="0"/>
          <w:marRight w:val="0"/>
          <w:marTop w:val="0"/>
          <w:marBottom w:val="0"/>
          <w:divBdr>
            <w:top w:val="none" w:sz="0" w:space="0" w:color="auto"/>
            <w:left w:val="none" w:sz="0" w:space="0" w:color="auto"/>
            <w:bottom w:val="none" w:sz="0" w:space="0" w:color="auto"/>
            <w:right w:val="none" w:sz="0" w:space="0" w:color="auto"/>
          </w:divBdr>
        </w:div>
        <w:div w:id="672805458">
          <w:marLeft w:val="0"/>
          <w:marRight w:val="0"/>
          <w:marTop w:val="0"/>
          <w:marBottom w:val="0"/>
          <w:divBdr>
            <w:top w:val="none" w:sz="0" w:space="0" w:color="auto"/>
            <w:left w:val="none" w:sz="0" w:space="0" w:color="auto"/>
            <w:bottom w:val="none" w:sz="0" w:space="0" w:color="auto"/>
            <w:right w:val="none" w:sz="0" w:space="0" w:color="auto"/>
          </w:divBdr>
        </w:div>
        <w:div w:id="2041972438">
          <w:marLeft w:val="0"/>
          <w:marRight w:val="0"/>
          <w:marTop w:val="0"/>
          <w:marBottom w:val="0"/>
          <w:divBdr>
            <w:top w:val="none" w:sz="0" w:space="0" w:color="auto"/>
            <w:left w:val="none" w:sz="0" w:space="0" w:color="auto"/>
            <w:bottom w:val="none" w:sz="0" w:space="0" w:color="auto"/>
            <w:right w:val="none" w:sz="0" w:space="0" w:color="auto"/>
          </w:divBdr>
        </w:div>
        <w:div w:id="1495490348">
          <w:marLeft w:val="0"/>
          <w:marRight w:val="0"/>
          <w:marTop w:val="0"/>
          <w:marBottom w:val="0"/>
          <w:divBdr>
            <w:top w:val="none" w:sz="0" w:space="0" w:color="auto"/>
            <w:left w:val="none" w:sz="0" w:space="0" w:color="auto"/>
            <w:bottom w:val="none" w:sz="0" w:space="0" w:color="auto"/>
            <w:right w:val="none" w:sz="0" w:space="0" w:color="auto"/>
          </w:divBdr>
        </w:div>
        <w:div w:id="1832600387">
          <w:marLeft w:val="0"/>
          <w:marRight w:val="0"/>
          <w:marTop w:val="0"/>
          <w:marBottom w:val="0"/>
          <w:divBdr>
            <w:top w:val="none" w:sz="0" w:space="0" w:color="auto"/>
            <w:left w:val="none" w:sz="0" w:space="0" w:color="auto"/>
            <w:bottom w:val="none" w:sz="0" w:space="0" w:color="auto"/>
            <w:right w:val="none" w:sz="0" w:space="0" w:color="auto"/>
          </w:divBdr>
        </w:div>
        <w:div w:id="2054883897">
          <w:marLeft w:val="0"/>
          <w:marRight w:val="0"/>
          <w:marTop w:val="0"/>
          <w:marBottom w:val="0"/>
          <w:divBdr>
            <w:top w:val="none" w:sz="0" w:space="0" w:color="auto"/>
            <w:left w:val="none" w:sz="0" w:space="0" w:color="auto"/>
            <w:bottom w:val="none" w:sz="0" w:space="0" w:color="auto"/>
            <w:right w:val="none" w:sz="0" w:space="0" w:color="auto"/>
          </w:divBdr>
        </w:div>
        <w:div w:id="934090892">
          <w:marLeft w:val="0"/>
          <w:marRight w:val="0"/>
          <w:marTop w:val="0"/>
          <w:marBottom w:val="0"/>
          <w:divBdr>
            <w:top w:val="none" w:sz="0" w:space="0" w:color="auto"/>
            <w:left w:val="none" w:sz="0" w:space="0" w:color="auto"/>
            <w:bottom w:val="none" w:sz="0" w:space="0" w:color="auto"/>
            <w:right w:val="none" w:sz="0" w:space="0" w:color="auto"/>
          </w:divBdr>
        </w:div>
        <w:div w:id="992565691">
          <w:marLeft w:val="0"/>
          <w:marRight w:val="0"/>
          <w:marTop w:val="0"/>
          <w:marBottom w:val="0"/>
          <w:divBdr>
            <w:top w:val="none" w:sz="0" w:space="0" w:color="auto"/>
            <w:left w:val="none" w:sz="0" w:space="0" w:color="auto"/>
            <w:bottom w:val="none" w:sz="0" w:space="0" w:color="auto"/>
            <w:right w:val="none" w:sz="0" w:space="0" w:color="auto"/>
          </w:divBdr>
        </w:div>
        <w:div w:id="1796289134">
          <w:marLeft w:val="0"/>
          <w:marRight w:val="0"/>
          <w:marTop w:val="0"/>
          <w:marBottom w:val="0"/>
          <w:divBdr>
            <w:top w:val="none" w:sz="0" w:space="0" w:color="auto"/>
            <w:left w:val="none" w:sz="0" w:space="0" w:color="auto"/>
            <w:bottom w:val="none" w:sz="0" w:space="0" w:color="auto"/>
            <w:right w:val="none" w:sz="0" w:space="0" w:color="auto"/>
          </w:divBdr>
        </w:div>
        <w:div w:id="949748686">
          <w:marLeft w:val="0"/>
          <w:marRight w:val="0"/>
          <w:marTop w:val="0"/>
          <w:marBottom w:val="0"/>
          <w:divBdr>
            <w:top w:val="none" w:sz="0" w:space="0" w:color="auto"/>
            <w:left w:val="none" w:sz="0" w:space="0" w:color="auto"/>
            <w:bottom w:val="none" w:sz="0" w:space="0" w:color="auto"/>
            <w:right w:val="none" w:sz="0" w:space="0" w:color="auto"/>
          </w:divBdr>
        </w:div>
        <w:div w:id="3747293">
          <w:marLeft w:val="0"/>
          <w:marRight w:val="0"/>
          <w:marTop w:val="0"/>
          <w:marBottom w:val="0"/>
          <w:divBdr>
            <w:top w:val="none" w:sz="0" w:space="0" w:color="auto"/>
            <w:left w:val="none" w:sz="0" w:space="0" w:color="auto"/>
            <w:bottom w:val="none" w:sz="0" w:space="0" w:color="auto"/>
            <w:right w:val="none" w:sz="0" w:space="0" w:color="auto"/>
          </w:divBdr>
        </w:div>
        <w:div w:id="46495566">
          <w:marLeft w:val="0"/>
          <w:marRight w:val="0"/>
          <w:marTop w:val="0"/>
          <w:marBottom w:val="0"/>
          <w:divBdr>
            <w:top w:val="none" w:sz="0" w:space="0" w:color="auto"/>
            <w:left w:val="none" w:sz="0" w:space="0" w:color="auto"/>
            <w:bottom w:val="none" w:sz="0" w:space="0" w:color="auto"/>
            <w:right w:val="none" w:sz="0" w:space="0" w:color="auto"/>
          </w:divBdr>
        </w:div>
        <w:div w:id="409427456">
          <w:marLeft w:val="0"/>
          <w:marRight w:val="0"/>
          <w:marTop w:val="0"/>
          <w:marBottom w:val="0"/>
          <w:divBdr>
            <w:top w:val="none" w:sz="0" w:space="0" w:color="auto"/>
            <w:left w:val="none" w:sz="0" w:space="0" w:color="auto"/>
            <w:bottom w:val="none" w:sz="0" w:space="0" w:color="auto"/>
            <w:right w:val="none" w:sz="0" w:space="0" w:color="auto"/>
          </w:divBdr>
        </w:div>
        <w:div w:id="1042246137">
          <w:marLeft w:val="0"/>
          <w:marRight w:val="0"/>
          <w:marTop w:val="0"/>
          <w:marBottom w:val="0"/>
          <w:divBdr>
            <w:top w:val="none" w:sz="0" w:space="0" w:color="auto"/>
            <w:left w:val="none" w:sz="0" w:space="0" w:color="auto"/>
            <w:bottom w:val="none" w:sz="0" w:space="0" w:color="auto"/>
            <w:right w:val="none" w:sz="0" w:space="0" w:color="auto"/>
          </w:divBdr>
        </w:div>
        <w:div w:id="360591886">
          <w:marLeft w:val="0"/>
          <w:marRight w:val="0"/>
          <w:marTop w:val="0"/>
          <w:marBottom w:val="0"/>
          <w:divBdr>
            <w:top w:val="none" w:sz="0" w:space="0" w:color="auto"/>
            <w:left w:val="none" w:sz="0" w:space="0" w:color="auto"/>
            <w:bottom w:val="none" w:sz="0" w:space="0" w:color="auto"/>
            <w:right w:val="none" w:sz="0" w:space="0" w:color="auto"/>
          </w:divBdr>
        </w:div>
        <w:div w:id="1391222058">
          <w:marLeft w:val="0"/>
          <w:marRight w:val="0"/>
          <w:marTop w:val="0"/>
          <w:marBottom w:val="0"/>
          <w:divBdr>
            <w:top w:val="none" w:sz="0" w:space="0" w:color="auto"/>
            <w:left w:val="none" w:sz="0" w:space="0" w:color="auto"/>
            <w:bottom w:val="none" w:sz="0" w:space="0" w:color="auto"/>
            <w:right w:val="none" w:sz="0" w:space="0" w:color="auto"/>
          </w:divBdr>
        </w:div>
        <w:div w:id="506675621">
          <w:marLeft w:val="0"/>
          <w:marRight w:val="0"/>
          <w:marTop w:val="0"/>
          <w:marBottom w:val="0"/>
          <w:divBdr>
            <w:top w:val="none" w:sz="0" w:space="0" w:color="auto"/>
            <w:left w:val="none" w:sz="0" w:space="0" w:color="auto"/>
            <w:bottom w:val="none" w:sz="0" w:space="0" w:color="auto"/>
            <w:right w:val="none" w:sz="0" w:space="0" w:color="auto"/>
          </w:divBdr>
        </w:div>
        <w:div w:id="1983075116">
          <w:marLeft w:val="0"/>
          <w:marRight w:val="0"/>
          <w:marTop w:val="0"/>
          <w:marBottom w:val="0"/>
          <w:divBdr>
            <w:top w:val="none" w:sz="0" w:space="0" w:color="auto"/>
            <w:left w:val="none" w:sz="0" w:space="0" w:color="auto"/>
            <w:bottom w:val="none" w:sz="0" w:space="0" w:color="auto"/>
            <w:right w:val="none" w:sz="0" w:space="0" w:color="auto"/>
          </w:divBdr>
        </w:div>
        <w:div w:id="1626085372">
          <w:marLeft w:val="0"/>
          <w:marRight w:val="0"/>
          <w:marTop w:val="0"/>
          <w:marBottom w:val="0"/>
          <w:divBdr>
            <w:top w:val="none" w:sz="0" w:space="0" w:color="auto"/>
            <w:left w:val="none" w:sz="0" w:space="0" w:color="auto"/>
            <w:bottom w:val="none" w:sz="0" w:space="0" w:color="auto"/>
            <w:right w:val="none" w:sz="0" w:space="0" w:color="auto"/>
          </w:divBdr>
        </w:div>
        <w:div w:id="541407346">
          <w:marLeft w:val="0"/>
          <w:marRight w:val="0"/>
          <w:marTop w:val="0"/>
          <w:marBottom w:val="0"/>
          <w:divBdr>
            <w:top w:val="none" w:sz="0" w:space="0" w:color="auto"/>
            <w:left w:val="none" w:sz="0" w:space="0" w:color="auto"/>
            <w:bottom w:val="none" w:sz="0" w:space="0" w:color="auto"/>
            <w:right w:val="none" w:sz="0" w:space="0" w:color="auto"/>
          </w:divBdr>
        </w:div>
        <w:div w:id="1962573490">
          <w:marLeft w:val="0"/>
          <w:marRight w:val="0"/>
          <w:marTop w:val="0"/>
          <w:marBottom w:val="0"/>
          <w:divBdr>
            <w:top w:val="none" w:sz="0" w:space="0" w:color="auto"/>
            <w:left w:val="none" w:sz="0" w:space="0" w:color="auto"/>
            <w:bottom w:val="none" w:sz="0" w:space="0" w:color="auto"/>
            <w:right w:val="none" w:sz="0" w:space="0" w:color="auto"/>
          </w:divBdr>
        </w:div>
        <w:div w:id="440538424">
          <w:marLeft w:val="0"/>
          <w:marRight w:val="0"/>
          <w:marTop w:val="0"/>
          <w:marBottom w:val="0"/>
          <w:divBdr>
            <w:top w:val="none" w:sz="0" w:space="0" w:color="auto"/>
            <w:left w:val="none" w:sz="0" w:space="0" w:color="auto"/>
            <w:bottom w:val="none" w:sz="0" w:space="0" w:color="auto"/>
            <w:right w:val="none" w:sz="0" w:space="0" w:color="auto"/>
          </w:divBdr>
        </w:div>
        <w:div w:id="118031353">
          <w:marLeft w:val="0"/>
          <w:marRight w:val="0"/>
          <w:marTop w:val="0"/>
          <w:marBottom w:val="0"/>
          <w:divBdr>
            <w:top w:val="none" w:sz="0" w:space="0" w:color="auto"/>
            <w:left w:val="none" w:sz="0" w:space="0" w:color="auto"/>
            <w:bottom w:val="none" w:sz="0" w:space="0" w:color="auto"/>
            <w:right w:val="none" w:sz="0" w:space="0" w:color="auto"/>
          </w:divBdr>
        </w:div>
        <w:div w:id="32930533">
          <w:marLeft w:val="0"/>
          <w:marRight w:val="0"/>
          <w:marTop w:val="0"/>
          <w:marBottom w:val="0"/>
          <w:divBdr>
            <w:top w:val="none" w:sz="0" w:space="0" w:color="auto"/>
            <w:left w:val="none" w:sz="0" w:space="0" w:color="auto"/>
            <w:bottom w:val="none" w:sz="0" w:space="0" w:color="auto"/>
            <w:right w:val="none" w:sz="0" w:space="0" w:color="auto"/>
          </w:divBdr>
        </w:div>
        <w:div w:id="1167207702">
          <w:marLeft w:val="0"/>
          <w:marRight w:val="0"/>
          <w:marTop w:val="0"/>
          <w:marBottom w:val="0"/>
          <w:divBdr>
            <w:top w:val="none" w:sz="0" w:space="0" w:color="auto"/>
            <w:left w:val="none" w:sz="0" w:space="0" w:color="auto"/>
            <w:bottom w:val="none" w:sz="0" w:space="0" w:color="auto"/>
            <w:right w:val="none" w:sz="0" w:space="0" w:color="auto"/>
          </w:divBdr>
        </w:div>
        <w:div w:id="862935442">
          <w:marLeft w:val="0"/>
          <w:marRight w:val="0"/>
          <w:marTop w:val="0"/>
          <w:marBottom w:val="0"/>
          <w:divBdr>
            <w:top w:val="none" w:sz="0" w:space="0" w:color="auto"/>
            <w:left w:val="none" w:sz="0" w:space="0" w:color="auto"/>
            <w:bottom w:val="none" w:sz="0" w:space="0" w:color="auto"/>
            <w:right w:val="none" w:sz="0" w:space="0" w:color="auto"/>
          </w:divBdr>
        </w:div>
        <w:div w:id="1229850749">
          <w:marLeft w:val="0"/>
          <w:marRight w:val="0"/>
          <w:marTop w:val="0"/>
          <w:marBottom w:val="0"/>
          <w:divBdr>
            <w:top w:val="none" w:sz="0" w:space="0" w:color="auto"/>
            <w:left w:val="none" w:sz="0" w:space="0" w:color="auto"/>
            <w:bottom w:val="none" w:sz="0" w:space="0" w:color="auto"/>
            <w:right w:val="none" w:sz="0" w:space="0" w:color="auto"/>
          </w:divBdr>
        </w:div>
        <w:div w:id="1289509550">
          <w:marLeft w:val="0"/>
          <w:marRight w:val="0"/>
          <w:marTop w:val="0"/>
          <w:marBottom w:val="0"/>
          <w:divBdr>
            <w:top w:val="none" w:sz="0" w:space="0" w:color="auto"/>
            <w:left w:val="none" w:sz="0" w:space="0" w:color="auto"/>
            <w:bottom w:val="none" w:sz="0" w:space="0" w:color="auto"/>
            <w:right w:val="none" w:sz="0" w:space="0" w:color="auto"/>
          </w:divBdr>
        </w:div>
        <w:div w:id="1376419286">
          <w:marLeft w:val="0"/>
          <w:marRight w:val="0"/>
          <w:marTop w:val="0"/>
          <w:marBottom w:val="0"/>
          <w:divBdr>
            <w:top w:val="none" w:sz="0" w:space="0" w:color="auto"/>
            <w:left w:val="none" w:sz="0" w:space="0" w:color="auto"/>
            <w:bottom w:val="none" w:sz="0" w:space="0" w:color="auto"/>
            <w:right w:val="none" w:sz="0" w:space="0" w:color="auto"/>
          </w:divBdr>
        </w:div>
        <w:div w:id="765855836">
          <w:marLeft w:val="0"/>
          <w:marRight w:val="0"/>
          <w:marTop w:val="0"/>
          <w:marBottom w:val="0"/>
          <w:divBdr>
            <w:top w:val="none" w:sz="0" w:space="0" w:color="auto"/>
            <w:left w:val="none" w:sz="0" w:space="0" w:color="auto"/>
            <w:bottom w:val="none" w:sz="0" w:space="0" w:color="auto"/>
            <w:right w:val="none" w:sz="0" w:space="0" w:color="auto"/>
          </w:divBdr>
        </w:div>
        <w:div w:id="1119105043">
          <w:marLeft w:val="0"/>
          <w:marRight w:val="0"/>
          <w:marTop w:val="0"/>
          <w:marBottom w:val="0"/>
          <w:divBdr>
            <w:top w:val="none" w:sz="0" w:space="0" w:color="auto"/>
            <w:left w:val="none" w:sz="0" w:space="0" w:color="auto"/>
            <w:bottom w:val="none" w:sz="0" w:space="0" w:color="auto"/>
            <w:right w:val="none" w:sz="0" w:space="0" w:color="auto"/>
          </w:divBdr>
        </w:div>
        <w:div w:id="1315841790">
          <w:marLeft w:val="0"/>
          <w:marRight w:val="0"/>
          <w:marTop w:val="0"/>
          <w:marBottom w:val="0"/>
          <w:divBdr>
            <w:top w:val="none" w:sz="0" w:space="0" w:color="auto"/>
            <w:left w:val="none" w:sz="0" w:space="0" w:color="auto"/>
            <w:bottom w:val="none" w:sz="0" w:space="0" w:color="auto"/>
            <w:right w:val="none" w:sz="0" w:space="0" w:color="auto"/>
          </w:divBdr>
        </w:div>
        <w:div w:id="1786660117">
          <w:marLeft w:val="0"/>
          <w:marRight w:val="0"/>
          <w:marTop w:val="0"/>
          <w:marBottom w:val="0"/>
          <w:divBdr>
            <w:top w:val="none" w:sz="0" w:space="0" w:color="auto"/>
            <w:left w:val="none" w:sz="0" w:space="0" w:color="auto"/>
            <w:bottom w:val="none" w:sz="0" w:space="0" w:color="auto"/>
            <w:right w:val="none" w:sz="0" w:space="0" w:color="auto"/>
          </w:divBdr>
        </w:div>
        <w:div w:id="1517378740">
          <w:marLeft w:val="0"/>
          <w:marRight w:val="0"/>
          <w:marTop w:val="0"/>
          <w:marBottom w:val="0"/>
          <w:divBdr>
            <w:top w:val="none" w:sz="0" w:space="0" w:color="auto"/>
            <w:left w:val="none" w:sz="0" w:space="0" w:color="auto"/>
            <w:bottom w:val="none" w:sz="0" w:space="0" w:color="auto"/>
            <w:right w:val="none" w:sz="0" w:space="0" w:color="auto"/>
          </w:divBdr>
        </w:div>
        <w:div w:id="131946343">
          <w:marLeft w:val="0"/>
          <w:marRight w:val="0"/>
          <w:marTop w:val="0"/>
          <w:marBottom w:val="0"/>
          <w:divBdr>
            <w:top w:val="none" w:sz="0" w:space="0" w:color="auto"/>
            <w:left w:val="none" w:sz="0" w:space="0" w:color="auto"/>
            <w:bottom w:val="none" w:sz="0" w:space="0" w:color="auto"/>
            <w:right w:val="none" w:sz="0" w:space="0" w:color="auto"/>
          </w:divBdr>
        </w:div>
        <w:div w:id="541090110">
          <w:marLeft w:val="0"/>
          <w:marRight w:val="0"/>
          <w:marTop w:val="0"/>
          <w:marBottom w:val="0"/>
          <w:divBdr>
            <w:top w:val="none" w:sz="0" w:space="0" w:color="auto"/>
            <w:left w:val="none" w:sz="0" w:space="0" w:color="auto"/>
            <w:bottom w:val="none" w:sz="0" w:space="0" w:color="auto"/>
            <w:right w:val="none" w:sz="0" w:space="0" w:color="auto"/>
          </w:divBdr>
        </w:div>
        <w:div w:id="657533748">
          <w:marLeft w:val="0"/>
          <w:marRight w:val="0"/>
          <w:marTop w:val="0"/>
          <w:marBottom w:val="0"/>
          <w:divBdr>
            <w:top w:val="none" w:sz="0" w:space="0" w:color="auto"/>
            <w:left w:val="none" w:sz="0" w:space="0" w:color="auto"/>
            <w:bottom w:val="none" w:sz="0" w:space="0" w:color="auto"/>
            <w:right w:val="none" w:sz="0" w:space="0" w:color="auto"/>
          </w:divBdr>
        </w:div>
        <w:div w:id="9308250">
          <w:marLeft w:val="0"/>
          <w:marRight w:val="0"/>
          <w:marTop w:val="0"/>
          <w:marBottom w:val="0"/>
          <w:divBdr>
            <w:top w:val="none" w:sz="0" w:space="0" w:color="auto"/>
            <w:left w:val="none" w:sz="0" w:space="0" w:color="auto"/>
            <w:bottom w:val="none" w:sz="0" w:space="0" w:color="auto"/>
            <w:right w:val="none" w:sz="0" w:space="0" w:color="auto"/>
          </w:divBdr>
        </w:div>
        <w:div w:id="2116633174">
          <w:marLeft w:val="0"/>
          <w:marRight w:val="0"/>
          <w:marTop w:val="0"/>
          <w:marBottom w:val="0"/>
          <w:divBdr>
            <w:top w:val="none" w:sz="0" w:space="0" w:color="auto"/>
            <w:left w:val="none" w:sz="0" w:space="0" w:color="auto"/>
            <w:bottom w:val="none" w:sz="0" w:space="0" w:color="auto"/>
            <w:right w:val="none" w:sz="0" w:space="0" w:color="auto"/>
          </w:divBdr>
        </w:div>
        <w:div w:id="2143501559">
          <w:marLeft w:val="0"/>
          <w:marRight w:val="0"/>
          <w:marTop w:val="0"/>
          <w:marBottom w:val="0"/>
          <w:divBdr>
            <w:top w:val="none" w:sz="0" w:space="0" w:color="auto"/>
            <w:left w:val="none" w:sz="0" w:space="0" w:color="auto"/>
            <w:bottom w:val="none" w:sz="0" w:space="0" w:color="auto"/>
            <w:right w:val="none" w:sz="0" w:space="0" w:color="auto"/>
          </w:divBdr>
        </w:div>
        <w:div w:id="1860387460">
          <w:marLeft w:val="0"/>
          <w:marRight w:val="0"/>
          <w:marTop w:val="0"/>
          <w:marBottom w:val="0"/>
          <w:divBdr>
            <w:top w:val="none" w:sz="0" w:space="0" w:color="auto"/>
            <w:left w:val="none" w:sz="0" w:space="0" w:color="auto"/>
            <w:bottom w:val="none" w:sz="0" w:space="0" w:color="auto"/>
            <w:right w:val="none" w:sz="0" w:space="0" w:color="auto"/>
          </w:divBdr>
        </w:div>
        <w:div w:id="1603565614">
          <w:marLeft w:val="0"/>
          <w:marRight w:val="0"/>
          <w:marTop w:val="0"/>
          <w:marBottom w:val="0"/>
          <w:divBdr>
            <w:top w:val="none" w:sz="0" w:space="0" w:color="auto"/>
            <w:left w:val="none" w:sz="0" w:space="0" w:color="auto"/>
            <w:bottom w:val="none" w:sz="0" w:space="0" w:color="auto"/>
            <w:right w:val="none" w:sz="0" w:space="0" w:color="auto"/>
          </w:divBdr>
        </w:div>
        <w:div w:id="215051623">
          <w:marLeft w:val="0"/>
          <w:marRight w:val="0"/>
          <w:marTop w:val="0"/>
          <w:marBottom w:val="0"/>
          <w:divBdr>
            <w:top w:val="none" w:sz="0" w:space="0" w:color="auto"/>
            <w:left w:val="none" w:sz="0" w:space="0" w:color="auto"/>
            <w:bottom w:val="none" w:sz="0" w:space="0" w:color="auto"/>
            <w:right w:val="none" w:sz="0" w:space="0" w:color="auto"/>
          </w:divBdr>
        </w:div>
        <w:div w:id="1466122111">
          <w:marLeft w:val="0"/>
          <w:marRight w:val="0"/>
          <w:marTop w:val="0"/>
          <w:marBottom w:val="0"/>
          <w:divBdr>
            <w:top w:val="none" w:sz="0" w:space="0" w:color="auto"/>
            <w:left w:val="none" w:sz="0" w:space="0" w:color="auto"/>
            <w:bottom w:val="none" w:sz="0" w:space="0" w:color="auto"/>
            <w:right w:val="none" w:sz="0" w:space="0" w:color="auto"/>
          </w:divBdr>
        </w:div>
        <w:div w:id="1947689648">
          <w:marLeft w:val="0"/>
          <w:marRight w:val="0"/>
          <w:marTop w:val="0"/>
          <w:marBottom w:val="0"/>
          <w:divBdr>
            <w:top w:val="none" w:sz="0" w:space="0" w:color="auto"/>
            <w:left w:val="none" w:sz="0" w:space="0" w:color="auto"/>
            <w:bottom w:val="none" w:sz="0" w:space="0" w:color="auto"/>
            <w:right w:val="none" w:sz="0" w:space="0" w:color="auto"/>
          </w:divBdr>
        </w:div>
        <w:div w:id="549651521">
          <w:marLeft w:val="0"/>
          <w:marRight w:val="0"/>
          <w:marTop w:val="0"/>
          <w:marBottom w:val="0"/>
          <w:divBdr>
            <w:top w:val="none" w:sz="0" w:space="0" w:color="auto"/>
            <w:left w:val="none" w:sz="0" w:space="0" w:color="auto"/>
            <w:bottom w:val="none" w:sz="0" w:space="0" w:color="auto"/>
            <w:right w:val="none" w:sz="0" w:space="0" w:color="auto"/>
          </w:divBdr>
        </w:div>
        <w:div w:id="1110324193">
          <w:marLeft w:val="0"/>
          <w:marRight w:val="0"/>
          <w:marTop w:val="0"/>
          <w:marBottom w:val="0"/>
          <w:divBdr>
            <w:top w:val="none" w:sz="0" w:space="0" w:color="auto"/>
            <w:left w:val="none" w:sz="0" w:space="0" w:color="auto"/>
            <w:bottom w:val="none" w:sz="0" w:space="0" w:color="auto"/>
            <w:right w:val="none" w:sz="0" w:space="0" w:color="auto"/>
          </w:divBdr>
        </w:div>
        <w:div w:id="1712027751">
          <w:marLeft w:val="0"/>
          <w:marRight w:val="0"/>
          <w:marTop w:val="0"/>
          <w:marBottom w:val="0"/>
          <w:divBdr>
            <w:top w:val="none" w:sz="0" w:space="0" w:color="auto"/>
            <w:left w:val="none" w:sz="0" w:space="0" w:color="auto"/>
            <w:bottom w:val="none" w:sz="0" w:space="0" w:color="auto"/>
            <w:right w:val="none" w:sz="0" w:space="0" w:color="auto"/>
          </w:divBdr>
        </w:div>
        <w:div w:id="1096249622">
          <w:marLeft w:val="0"/>
          <w:marRight w:val="0"/>
          <w:marTop w:val="0"/>
          <w:marBottom w:val="0"/>
          <w:divBdr>
            <w:top w:val="none" w:sz="0" w:space="0" w:color="auto"/>
            <w:left w:val="none" w:sz="0" w:space="0" w:color="auto"/>
            <w:bottom w:val="none" w:sz="0" w:space="0" w:color="auto"/>
            <w:right w:val="none" w:sz="0" w:space="0" w:color="auto"/>
          </w:divBdr>
        </w:div>
        <w:div w:id="2068019932">
          <w:marLeft w:val="0"/>
          <w:marRight w:val="0"/>
          <w:marTop w:val="0"/>
          <w:marBottom w:val="0"/>
          <w:divBdr>
            <w:top w:val="none" w:sz="0" w:space="0" w:color="auto"/>
            <w:left w:val="none" w:sz="0" w:space="0" w:color="auto"/>
            <w:bottom w:val="none" w:sz="0" w:space="0" w:color="auto"/>
            <w:right w:val="none" w:sz="0" w:space="0" w:color="auto"/>
          </w:divBdr>
        </w:div>
        <w:div w:id="1725636080">
          <w:marLeft w:val="0"/>
          <w:marRight w:val="0"/>
          <w:marTop w:val="0"/>
          <w:marBottom w:val="0"/>
          <w:divBdr>
            <w:top w:val="none" w:sz="0" w:space="0" w:color="auto"/>
            <w:left w:val="none" w:sz="0" w:space="0" w:color="auto"/>
            <w:bottom w:val="none" w:sz="0" w:space="0" w:color="auto"/>
            <w:right w:val="none" w:sz="0" w:space="0" w:color="auto"/>
          </w:divBdr>
        </w:div>
        <w:div w:id="1183327512">
          <w:marLeft w:val="0"/>
          <w:marRight w:val="0"/>
          <w:marTop w:val="0"/>
          <w:marBottom w:val="0"/>
          <w:divBdr>
            <w:top w:val="none" w:sz="0" w:space="0" w:color="auto"/>
            <w:left w:val="none" w:sz="0" w:space="0" w:color="auto"/>
            <w:bottom w:val="none" w:sz="0" w:space="0" w:color="auto"/>
            <w:right w:val="none" w:sz="0" w:space="0" w:color="auto"/>
          </w:divBdr>
        </w:div>
        <w:div w:id="521163315">
          <w:marLeft w:val="0"/>
          <w:marRight w:val="0"/>
          <w:marTop w:val="0"/>
          <w:marBottom w:val="0"/>
          <w:divBdr>
            <w:top w:val="none" w:sz="0" w:space="0" w:color="auto"/>
            <w:left w:val="none" w:sz="0" w:space="0" w:color="auto"/>
            <w:bottom w:val="none" w:sz="0" w:space="0" w:color="auto"/>
            <w:right w:val="none" w:sz="0" w:space="0" w:color="auto"/>
          </w:divBdr>
        </w:div>
        <w:div w:id="174851601">
          <w:marLeft w:val="0"/>
          <w:marRight w:val="0"/>
          <w:marTop w:val="0"/>
          <w:marBottom w:val="0"/>
          <w:divBdr>
            <w:top w:val="none" w:sz="0" w:space="0" w:color="auto"/>
            <w:left w:val="none" w:sz="0" w:space="0" w:color="auto"/>
            <w:bottom w:val="none" w:sz="0" w:space="0" w:color="auto"/>
            <w:right w:val="none" w:sz="0" w:space="0" w:color="auto"/>
          </w:divBdr>
        </w:div>
        <w:div w:id="870336767">
          <w:marLeft w:val="0"/>
          <w:marRight w:val="0"/>
          <w:marTop w:val="0"/>
          <w:marBottom w:val="0"/>
          <w:divBdr>
            <w:top w:val="none" w:sz="0" w:space="0" w:color="auto"/>
            <w:left w:val="none" w:sz="0" w:space="0" w:color="auto"/>
            <w:bottom w:val="none" w:sz="0" w:space="0" w:color="auto"/>
            <w:right w:val="none" w:sz="0" w:space="0" w:color="auto"/>
          </w:divBdr>
        </w:div>
        <w:div w:id="1967546631">
          <w:marLeft w:val="0"/>
          <w:marRight w:val="0"/>
          <w:marTop w:val="0"/>
          <w:marBottom w:val="0"/>
          <w:divBdr>
            <w:top w:val="none" w:sz="0" w:space="0" w:color="auto"/>
            <w:left w:val="none" w:sz="0" w:space="0" w:color="auto"/>
            <w:bottom w:val="none" w:sz="0" w:space="0" w:color="auto"/>
            <w:right w:val="none" w:sz="0" w:space="0" w:color="auto"/>
          </w:divBdr>
        </w:div>
        <w:div w:id="1940944363">
          <w:marLeft w:val="0"/>
          <w:marRight w:val="0"/>
          <w:marTop w:val="0"/>
          <w:marBottom w:val="0"/>
          <w:divBdr>
            <w:top w:val="none" w:sz="0" w:space="0" w:color="auto"/>
            <w:left w:val="none" w:sz="0" w:space="0" w:color="auto"/>
            <w:bottom w:val="none" w:sz="0" w:space="0" w:color="auto"/>
            <w:right w:val="none" w:sz="0" w:space="0" w:color="auto"/>
          </w:divBdr>
        </w:div>
        <w:div w:id="1580098555">
          <w:marLeft w:val="0"/>
          <w:marRight w:val="0"/>
          <w:marTop w:val="0"/>
          <w:marBottom w:val="0"/>
          <w:divBdr>
            <w:top w:val="none" w:sz="0" w:space="0" w:color="auto"/>
            <w:left w:val="none" w:sz="0" w:space="0" w:color="auto"/>
            <w:bottom w:val="none" w:sz="0" w:space="0" w:color="auto"/>
            <w:right w:val="none" w:sz="0" w:space="0" w:color="auto"/>
          </w:divBdr>
        </w:div>
        <w:div w:id="1064523220">
          <w:marLeft w:val="0"/>
          <w:marRight w:val="0"/>
          <w:marTop w:val="0"/>
          <w:marBottom w:val="0"/>
          <w:divBdr>
            <w:top w:val="none" w:sz="0" w:space="0" w:color="auto"/>
            <w:left w:val="none" w:sz="0" w:space="0" w:color="auto"/>
            <w:bottom w:val="none" w:sz="0" w:space="0" w:color="auto"/>
            <w:right w:val="none" w:sz="0" w:space="0" w:color="auto"/>
          </w:divBdr>
        </w:div>
        <w:div w:id="1008947683">
          <w:marLeft w:val="0"/>
          <w:marRight w:val="0"/>
          <w:marTop w:val="0"/>
          <w:marBottom w:val="0"/>
          <w:divBdr>
            <w:top w:val="none" w:sz="0" w:space="0" w:color="auto"/>
            <w:left w:val="none" w:sz="0" w:space="0" w:color="auto"/>
            <w:bottom w:val="none" w:sz="0" w:space="0" w:color="auto"/>
            <w:right w:val="none" w:sz="0" w:space="0" w:color="auto"/>
          </w:divBdr>
        </w:div>
        <w:div w:id="22639788">
          <w:marLeft w:val="0"/>
          <w:marRight w:val="0"/>
          <w:marTop w:val="0"/>
          <w:marBottom w:val="0"/>
          <w:divBdr>
            <w:top w:val="none" w:sz="0" w:space="0" w:color="auto"/>
            <w:left w:val="none" w:sz="0" w:space="0" w:color="auto"/>
            <w:bottom w:val="none" w:sz="0" w:space="0" w:color="auto"/>
            <w:right w:val="none" w:sz="0" w:space="0" w:color="auto"/>
          </w:divBdr>
        </w:div>
        <w:div w:id="180246901">
          <w:marLeft w:val="0"/>
          <w:marRight w:val="0"/>
          <w:marTop w:val="0"/>
          <w:marBottom w:val="0"/>
          <w:divBdr>
            <w:top w:val="none" w:sz="0" w:space="0" w:color="auto"/>
            <w:left w:val="none" w:sz="0" w:space="0" w:color="auto"/>
            <w:bottom w:val="none" w:sz="0" w:space="0" w:color="auto"/>
            <w:right w:val="none" w:sz="0" w:space="0" w:color="auto"/>
          </w:divBdr>
        </w:div>
        <w:div w:id="318655652">
          <w:marLeft w:val="0"/>
          <w:marRight w:val="0"/>
          <w:marTop w:val="0"/>
          <w:marBottom w:val="0"/>
          <w:divBdr>
            <w:top w:val="none" w:sz="0" w:space="0" w:color="auto"/>
            <w:left w:val="none" w:sz="0" w:space="0" w:color="auto"/>
            <w:bottom w:val="none" w:sz="0" w:space="0" w:color="auto"/>
            <w:right w:val="none" w:sz="0" w:space="0" w:color="auto"/>
          </w:divBdr>
        </w:div>
        <w:div w:id="1189298166">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 w:id="2133746419">
      <w:bodyDiv w:val="1"/>
      <w:marLeft w:val="0"/>
      <w:marRight w:val="0"/>
      <w:marTop w:val="0"/>
      <w:marBottom w:val="0"/>
      <w:divBdr>
        <w:top w:val="none" w:sz="0" w:space="0" w:color="auto"/>
        <w:left w:val="none" w:sz="0" w:space="0" w:color="auto"/>
        <w:bottom w:val="none" w:sz="0" w:space="0" w:color="auto"/>
        <w:right w:val="none" w:sz="0" w:space="0" w:color="auto"/>
      </w:divBdr>
      <w:divsChild>
        <w:div w:id="615791410">
          <w:marLeft w:val="0"/>
          <w:marRight w:val="0"/>
          <w:marTop w:val="0"/>
          <w:marBottom w:val="0"/>
          <w:divBdr>
            <w:top w:val="none" w:sz="0" w:space="0" w:color="auto"/>
            <w:left w:val="none" w:sz="0" w:space="0" w:color="auto"/>
            <w:bottom w:val="none" w:sz="0" w:space="0" w:color="auto"/>
            <w:right w:val="none" w:sz="0" w:space="0" w:color="auto"/>
          </w:divBdr>
        </w:div>
        <w:div w:id="2131585827">
          <w:marLeft w:val="0"/>
          <w:marRight w:val="0"/>
          <w:marTop w:val="0"/>
          <w:marBottom w:val="0"/>
          <w:divBdr>
            <w:top w:val="none" w:sz="0" w:space="0" w:color="auto"/>
            <w:left w:val="none" w:sz="0" w:space="0" w:color="auto"/>
            <w:bottom w:val="none" w:sz="0" w:space="0" w:color="auto"/>
            <w:right w:val="none" w:sz="0" w:space="0" w:color="auto"/>
          </w:divBdr>
        </w:div>
        <w:div w:id="1465269120">
          <w:marLeft w:val="0"/>
          <w:marRight w:val="0"/>
          <w:marTop w:val="0"/>
          <w:marBottom w:val="0"/>
          <w:divBdr>
            <w:top w:val="none" w:sz="0" w:space="0" w:color="auto"/>
            <w:left w:val="none" w:sz="0" w:space="0" w:color="auto"/>
            <w:bottom w:val="none" w:sz="0" w:space="0" w:color="auto"/>
            <w:right w:val="none" w:sz="0" w:space="0" w:color="auto"/>
          </w:divBdr>
        </w:div>
        <w:div w:id="745952243">
          <w:marLeft w:val="0"/>
          <w:marRight w:val="0"/>
          <w:marTop w:val="0"/>
          <w:marBottom w:val="0"/>
          <w:divBdr>
            <w:top w:val="none" w:sz="0" w:space="0" w:color="auto"/>
            <w:left w:val="none" w:sz="0" w:space="0" w:color="auto"/>
            <w:bottom w:val="none" w:sz="0" w:space="0" w:color="auto"/>
            <w:right w:val="none" w:sz="0" w:space="0" w:color="auto"/>
          </w:divBdr>
        </w:div>
        <w:div w:id="944534864">
          <w:marLeft w:val="0"/>
          <w:marRight w:val="0"/>
          <w:marTop w:val="0"/>
          <w:marBottom w:val="0"/>
          <w:divBdr>
            <w:top w:val="none" w:sz="0" w:space="0" w:color="auto"/>
            <w:left w:val="none" w:sz="0" w:space="0" w:color="auto"/>
            <w:bottom w:val="none" w:sz="0" w:space="0" w:color="auto"/>
            <w:right w:val="none" w:sz="0" w:space="0" w:color="auto"/>
          </w:divBdr>
        </w:div>
        <w:div w:id="1006329159">
          <w:marLeft w:val="0"/>
          <w:marRight w:val="0"/>
          <w:marTop w:val="0"/>
          <w:marBottom w:val="0"/>
          <w:divBdr>
            <w:top w:val="none" w:sz="0" w:space="0" w:color="auto"/>
            <w:left w:val="none" w:sz="0" w:space="0" w:color="auto"/>
            <w:bottom w:val="none" w:sz="0" w:space="0" w:color="auto"/>
            <w:right w:val="none" w:sz="0" w:space="0" w:color="auto"/>
          </w:divBdr>
        </w:div>
        <w:div w:id="17202160">
          <w:marLeft w:val="0"/>
          <w:marRight w:val="0"/>
          <w:marTop w:val="0"/>
          <w:marBottom w:val="0"/>
          <w:divBdr>
            <w:top w:val="none" w:sz="0" w:space="0" w:color="auto"/>
            <w:left w:val="none" w:sz="0" w:space="0" w:color="auto"/>
            <w:bottom w:val="none" w:sz="0" w:space="0" w:color="auto"/>
            <w:right w:val="none" w:sz="0" w:space="0" w:color="auto"/>
          </w:divBdr>
        </w:div>
        <w:div w:id="1409231743">
          <w:marLeft w:val="0"/>
          <w:marRight w:val="0"/>
          <w:marTop w:val="0"/>
          <w:marBottom w:val="0"/>
          <w:divBdr>
            <w:top w:val="none" w:sz="0" w:space="0" w:color="auto"/>
            <w:left w:val="none" w:sz="0" w:space="0" w:color="auto"/>
            <w:bottom w:val="none" w:sz="0" w:space="0" w:color="auto"/>
            <w:right w:val="none" w:sz="0" w:space="0" w:color="auto"/>
          </w:divBdr>
        </w:div>
        <w:div w:id="799955746">
          <w:marLeft w:val="0"/>
          <w:marRight w:val="0"/>
          <w:marTop w:val="0"/>
          <w:marBottom w:val="0"/>
          <w:divBdr>
            <w:top w:val="none" w:sz="0" w:space="0" w:color="auto"/>
            <w:left w:val="none" w:sz="0" w:space="0" w:color="auto"/>
            <w:bottom w:val="none" w:sz="0" w:space="0" w:color="auto"/>
            <w:right w:val="none" w:sz="0" w:space="0" w:color="auto"/>
          </w:divBdr>
        </w:div>
        <w:div w:id="1171722714">
          <w:marLeft w:val="0"/>
          <w:marRight w:val="0"/>
          <w:marTop w:val="0"/>
          <w:marBottom w:val="0"/>
          <w:divBdr>
            <w:top w:val="none" w:sz="0" w:space="0" w:color="auto"/>
            <w:left w:val="none" w:sz="0" w:space="0" w:color="auto"/>
            <w:bottom w:val="none" w:sz="0" w:space="0" w:color="auto"/>
            <w:right w:val="none" w:sz="0" w:space="0" w:color="auto"/>
          </w:divBdr>
        </w:div>
        <w:div w:id="1486968013">
          <w:marLeft w:val="0"/>
          <w:marRight w:val="0"/>
          <w:marTop w:val="0"/>
          <w:marBottom w:val="0"/>
          <w:divBdr>
            <w:top w:val="none" w:sz="0" w:space="0" w:color="auto"/>
            <w:left w:val="none" w:sz="0" w:space="0" w:color="auto"/>
            <w:bottom w:val="none" w:sz="0" w:space="0" w:color="auto"/>
            <w:right w:val="none" w:sz="0" w:space="0" w:color="auto"/>
          </w:divBdr>
        </w:div>
        <w:div w:id="1740863913">
          <w:marLeft w:val="0"/>
          <w:marRight w:val="0"/>
          <w:marTop w:val="0"/>
          <w:marBottom w:val="0"/>
          <w:divBdr>
            <w:top w:val="none" w:sz="0" w:space="0" w:color="auto"/>
            <w:left w:val="none" w:sz="0" w:space="0" w:color="auto"/>
            <w:bottom w:val="none" w:sz="0" w:space="0" w:color="auto"/>
            <w:right w:val="none" w:sz="0" w:space="0" w:color="auto"/>
          </w:divBdr>
        </w:div>
        <w:div w:id="1752847141">
          <w:marLeft w:val="0"/>
          <w:marRight w:val="0"/>
          <w:marTop w:val="0"/>
          <w:marBottom w:val="0"/>
          <w:divBdr>
            <w:top w:val="none" w:sz="0" w:space="0" w:color="auto"/>
            <w:left w:val="none" w:sz="0" w:space="0" w:color="auto"/>
            <w:bottom w:val="none" w:sz="0" w:space="0" w:color="auto"/>
            <w:right w:val="none" w:sz="0" w:space="0" w:color="auto"/>
          </w:divBdr>
        </w:div>
        <w:div w:id="1696734360">
          <w:marLeft w:val="0"/>
          <w:marRight w:val="0"/>
          <w:marTop w:val="0"/>
          <w:marBottom w:val="0"/>
          <w:divBdr>
            <w:top w:val="none" w:sz="0" w:space="0" w:color="auto"/>
            <w:left w:val="none" w:sz="0" w:space="0" w:color="auto"/>
            <w:bottom w:val="none" w:sz="0" w:space="0" w:color="auto"/>
            <w:right w:val="none" w:sz="0" w:space="0" w:color="auto"/>
          </w:divBdr>
        </w:div>
        <w:div w:id="175929638">
          <w:marLeft w:val="0"/>
          <w:marRight w:val="0"/>
          <w:marTop w:val="0"/>
          <w:marBottom w:val="0"/>
          <w:divBdr>
            <w:top w:val="none" w:sz="0" w:space="0" w:color="auto"/>
            <w:left w:val="none" w:sz="0" w:space="0" w:color="auto"/>
            <w:bottom w:val="none" w:sz="0" w:space="0" w:color="auto"/>
            <w:right w:val="none" w:sz="0" w:space="0" w:color="auto"/>
          </w:divBdr>
        </w:div>
        <w:div w:id="1231965143">
          <w:marLeft w:val="0"/>
          <w:marRight w:val="0"/>
          <w:marTop w:val="0"/>
          <w:marBottom w:val="0"/>
          <w:divBdr>
            <w:top w:val="none" w:sz="0" w:space="0" w:color="auto"/>
            <w:left w:val="none" w:sz="0" w:space="0" w:color="auto"/>
            <w:bottom w:val="none" w:sz="0" w:space="0" w:color="auto"/>
            <w:right w:val="none" w:sz="0" w:space="0" w:color="auto"/>
          </w:divBdr>
        </w:div>
        <w:div w:id="388964304">
          <w:marLeft w:val="0"/>
          <w:marRight w:val="0"/>
          <w:marTop w:val="0"/>
          <w:marBottom w:val="0"/>
          <w:divBdr>
            <w:top w:val="none" w:sz="0" w:space="0" w:color="auto"/>
            <w:left w:val="none" w:sz="0" w:space="0" w:color="auto"/>
            <w:bottom w:val="none" w:sz="0" w:space="0" w:color="auto"/>
            <w:right w:val="none" w:sz="0" w:space="0" w:color="auto"/>
          </w:divBdr>
        </w:div>
        <w:div w:id="162088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doi.org/10.1007/s10654-014-9969-1" TargetMode="External"/><Relationship Id="rId47" Type="http://schemas.openxmlformats.org/officeDocument/2006/relationships/hyperlink" Target="https://doi.org/10.1080/10345329.2020.1840957" TargetMode="External"/><Relationship Id="rId63" Type="http://schemas.openxmlformats.org/officeDocument/2006/relationships/hyperlink" Target="https://vawc.com.au/wp-content/uploads/2020/10/STACY-working-with-complexity-Final-Report.pdf" TargetMode="External"/><Relationship Id="rId68" Type="http://schemas.openxmlformats.org/officeDocument/2006/relationships/hyperlink" Target="https://doi.org/10.1080/0312407X.2017.1413666" TargetMode="External"/><Relationship Id="rId84" Type="http://schemas.openxmlformats.org/officeDocument/2006/relationships/hyperlink" Target="https://doi.org/10.1016/j.chiabu.2010.02.011" TargetMode="External"/><Relationship Id="rId89" Type="http://schemas.openxmlformats.org/officeDocument/2006/relationships/hyperlink" Target="https://doi.org/10.1142/S1084946714500228" TargetMode="External"/><Relationship Id="rId16" Type="http://schemas.openxmlformats.org/officeDocument/2006/relationships/hyperlink" Target="http://www.anrows.org.au" TargetMode="External"/><Relationship Id="rId11" Type="http://schemas.openxmlformats.org/officeDocument/2006/relationships/image" Target="media/image1.png"/><Relationship Id="rId32" Type="http://schemas.openxmlformats.org/officeDocument/2006/relationships/hyperlink" Target="https://doi.org/10.1093/pubmed/fdy033" TargetMode="External"/><Relationship Id="rId37" Type="http://schemas.openxmlformats.org/officeDocument/2006/relationships/hyperlink" Target="https://www.aihw.gov.au/reports/child-protection/child-protection-australia-2020-21/contents/about" TargetMode="External"/><Relationship Id="rId53" Type="http://schemas.openxmlformats.org/officeDocument/2006/relationships/hyperlink" Target="https://www.facs.nsw.gov.au/__data/assets/pdf_file/0009/778734/OOHC-policy-context-during-the-POCLS-data-collection.pdf" TargetMode="External"/><Relationship Id="rId58" Type="http://schemas.openxmlformats.org/officeDocument/2006/relationships/hyperlink" Target="https://doi.org/10.1111/j.1365-2206.2008.00559.x" TargetMode="External"/><Relationship Id="rId74" Type="http://schemas.openxmlformats.org/officeDocument/2006/relationships/hyperlink" Target="https://doi.org/10.1016/j.chiabu.2015.07.006" TargetMode="External"/><Relationship Id="rId79" Type="http://schemas.openxmlformats.org/officeDocument/2006/relationships/hyperlink" Target="https://www.health.nsw.gov.au/parvan/Publications/iparvan-framework.pdf" TargetMode="External"/><Relationship Id="rId5" Type="http://schemas.openxmlformats.org/officeDocument/2006/relationships/numbering" Target="numbering.xml"/><Relationship Id="rId90" Type="http://schemas.openxmlformats.org/officeDocument/2006/relationships/hyperlink" Target="https://apo.org.au/node/2851" TargetMode="External"/><Relationship Id="rId95"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s://doi.org/10.1371/journal.pone.0249088" TargetMode="External"/><Relationship Id="rId48" Type="http://schemas.openxmlformats.org/officeDocument/2006/relationships/hyperlink" Target="https://doi.org/10.1007/s12187-014-9238-6" TargetMode="External"/><Relationship Id="rId64" Type="http://schemas.openxmlformats.org/officeDocument/2006/relationships/hyperlink" Target="https://vawc.com.au/wp-content/uploads/2020/10/STACY-Practice-Guide-Working-with-Complexity.pdf" TargetMode="External"/><Relationship Id="rId69" Type="http://schemas.openxmlformats.org/officeDocument/2006/relationships/hyperlink" Target="https://doi.org/10.1111/cfs.12885" TargetMode="External"/><Relationship Id="rId80" Type="http://schemas.openxmlformats.org/officeDocument/2006/relationships/hyperlink" Target="https://www.cherel.org.au/datasets" TargetMode="External"/><Relationship Id="rId85" Type="http://schemas.openxmlformats.org/officeDocument/2006/relationships/hyperlink" Target="https://rlc.org.au/news-and-media/news/nsw-police-person-searches-disproportionate-impac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nrows.org.au/" TargetMode="External"/><Relationship Id="rId25" Type="http://schemas.openxmlformats.org/officeDocument/2006/relationships/image" Target="media/image10.png"/><Relationship Id="rId33" Type="http://schemas.openxmlformats.org/officeDocument/2006/relationships/hyperlink" Target="https://doi.org/10.1007/s11121-019-01052-y" TargetMode="External"/><Relationship Id="rId38" Type="http://schemas.openxmlformats.org/officeDocument/2006/relationships/hyperlink" Target="https://www.aihw.gov.au/reports/australias-health/social-determinants-of-health" TargetMode="External"/><Relationship Id="rId46" Type="http://schemas.openxmlformats.org/officeDocument/2006/relationships/hyperlink" Target="https://psplearninghub.com.au/wp-content/uploads/SDM%C2%AE-Safety-and-Risk-Assessments.pdf" TargetMode="External"/><Relationship Id="rId59" Type="http://schemas.openxmlformats.org/officeDocument/2006/relationships/hyperlink" Target="https://www.anrows.org.au/warawarni-gu-guma-statement/" TargetMode="External"/><Relationship Id="rId67" Type="http://schemas.openxmlformats.org/officeDocument/2006/relationships/hyperlink" Target="https://www.anrows.org.au/publication/pathways-and-research-into-collaborative-inter-agency-practice-collaborative-work-across-the-child-protection-and-specialist-domestic-and-family-violence-interface-the-patricia-project-final-report/" TargetMode="External"/><Relationship Id="rId20" Type="http://schemas.openxmlformats.org/officeDocument/2006/relationships/footer" Target="footer1.xml"/><Relationship Id="rId41" Type="http://schemas.openxmlformats.org/officeDocument/2006/relationships/hyperlink" Target="https://doi.org/10.1016/j.chiabu.2020.104605" TargetMode="External"/><Relationship Id="rId54" Type="http://schemas.openxmlformats.org/officeDocument/2006/relationships/hyperlink" Target="https://www.facs.nsw.gov.au/families/childstory/what-is-childstory" TargetMode="External"/><Relationship Id="rId62" Type="http://schemas.openxmlformats.org/officeDocument/2006/relationships/hyperlink" Target="https://doi.org/10.1016/j.childyouth.2004.02.022" TargetMode="External"/><Relationship Id="rId70" Type="http://schemas.openxmlformats.org/officeDocument/2006/relationships/hyperlink" Target="https://www.anrows.org.au/publication/safe-together-addressing-complexity-for-children-stacy-for-children/" TargetMode="External"/><Relationship Id="rId75" Type="http://schemas.openxmlformats.org/officeDocument/2006/relationships/hyperlink" Target="https://comorbidityguidelines.org.au/pdf/comorbidity-guideline.pdf" TargetMode="External"/><Relationship Id="rId83" Type="http://schemas.openxmlformats.org/officeDocument/2006/relationships/hyperlink" Target="https://doi.org/10.1016/j.chiabu.2019.05.007" TargetMode="External"/><Relationship Id="rId88" Type="http://schemas.openxmlformats.org/officeDocument/2006/relationships/hyperlink" Target="https://doi.org/10.1177/1077559519843605" TargetMode="External"/><Relationship Id="rId91" Type="http://schemas.openxmlformats.org/officeDocument/2006/relationships/hyperlink" Target="https://www.who.int/news-room/fact-sheets/detail/mental-health-strengthening-our-response" TargetMode="External"/><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nc/3.0/au/legalcod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abs.gov.au/AUSSTATS/abs@.nsf/Lookup/2033.0.55.001Main+Features12016?OpenDocument" TargetMode="External"/><Relationship Id="rId49" Type="http://schemas.openxmlformats.org/officeDocument/2006/relationships/hyperlink" Target="https://www.facs.nsw.gov.au/families/out-of-home-care/about-out-of-home-care/care-types" TargetMode="External"/><Relationship Id="rId57" Type="http://schemas.openxmlformats.org/officeDocument/2006/relationships/hyperlink" Target="https://www.dss.gov.au/the-national-plan-to-end-violence-against-women-and-children/the-national-plan-to-end-violence-against-women-and-children-2022-2032"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www.dss.gov.au/women/programs-services/reducing-violence/the-national-plan-to-reduce-violence-against-women-and-their-children-2010-2022" TargetMode="External"/><Relationship Id="rId52" Type="http://schemas.openxmlformats.org/officeDocument/2006/relationships/hyperlink" Target="https://www.facs.nsw.gov.au/families/carers/about-relative-and-kinship-care" TargetMode="External"/><Relationship Id="rId60" Type="http://schemas.openxmlformats.org/officeDocument/2006/relationships/hyperlink" Target="https://www.facs.nsw.gov.au/__data/assets/file/0007/419218/Brighter_Futures_Service_Provision_Guidelines_2017_Ver0717.pdf" TargetMode="External"/><Relationship Id="rId65" Type="http://schemas.openxmlformats.org/officeDocument/2006/relationships/hyperlink" Target="https://doi.org/10.1177/0886109919848750" TargetMode="External"/><Relationship Id="rId73" Type="http://schemas.openxmlformats.org/officeDocument/2006/relationships/hyperlink" Target="https://media.opengov.nsw.gov.au/pairtree_root/00/d7/3b/2e/75/50/4f/9f/ab/55/ef/48/4a/d3/9c/3f/obj/operation_tepito_interim_report_january_2020.pdf" TargetMode="External"/><Relationship Id="rId78" Type="http://schemas.openxmlformats.org/officeDocument/2006/relationships/hyperlink" Target="https://doi.org/10.1016/j.chiabu.2014.01.002" TargetMode="External"/><Relationship Id="rId81" Type="http://schemas.openxmlformats.org/officeDocument/2006/relationships/hyperlink" Target="https://doi.org/10.1002/car.2808" TargetMode="External"/><Relationship Id="rId86" Type="http://schemas.openxmlformats.org/officeDocument/2006/relationships/hyperlink" Target="https://doi.org/10.1016/j.chiabu.2021.105321" TargetMode="External"/><Relationship Id="rId94" Type="http://schemas.openxmlformats.org/officeDocument/2006/relationships/footer" Target="footer2.xml"/><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bit.ly/2ErTfTp" TargetMode="External"/><Relationship Id="rId18" Type="http://schemas.openxmlformats.org/officeDocument/2006/relationships/image" Target="media/image4.jpeg"/><Relationship Id="rId39" Type="http://schemas.openxmlformats.org/officeDocument/2006/relationships/hyperlink" Target="https://www.aihw.gov.au/reports/mental-health/stress-and-trauma" TargetMode="External"/><Relationship Id="rId34" Type="http://schemas.openxmlformats.org/officeDocument/2006/relationships/hyperlink" Target="https://www.abs.gov.au/ausstats/abs@.nsf/mf/1270.0.55.001" TargetMode="External"/><Relationship Id="rId50" Type="http://schemas.openxmlformats.org/officeDocument/2006/relationships/hyperlink" Target="https://www.facs.nsw.gov.au/families/Protecting-kids/reporting-child-at-risk/should-i-call" TargetMode="External"/><Relationship Id="rId55" Type="http://schemas.openxmlformats.org/officeDocument/2006/relationships/hyperlink" Target="https://www.health.vic.gov.au/maternal-child-health/child-development-information-system" TargetMode="External"/><Relationship Id="rId76" Type="http://schemas.openxmlformats.org/officeDocument/2006/relationships/hyperlink" Target="https://doi.org/10.1016/j.childyouth.2020.105905" TargetMode="External"/><Relationship Id="rId9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doi.org/10.1016/j.chiabu.2011.01.006" TargetMode="External"/><Relationship Id="rId92" Type="http://schemas.openxmlformats.org/officeDocument/2006/relationships/hyperlink" Target="https://www.anrows.org.au/publication/critical-interpretive-synthesis-child-protection-involvement-for-families-with-domestic-and-family-violence-alcohol-and-other-drug-issues-and-mental-health-issues/"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doi.org/10.1177/1077559516664985" TargetMode="External"/><Relationship Id="rId45" Type="http://schemas.openxmlformats.org/officeDocument/2006/relationships/hyperlink" Target="https://doi.org/10.2307/1229039" TargetMode="External"/><Relationship Id="rId66" Type="http://schemas.openxmlformats.org/officeDocument/2006/relationships/hyperlink" Target="https://doi.org/10.1108/17570971211241912" TargetMode="External"/><Relationship Id="rId87" Type="http://schemas.openxmlformats.org/officeDocument/2006/relationships/hyperlink" Target="https://apo.org.au/sites/default/files/resource-files/2019-07/apo-nid246396.pdf" TargetMode="External"/><Relationship Id="rId61" Type="http://schemas.openxmlformats.org/officeDocument/2006/relationships/hyperlink" Target="https://doi.org/10.1007/s12187-011-9121-7" TargetMode="External"/><Relationship Id="rId82" Type="http://schemas.openxmlformats.org/officeDocument/2006/relationships/hyperlink" Target="https://doi.org/10.1097/01.ogx.0000697380.77419.29" TargetMode="External"/><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hyperlink" Target="https://data.gov.au/dataset/ds-dga-23fe168c-09a7-42d2-a2f9-fd08fbd0a4ce/details" TargetMode="External"/><Relationship Id="rId56" Type="http://schemas.openxmlformats.org/officeDocument/2006/relationships/hyperlink" Target="https://www.dss.gov.au/sites/default/files/documents/12_2021/dess5016-national-framework-protecting-childrenaccessible.pdf" TargetMode="External"/><Relationship Id="rId77" Type="http://schemas.openxmlformats.org/officeDocument/2006/relationships/hyperlink" Target="https://www.health.nsw.gov.au/mentalhealth/resources/Publications/comorbid-mental-care-review.pdf"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acs.nsw.gov.au/families/support-programs/all-families/brighter-futures" TargetMode="External"/><Relationship Id="rId72" Type="http://schemas.openxmlformats.org/officeDocument/2006/relationships/hyperlink" Target="https://doi.org/10.1002/ajs4.155" TargetMode="External"/><Relationship Id="rId93" Type="http://schemas.openxmlformats.org/officeDocument/2006/relationships/hyperlink" Target="https://doi.org/10.1016/j.childyouth.2013.11.018" TargetMode="Externa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facs.nsw.gov.au/families/carers/about-relative-and-kinship-care" TargetMode="External"/><Relationship Id="rId2" Type="http://schemas.openxmlformats.org/officeDocument/2006/relationships/hyperlink" Target="https://www.facs.nsw.gov.au/families/childstory/what-is-childstory" TargetMode="External"/><Relationship Id="rId1" Type="http://schemas.openxmlformats.org/officeDocument/2006/relationships/hyperlink" Target="https://www.facs.nsw.gov.au/families/childstory/what-is-childstor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7BB6EF82B54CB9AD8C69F00A13A408"/>
        <w:category>
          <w:name w:val="General"/>
          <w:gallery w:val="placeholder"/>
        </w:category>
        <w:types>
          <w:type w:val="bbPlcHdr"/>
        </w:types>
        <w:behaviors>
          <w:behavior w:val="content"/>
        </w:behaviors>
        <w:guid w:val="{66832CE6-045B-4CF0-B410-A1EDA2929B67}"/>
      </w:docPartPr>
      <w:docPartBody>
        <w:p w:rsidR="002F42E2" w:rsidRDefault="002F42E2">
          <w:r w:rsidRPr="00780F6C">
            <w:rPr>
              <w:rStyle w:val="PlaceholderText"/>
            </w:rPr>
            <w:t>[Title]</w:t>
          </w:r>
        </w:p>
      </w:docPartBody>
    </w:docPart>
    <w:docPart>
      <w:docPartPr>
        <w:name w:val="6FDA9A0536184FE7A96D633FE144B108"/>
        <w:category>
          <w:name w:val="General"/>
          <w:gallery w:val="placeholder"/>
        </w:category>
        <w:types>
          <w:type w:val="bbPlcHdr"/>
        </w:types>
        <w:behaviors>
          <w:behavior w:val="content"/>
        </w:behaviors>
        <w:guid w:val="{1029CE0A-2C00-4062-8E58-7167093BEABB}"/>
      </w:docPartPr>
      <w:docPartBody>
        <w:p w:rsidR="00E32F82" w:rsidRDefault="00E32F82" w:rsidP="00E32F82">
          <w:pPr>
            <w:pStyle w:val="6FDA9A0536184FE7A96D633FE144B108"/>
          </w:pPr>
          <w:r w:rsidRPr="00780F6C">
            <w:rPr>
              <w:rStyle w:val="PlaceholderText"/>
            </w:rPr>
            <w:t>[Title]</w:t>
          </w:r>
        </w:p>
      </w:docPartBody>
    </w:docPart>
    <w:docPart>
      <w:docPartPr>
        <w:name w:val="E5A29A1921FD41F4BDEE38B75488A1CF"/>
        <w:category>
          <w:name w:val="General"/>
          <w:gallery w:val="placeholder"/>
        </w:category>
        <w:types>
          <w:type w:val="bbPlcHdr"/>
        </w:types>
        <w:behaviors>
          <w:behavior w:val="content"/>
        </w:behaviors>
        <w:guid w:val="{035CC22B-A21B-4A8C-BBCD-D2AA91371207}"/>
      </w:docPartPr>
      <w:docPartBody>
        <w:p w:rsidR="00CB7DE4" w:rsidRDefault="00CB7DE4" w:rsidP="00CB7DE4">
          <w:pPr>
            <w:pStyle w:val="E5A29A1921FD41F4BDEE38B75488A1CF"/>
          </w:pPr>
          <w:r w:rsidRPr="00780F6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2E2"/>
    <w:rsid w:val="001B4EFC"/>
    <w:rsid w:val="002F42E2"/>
    <w:rsid w:val="003A4F51"/>
    <w:rsid w:val="006801CA"/>
    <w:rsid w:val="006F1EFF"/>
    <w:rsid w:val="009857FC"/>
    <w:rsid w:val="00A461B3"/>
    <w:rsid w:val="00AF6809"/>
    <w:rsid w:val="00CB7DE4"/>
    <w:rsid w:val="00D9514E"/>
    <w:rsid w:val="00E32F82"/>
    <w:rsid w:val="00EB2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2E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7DE4"/>
    <w:rPr>
      <w:color w:val="808080"/>
    </w:rPr>
  </w:style>
  <w:style w:type="paragraph" w:customStyle="1" w:styleId="E5A29A1921FD41F4BDEE38B75488A1CF">
    <w:name w:val="E5A29A1921FD41F4BDEE38B75488A1CF"/>
    <w:rsid w:val="00CB7DE4"/>
    <w:rPr>
      <w:lang w:val="en-AU" w:eastAsia="en-AU"/>
    </w:rPr>
  </w:style>
  <w:style w:type="paragraph" w:customStyle="1" w:styleId="6FDA9A0536184FE7A96D633FE144B108">
    <w:name w:val="6FDA9A0536184FE7A96D633FE144B108"/>
    <w:rsid w:val="00E32F82"/>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d4caef9cdc4c7bb00214f86f5493ebe4">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711b113b50928b4870a5fbfc8392dd33"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customXml/itemProps2.xml><?xml version="1.0" encoding="utf-8"?>
<ds:datastoreItem xmlns:ds="http://schemas.openxmlformats.org/officeDocument/2006/customXml" ds:itemID="{FC36349A-CDCE-435F-8C9A-97D246181355}">
  <ds:schemaRefs>
    <ds:schemaRef ds:uri="http://schemas.microsoft.com/sharepoint/v3/contenttype/forms"/>
  </ds:schemaRefs>
</ds:datastoreItem>
</file>

<file path=customXml/itemProps3.xml><?xml version="1.0" encoding="utf-8"?>
<ds:datastoreItem xmlns:ds="http://schemas.openxmlformats.org/officeDocument/2006/customXml" ds:itemID="{865C672A-0208-492C-864A-4DA68DA42939}">
  <ds:schemaRefs>
    <ds:schemaRef ds:uri="http://schemas.microsoft.com/office/2006/metadata/properties"/>
    <ds:schemaRef ds:uri="http://schemas.microsoft.com/office/infopath/2007/PartnerControls"/>
    <ds:schemaRef ds:uri="e8281bd8-fa42-4019-a817-85ae9805ca4a"/>
    <ds:schemaRef ds:uri="98a88b39-0f88-45bc-a02a-7fd93da5203c"/>
  </ds:schemaRefs>
</ds:datastoreItem>
</file>

<file path=customXml/itemProps4.xml><?xml version="1.0" encoding="utf-8"?>
<ds:datastoreItem xmlns:ds="http://schemas.openxmlformats.org/officeDocument/2006/customXml" ds:itemID="{CAD85560-B473-46C6-B806-3E154A31C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27409</Words>
  <Characters>156233</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Analysis of linked longitudinal administrative data on child protection involvement for NSW families with domestic and family  violence, alcohol and other drug issues and mental health issues</vt:lpstr>
    </vt:vector>
  </TitlesOfParts>
  <Company/>
  <LinksUpToDate>false</LinksUpToDate>
  <CharactersWithSpaces>183276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linked longitudinal administrative data on child protection involvement for NSW families with domestic and family  violence, alcohol and other drug issues and mental health issues</dc:title>
  <dc:subject/>
  <dc:creator>Shannon Loh</dc:creator>
  <cp:keywords/>
  <dc:description/>
  <cp:lastModifiedBy>Viv McGregor</cp:lastModifiedBy>
  <cp:revision>2</cp:revision>
  <dcterms:created xsi:type="dcterms:W3CDTF">2025-09-19T06:51:00Z</dcterms:created>
  <dcterms:modified xsi:type="dcterms:W3CDTF">2025-09-19T06:51:00Z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y fmtid="{D5CDD505-2E9C-101B-9397-08002B2CF9AE}" pid="3" name="MediaServiceImageTags">
    <vt:lpwstr/>
  </property>
</Properties>
</file>