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C914E" w14:textId="5962399B" w:rsidR="00041B7D" w:rsidRPr="00041B7D" w:rsidRDefault="00041B7D" w:rsidP="00041B7D">
      <w:pPr>
        <w:spacing w:before="0" w:after="480"/>
      </w:pPr>
      <w:r w:rsidRPr="00041B7D">
        <w:rPr>
          <w:noProof/>
        </w:rPr>
        <w:drawing>
          <wp:inline distT="0" distB="0" distL="0" distR="0" wp14:anchorId="2848E0FA" wp14:editId="0F33CAD4">
            <wp:extent cx="1084521" cy="1095402"/>
            <wp:effectExtent l="0" t="0" r="1905" b="0"/>
            <wp:docPr id="765650156"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0156" name="Picture 1" descr="A black and white logo&#10;&#10;AI-generated content may be incorrect."/>
                    <pic:cNvPicPr/>
                  </pic:nvPicPr>
                  <pic:blipFill>
                    <a:blip r:embed="rId11"/>
                    <a:stretch>
                      <a:fillRect/>
                    </a:stretch>
                  </pic:blipFill>
                  <pic:spPr>
                    <a:xfrm>
                      <a:off x="0" y="0"/>
                      <a:ext cx="1096675" cy="1107678"/>
                    </a:xfrm>
                    <a:prstGeom prst="rect">
                      <a:avLst/>
                    </a:prstGeom>
                  </pic:spPr>
                </pic:pic>
              </a:graphicData>
            </a:graphic>
          </wp:inline>
        </w:drawing>
      </w:r>
    </w:p>
    <w:p w14:paraId="7FF97D03" w14:textId="08228C49" w:rsidR="00D96164" w:rsidRDefault="00041B7D" w:rsidP="00F20B9F">
      <w:pPr>
        <w:pStyle w:val="H1"/>
      </w:pPr>
      <w:r w:rsidRPr="00041B7D">
        <w:rPr>
          <w:noProof/>
        </w:rPr>
        <w:t>Attitudes Matter:</w:t>
      </w:r>
      <w:r w:rsidRPr="00041B7D">
        <w:rPr>
          <w:noProof/>
        </w:rPr>
        <w:br/>
        <w:t>NCAS</w:t>
      </w:r>
    </w:p>
    <w:p w14:paraId="27A2C761" w14:textId="6B7FE41B" w:rsidR="00041B7D" w:rsidRPr="00041B7D" w:rsidRDefault="00041B7D" w:rsidP="00F20B9F">
      <w:pPr>
        <w:spacing w:before="360" w:after="360"/>
      </w:pPr>
      <w:r w:rsidRPr="00041B7D">
        <w:rPr>
          <w:noProof/>
        </w:rPr>
        <w:drawing>
          <wp:inline distT="0" distB="0" distL="0" distR="0" wp14:anchorId="245ED4C6" wp14:editId="79F2BCC2">
            <wp:extent cx="4394579" cy="4311660"/>
            <wp:effectExtent l="0" t="0" r="6350" b="0"/>
            <wp:docPr id="1354691617" name="Picture 1" descr="A yellow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1617" name="Picture 1" descr="A yellow and white squares&#10;&#10;AI-generated content may be incorrect."/>
                    <pic:cNvPicPr/>
                  </pic:nvPicPr>
                  <pic:blipFill>
                    <a:blip r:embed="rId12"/>
                    <a:stretch>
                      <a:fillRect/>
                    </a:stretch>
                  </pic:blipFill>
                  <pic:spPr>
                    <a:xfrm>
                      <a:off x="0" y="0"/>
                      <a:ext cx="4436472" cy="4352762"/>
                    </a:xfrm>
                    <a:prstGeom prst="rect">
                      <a:avLst/>
                    </a:prstGeom>
                  </pic:spPr>
                </pic:pic>
              </a:graphicData>
            </a:graphic>
          </wp:inline>
        </w:drawing>
      </w:r>
    </w:p>
    <w:p w14:paraId="7553FCE8" w14:textId="21466523" w:rsidR="00041B7D" w:rsidRPr="00041B7D" w:rsidRDefault="00041B7D" w:rsidP="00041B7D">
      <w:pPr>
        <w:pStyle w:val="Coversubtitle"/>
        <w:rPr>
          <w:rFonts w:cs="Arial"/>
        </w:rPr>
      </w:pPr>
      <w:r w:rsidRPr="00041B7D">
        <w:rPr>
          <w:rFonts w:cs="Arial"/>
        </w:rPr>
        <w:t>The 2021 National Community Attitudes Towards Violence Against Women Survey (NCAS)</w:t>
      </w:r>
    </w:p>
    <w:p w14:paraId="31F0F3BA" w14:textId="6D6C4E56" w:rsidR="00041B7D" w:rsidRPr="00F20B9F" w:rsidRDefault="00041B7D" w:rsidP="00F20B9F">
      <w:pPr>
        <w:pStyle w:val="Coversubtitlesmall"/>
        <w:rPr>
          <w:rFonts w:cs="Arial"/>
        </w:rPr>
      </w:pPr>
      <w:r w:rsidRPr="00041B7D">
        <w:rPr>
          <w:rFonts w:cs="Arial"/>
        </w:rPr>
        <w:t>Findings for young Australians</w:t>
      </w:r>
    </w:p>
    <w:p w14:paraId="7FA1A502" w14:textId="77777777" w:rsidR="00C95DB4" w:rsidRPr="000334CE" w:rsidRDefault="00C95DB4" w:rsidP="00A3239A">
      <w:pPr>
        <w:pStyle w:val="CopyrightHeading"/>
      </w:pPr>
      <w:r w:rsidRPr="000334CE">
        <w:lastRenderedPageBreak/>
        <w:t>ANROWS acknowledgement</w:t>
      </w:r>
    </w:p>
    <w:p w14:paraId="77444438" w14:textId="3BCA3BF8" w:rsidR="00C95DB4" w:rsidRDefault="00C95DB4" w:rsidP="00A3239A">
      <w:pPr>
        <w:pStyle w:val="CopyrightTextCopyrightPage"/>
      </w:pPr>
      <w:r>
        <w:t>This material was largely produced with funding from the Australian Government. Australia’s National Research Organisation for Women’s Safety (ANROWS) gratefully acknowledges the financial and other support it has received from the Australian Government, without which this work would not have been possible. The findings and views reported in this paper are those of the authors and cannot be</w:t>
      </w:r>
      <w:r w:rsidR="00F24C0C">
        <w:t> </w:t>
      </w:r>
      <w:r>
        <w:t>attributed to the Australian Government.</w:t>
      </w:r>
    </w:p>
    <w:p w14:paraId="10FA1A59" w14:textId="77777777" w:rsidR="00C95DB4" w:rsidRDefault="00C95DB4" w:rsidP="00A3239A">
      <w:pPr>
        <w:pStyle w:val="CopyrightTextCopyrightPage"/>
      </w:pPr>
      <w:r>
        <w:t>ANROWS would also like to acknowledge Respect Victoria for its contribution to the project by funding an additional 1,600 Victorian interviews.</w:t>
      </w:r>
    </w:p>
    <w:p w14:paraId="65D18180" w14:textId="0ADE494A" w:rsidR="00C95DB4" w:rsidRPr="000334CE" w:rsidRDefault="00C95DB4" w:rsidP="00A3239A">
      <w:pPr>
        <w:pStyle w:val="CopyrightHeading"/>
      </w:pPr>
      <w:r w:rsidRPr="000334CE">
        <w:t>Acknowledgement of Country</w:t>
      </w:r>
    </w:p>
    <w:p w14:paraId="3161FC0B" w14:textId="2EDFB895" w:rsidR="00C95DB4" w:rsidRPr="00F24C0C" w:rsidRDefault="00C95DB4" w:rsidP="00A3239A">
      <w:pPr>
        <w:pStyle w:val="CopyrightTextCopyrightPage"/>
        <w:rPr>
          <w:spacing w:val="-2"/>
        </w:rPr>
      </w:pPr>
      <w:r w:rsidRPr="00F24C0C">
        <w:rPr>
          <w:spacing w:val="-2"/>
        </w:rPr>
        <w:t xml:space="preserve">ANROWS acknowledges the Traditional Owners of the land across Australia on which we live and work. We pay our respects to Aboriginal and Torres Strait Islander Elders past and present. We value Aboriginal and Torres Strait Islander histories, cultures and knowledge. We are committed to standing and working with First Nations peoples, honouring the truths set out in the </w:t>
      </w:r>
      <w:r w:rsidRPr="00F24C0C">
        <w:rPr>
          <w:rStyle w:val="Hyperlink"/>
          <w:spacing w:val="-2"/>
        </w:rPr>
        <w:t>Warawarni-gu Guma</w:t>
      </w:r>
      <w:r w:rsidR="00F24C0C" w:rsidRPr="00F24C0C">
        <w:rPr>
          <w:rStyle w:val="Hyperlink"/>
          <w:spacing w:val="-2"/>
        </w:rPr>
        <w:t> </w:t>
      </w:r>
      <w:r w:rsidRPr="00F24C0C">
        <w:rPr>
          <w:rStyle w:val="Hyperlink"/>
          <w:spacing w:val="-2"/>
        </w:rPr>
        <w:t>Statement</w:t>
      </w:r>
      <w:r w:rsidRPr="00F24C0C">
        <w:rPr>
          <w:spacing w:val="-2"/>
        </w:rPr>
        <w:t>.</w:t>
      </w:r>
    </w:p>
    <w:p w14:paraId="170F0518" w14:textId="0CAE5668" w:rsidR="00C95DB4" w:rsidRPr="000334CE" w:rsidRDefault="00C95DB4" w:rsidP="00A3239A">
      <w:pPr>
        <w:pStyle w:val="CopyrightHeading"/>
      </w:pPr>
      <w:r w:rsidRPr="000334CE">
        <w:t>Peer review process</w:t>
      </w:r>
    </w:p>
    <w:p w14:paraId="36432E0E" w14:textId="5507CBE0" w:rsidR="00C95DB4" w:rsidRPr="00F24C0C" w:rsidRDefault="00C95DB4" w:rsidP="00A3239A">
      <w:pPr>
        <w:pStyle w:val="CopyrightTextCopyrightPage"/>
        <w:rPr>
          <w:spacing w:val="-2"/>
        </w:rPr>
      </w:pPr>
      <w:r w:rsidRPr="00F24C0C">
        <w:rPr>
          <w:spacing w:val="-2"/>
        </w:rPr>
        <w:t xml:space="preserve">The quality of ANROWS publications is ensured through a rigorous peer review process that is consistent with the principles of the </w:t>
      </w:r>
      <w:r w:rsidRPr="00F24C0C">
        <w:rPr>
          <w:rStyle w:val="Hyperlink"/>
          <w:spacing w:val="-2"/>
        </w:rPr>
        <w:t>Committee on Publication Ethics (COPE) Ethical Guidelines for Peer Review</w:t>
      </w:r>
      <w:r w:rsidRPr="00F24C0C">
        <w:rPr>
          <w:spacing w:val="-2"/>
        </w:rPr>
        <w:t>. This</w:t>
      </w:r>
      <w:r w:rsidR="00F24C0C">
        <w:rPr>
          <w:spacing w:val="-2"/>
        </w:rPr>
        <w:t> </w:t>
      </w:r>
      <w:r w:rsidRPr="00F24C0C">
        <w:rPr>
          <w:spacing w:val="-2"/>
        </w:rPr>
        <w:t>report has been assessed by at least two peer reviewers with relevant academic expertise.</w:t>
      </w:r>
    </w:p>
    <w:p w14:paraId="4A4A9BBD" w14:textId="77777777" w:rsidR="00C95DB4" w:rsidRDefault="00C95DB4" w:rsidP="00A3239A">
      <w:pPr>
        <w:pStyle w:val="CopyrightTextCopyrightPage"/>
      </w:pPr>
      <w:r>
        <w:t>©ANROWS 2023</w:t>
      </w:r>
    </w:p>
    <w:p w14:paraId="2B457488" w14:textId="77777777" w:rsidR="00C95DB4" w:rsidRDefault="00C95DB4" w:rsidP="00A3239A">
      <w:pPr>
        <w:pStyle w:val="CopyrightTextCopyrightPage"/>
      </w:pPr>
      <w:r>
        <w:t xml:space="preserve">With the exception of the ANROWS branding, content provided by third parties, and any material protected by a trademark, all material presented in this publication is licensed under a Creative Commons Attribution-NonCommercial 3.0 Australia (CC BY-NC 3.0 AU) licence. </w:t>
      </w:r>
    </w:p>
    <w:p w14:paraId="22945B34" w14:textId="7215B8FD" w:rsidR="00C95DB4" w:rsidRDefault="00C95DB4" w:rsidP="00A3239A">
      <w:pPr>
        <w:pStyle w:val="CopyrightTextCopyrightPage"/>
      </w:pPr>
      <w:r>
        <w:t xml:space="preserve">The full licence terms are available at </w:t>
      </w:r>
      <w:r w:rsidRPr="00C95DB4">
        <w:rPr>
          <w:rStyle w:val="Hyperlink"/>
        </w:rPr>
        <w:t>creativecommons.org/licenses/by-nc/3.0/au/legalcode</w:t>
      </w:r>
      <w:r>
        <w:t xml:space="preserve"> </w:t>
      </w:r>
    </w:p>
    <w:p w14:paraId="2BD17714" w14:textId="5F0FE0AE" w:rsidR="00A61A1D" w:rsidRDefault="00A61A1D" w:rsidP="00A3239A">
      <w:pPr>
        <w:pStyle w:val="CopyrightTextCopyrightPage"/>
      </w:pPr>
      <w:r w:rsidRPr="008C29F3">
        <w:rPr>
          <w:b/>
          <w:bCs/>
          <w:noProof/>
        </w:rPr>
        <w:drawing>
          <wp:inline distT="0" distB="0" distL="0" distR="0" wp14:anchorId="7F2B64F3" wp14:editId="1E7005BE">
            <wp:extent cx="1080000" cy="385200"/>
            <wp:effectExtent l="0" t="0" r="6350" b="0"/>
            <wp:docPr id="340137069" name="Immagine 4"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37069" name="Immagine 4" descr="Creative Commons Attribution Non-Commercial 3.0 Australia lic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385200"/>
                    </a:xfrm>
                    <a:prstGeom prst="rect">
                      <a:avLst/>
                    </a:prstGeom>
                  </pic:spPr>
                </pic:pic>
              </a:graphicData>
            </a:graphic>
          </wp:inline>
        </w:drawing>
      </w:r>
    </w:p>
    <w:p w14:paraId="307B8C8B" w14:textId="77777777" w:rsidR="00C95DB4" w:rsidRPr="000334CE" w:rsidRDefault="00C95DB4" w:rsidP="00A3239A">
      <w:pPr>
        <w:pStyle w:val="CopyrightHeading"/>
      </w:pPr>
      <w:r w:rsidRPr="000334CE">
        <w:t xml:space="preserve">Published by </w:t>
      </w:r>
    </w:p>
    <w:p w14:paraId="0ECB823F" w14:textId="77777777" w:rsidR="00C95DB4" w:rsidRDefault="00C95DB4" w:rsidP="00A3239A">
      <w:pPr>
        <w:pStyle w:val="CopyrightAddressCopyrightPage"/>
      </w:pPr>
      <w:r>
        <w:t xml:space="preserve">Australia’s National Research Organisation for Women’s Safety Limited (ANROWS) </w:t>
      </w:r>
    </w:p>
    <w:p w14:paraId="305064E2" w14:textId="035EFC2B" w:rsidR="00C95DB4" w:rsidRDefault="00C95DB4" w:rsidP="00A3239A">
      <w:pPr>
        <w:pStyle w:val="CopyrightAddressCopyrightPage"/>
      </w:pPr>
      <w:r>
        <w:t xml:space="preserve">PO Box Q389, Queen Victoria Building, NSW 1230 | </w:t>
      </w:r>
      <w:hyperlink r:id="rId14" w:history="1">
        <w:r w:rsidRPr="00A61A1D">
          <w:rPr>
            <w:rStyle w:val="Hyperlink"/>
          </w:rPr>
          <w:t>www.anrows.org.au</w:t>
        </w:r>
      </w:hyperlink>
      <w:r>
        <w:t xml:space="preserve"> </w:t>
      </w:r>
    </w:p>
    <w:p w14:paraId="173AFC35" w14:textId="77777777" w:rsidR="00C95DB4" w:rsidRDefault="00C95DB4" w:rsidP="00A3239A">
      <w:pPr>
        <w:pStyle w:val="CopyrightAddressCopyrightPage"/>
      </w:pPr>
      <w:r>
        <w:t xml:space="preserve">ABN 67 162 349 171 </w:t>
      </w:r>
    </w:p>
    <w:p w14:paraId="4CEA4961" w14:textId="77777777" w:rsidR="00C95DB4" w:rsidRPr="00C95DB4" w:rsidRDefault="00C95DB4" w:rsidP="00A3239A">
      <w:pPr>
        <w:pStyle w:val="CopyrightTextCopyrightPage"/>
        <w:spacing w:after="113"/>
        <w:rPr>
          <w:rStyle w:val="Strong"/>
        </w:rPr>
      </w:pPr>
      <w:r w:rsidRPr="00C95DB4">
        <w:rPr>
          <w:rStyle w:val="Strong"/>
        </w:rPr>
        <w:t>ISBN: 978-1-922645-80-7 (paperback)</w:t>
      </w:r>
    </w:p>
    <w:p w14:paraId="530DFD0E" w14:textId="77777777" w:rsidR="00C95DB4" w:rsidRPr="00353390" w:rsidRDefault="00C95DB4" w:rsidP="00A3239A">
      <w:pPr>
        <w:rPr>
          <w:rStyle w:val="Strong"/>
          <w:lang w:val="en-US"/>
        </w:rPr>
      </w:pPr>
      <w:r w:rsidRPr="00353390">
        <w:rPr>
          <w:rStyle w:val="Strong"/>
          <w:lang w:val="en-US"/>
        </w:rPr>
        <w:t>ISBN: 978-1-922645-81-4 (PDF)</w:t>
      </w:r>
    </w:p>
    <w:p w14:paraId="5AB1F4BA" w14:textId="77777777" w:rsidR="00C95DB4" w:rsidRDefault="00C95DB4" w:rsidP="00A3239A">
      <w:pPr>
        <w:pStyle w:val="CopyrightTextCopyrightPage"/>
      </w:pPr>
      <w:r>
        <w:t>Please note that there is the potential for minor revisions of this report.</w:t>
      </w:r>
    </w:p>
    <w:p w14:paraId="016DB367" w14:textId="780659F6" w:rsidR="00C95DB4" w:rsidRDefault="00C95DB4" w:rsidP="00A3239A">
      <w:pPr>
        <w:rPr>
          <w:lang w:val="en-US"/>
        </w:rPr>
      </w:pPr>
      <w:r w:rsidRPr="00C95DB4">
        <w:rPr>
          <w:lang w:val="en-US"/>
        </w:rPr>
        <w:t xml:space="preserve">Please check the online version at </w:t>
      </w:r>
      <w:r w:rsidRPr="00C95DB4">
        <w:rPr>
          <w:rStyle w:val="Hyperlink"/>
          <w:lang w:val="en-US"/>
        </w:rPr>
        <w:t>www.anrows.org.au</w:t>
      </w:r>
      <w:r w:rsidRPr="00C95DB4">
        <w:rPr>
          <w:lang w:val="en-US"/>
        </w:rPr>
        <w:t xml:space="preserve"> for any amendments.</w:t>
      </w:r>
    </w:p>
    <w:p w14:paraId="0FB5F9B1" w14:textId="5B213110" w:rsidR="00A61A1D" w:rsidRPr="00C95DB4" w:rsidRDefault="00A61A1D" w:rsidP="00A3239A">
      <w:pPr>
        <w:rPr>
          <w:lang w:val="en-US"/>
        </w:rPr>
      </w:pPr>
      <w:r>
        <w:rPr>
          <w:noProof/>
          <w:lang w:val="en-US"/>
        </w:rPr>
        <w:drawing>
          <wp:inline distT="0" distB="0" distL="0" distR="0" wp14:anchorId="236409E2" wp14:editId="7308C74D">
            <wp:extent cx="2579427" cy="686830"/>
            <wp:effectExtent l="0" t="0" r="0" b="0"/>
            <wp:docPr id="563749435" name="Immagine 5"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9435" name="Immagine 5" descr="National Library of Australia. A catalogue record for this book is available from the National Library of Austral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8092" cy="691800"/>
                    </a:xfrm>
                    <a:prstGeom prst="rect">
                      <a:avLst/>
                    </a:prstGeom>
                  </pic:spPr>
                </pic:pic>
              </a:graphicData>
            </a:graphic>
          </wp:inline>
        </w:drawing>
      </w:r>
    </w:p>
    <w:p w14:paraId="5DDC3072" w14:textId="6DB63074" w:rsidR="00C95DB4" w:rsidRPr="00C95DB4" w:rsidRDefault="00C95DB4" w:rsidP="00A3239A">
      <w:pPr>
        <w:rPr>
          <w:lang w:val="en-US"/>
        </w:rPr>
      </w:pPr>
      <w:r w:rsidRPr="00C95DB4">
        <w:rPr>
          <w:lang w:val="en-US"/>
        </w:rPr>
        <w:br w:type="page"/>
      </w:r>
    </w:p>
    <w:p w14:paraId="3ADE0B57" w14:textId="4BEED55C" w:rsidR="00A61A1D" w:rsidRDefault="00A61A1D" w:rsidP="00F20B9F">
      <w:pPr>
        <w:pStyle w:val="H1"/>
        <w:outlineLvl w:val="9"/>
      </w:pPr>
      <w:bookmarkStart w:id="0" w:name="_Toc187398541"/>
      <w:bookmarkStart w:id="1" w:name="_Toc187398719"/>
      <w:bookmarkStart w:id="2" w:name="_Toc187398914"/>
      <w:r w:rsidRPr="00803B18">
        <w:lastRenderedPageBreak/>
        <w:t>Attitudes</w:t>
      </w:r>
      <w:r w:rsidR="00803B18" w:rsidRPr="00803B18">
        <w:br/>
      </w:r>
      <w:r w:rsidRPr="00803B18">
        <w:t>matter</w:t>
      </w:r>
      <w:bookmarkEnd w:id="0"/>
      <w:bookmarkEnd w:id="1"/>
      <w:bookmarkEnd w:id="2"/>
    </w:p>
    <w:p w14:paraId="713F3DAA" w14:textId="5CFE555E" w:rsidR="00A323F0" w:rsidRPr="00A323F0" w:rsidRDefault="00A323F0" w:rsidP="00A323F0">
      <w:pPr>
        <w:spacing w:before="240" w:after="240"/>
      </w:pPr>
      <w:r w:rsidRPr="00A323F0">
        <w:rPr>
          <w:noProof/>
        </w:rPr>
        <w:drawing>
          <wp:inline distT="0" distB="0" distL="0" distR="0" wp14:anchorId="241DE213" wp14:editId="46CF0A1D">
            <wp:extent cx="4899547" cy="156066"/>
            <wp:effectExtent l="0" t="0" r="0" b="0"/>
            <wp:docPr id="1535155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55290"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407815" cy="172256"/>
                    </a:xfrm>
                    <a:prstGeom prst="rect">
                      <a:avLst/>
                    </a:prstGeom>
                  </pic:spPr>
                </pic:pic>
              </a:graphicData>
            </a:graphic>
          </wp:inline>
        </w:drawing>
      </w:r>
    </w:p>
    <w:p w14:paraId="2123A8CE" w14:textId="08051A4F" w:rsidR="00A323F0" w:rsidRPr="00A323F0" w:rsidRDefault="00A323F0" w:rsidP="00A323F0">
      <w:pPr>
        <w:pStyle w:val="Coversubtitle"/>
        <w:rPr>
          <w:rFonts w:cs="Arial"/>
          <w:b w:val="0"/>
          <w:bCs w:val="0"/>
        </w:rPr>
      </w:pPr>
      <w:r w:rsidRPr="00A323F0">
        <w:rPr>
          <w:rFonts w:cs="Arial"/>
          <w:b w:val="0"/>
          <w:bCs w:val="0"/>
        </w:rPr>
        <w:t xml:space="preserve">The 2021 National Community Attitudes </w:t>
      </w:r>
      <w:r>
        <w:rPr>
          <w:rFonts w:cs="Arial"/>
          <w:b w:val="0"/>
          <w:bCs w:val="0"/>
        </w:rPr>
        <w:t>t</w:t>
      </w:r>
      <w:r w:rsidRPr="00A323F0">
        <w:rPr>
          <w:rFonts w:cs="Arial"/>
          <w:b w:val="0"/>
          <w:bCs w:val="0"/>
        </w:rPr>
        <w:t>owards</w:t>
      </w:r>
      <w:r>
        <w:rPr>
          <w:rFonts w:cs="Arial"/>
          <w:b w:val="0"/>
          <w:bCs w:val="0"/>
        </w:rPr>
        <w:br/>
      </w:r>
      <w:r w:rsidRPr="00A323F0">
        <w:rPr>
          <w:rFonts w:cs="Arial"/>
          <w:b w:val="0"/>
          <w:bCs w:val="0"/>
        </w:rPr>
        <w:t>Violence Against Women Survey (NCAS)</w:t>
      </w:r>
    </w:p>
    <w:p w14:paraId="33E9D8EA" w14:textId="3AA0E782" w:rsidR="00A323F0" w:rsidRPr="00A323F0" w:rsidRDefault="00A323F0" w:rsidP="00A323F0">
      <w:pPr>
        <w:pStyle w:val="Coversubtitle"/>
      </w:pPr>
      <w:r w:rsidRPr="00A323F0">
        <w:t>Findings for young Australians</w:t>
      </w:r>
    </w:p>
    <w:p w14:paraId="649E3DFB" w14:textId="77777777" w:rsidR="00A61A1D" w:rsidRPr="00A61A1D" w:rsidRDefault="00A61A1D" w:rsidP="00A3239A">
      <w:pPr>
        <w:pStyle w:val="Projectlead"/>
      </w:pPr>
      <w:r w:rsidRPr="00A61A1D">
        <w:t>Project lead</w:t>
      </w:r>
    </w:p>
    <w:p w14:paraId="25BCBEBF" w14:textId="77777777" w:rsidR="00A61A1D" w:rsidRPr="00A61A1D" w:rsidRDefault="00A61A1D" w:rsidP="009E67A5">
      <w:pPr>
        <w:pStyle w:val="ResearcherNames"/>
      </w:pPr>
      <w:r w:rsidRPr="00A61A1D">
        <w:t xml:space="preserve">Dr Christine </w:t>
      </w:r>
      <w:r w:rsidRPr="009E67A5">
        <w:t>Coumarelos</w:t>
      </w:r>
    </w:p>
    <w:p w14:paraId="54EE62D4" w14:textId="77777777" w:rsidR="00A61A1D" w:rsidRDefault="00A61A1D" w:rsidP="00A3239A">
      <w:pPr>
        <w:pStyle w:val="Researchertitle"/>
      </w:pPr>
      <w:r w:rsidRPr="00A61A1D">
        <w:t>Director, Research Program (NCAS), ANROWS</w:t>
      </w:r>
    </w:p>
    <w:p w14:paraId="091135A1" w14:textId="77777777" w:rsidR="00A61A1D" w:rsidRPr="00A61A1D" w:rsidRDefault="00A61A1D" w:rsidP="00A3239A">
      <w:pPr>
        <w:pStyle w:val="Researchteam"/>
        <w:outlineLvl w:val="9"/>
      </w:pPr>
      <w:r w:rsidRPr="00A61A1D">
        <w:t>Research team</w:t>
      </w:r>
    </w:p>
    <w:p w14:paraId="744307A0" w14:textId="77777777" w:rsidR="00A61A1D" w:rsidRPr="00A61A1D" w:rsidRDefault="00A61A1D" w:rsidP="00A3239A">
      <w:pPr>
        <w:pStyle w:val="ResearcherNames"/>
      </w:pPr>
      <w:r w:rsidRPr="00A61A1D">
        <w:t>Dr Natalie Roberts</w:t>
      </w:r>
    </w:p>
    <w:p w14:paraId="4A88706C" w14:textId="77777777" w:rsidR="00A61A1D" w:rsidRPr="00A61A1D" w:rsidRDefault="00A61A1D" w:rsidP="00A3239A">
      <w:pPr>
        <w:pStyle w:val="Researchertitle"/>
      </w:pPr>
      <w:r w:rsidRPr="00A61A1D">
        <w:t>Senior Research Officer (NCAS), ANROWS</w:t>
      </w:r>
    </w:p>
    <w:p w14:paraId="6F4DBD44" w14:textId="77777777" w:rsidR="00A61A1D" w:rsidRPr="00A61A1D" w:rsidRDefault="00A61A1D" w:rsidP="00A3239A">
      <w:pPr>
        <w:pStyle w:val="ResearcherNames"/>
      </w:pPr>
      <w:r w:rsidRPr="00A61A1D">
        <w:t>Dr Nicole Weeks</w:t>
      </w:r>
    </w:p>
    <w:p w14:paraId="1462D856" w14:textId="77777777" w:rsidR="00A61A1D" w:rsidRPr="00A61A1D" w:rsidRDefault="00A61A1D" w:rsidP="00A3239A">
      <w:pPr>
        <w:pStyle w:val="Researchertitle"/>
      </w:pPr>
      <w:r w:rsidRPr="00A61A1D">
        <w:t>Principal Research Officer (NCAS), ANROWS</w:t>
      </w:r>
    </w:p>
    <w:p w14:paraId="2F120DD2" w14:textId="77777777" w:rsidR="00A61A1D" w:rsidRPr="00A61A1D" w:rsidRDefault="00A61A1D" w:rsidP="00A3239A">
      <w:pPr>
        <w:pStyle w:val="ResearcherNames"/>
      </w:pPr>
      <w:r w:rsidRPr="00A61A1D">
        <w:t>Victoria Rasmussen</w:t>
      </w:r>
    </w:p>
    <w:p w14:paraId="584B9EBF" w14:textId="7BD93A8E" w:rsidR="00A61A1D" w:rsidRPr="00D32C21" w:rsidRDefault="00A61A1D" w:rsidP="00A3239A">
      <w:pPr>
        <w:pStyle w:val="Researchertitle"/>
      </w:pPr>
      <w:r w:rsidRPr="00A61A1D">
        <w:t>Senior Research Officer (NCAS), ANROWS</w:t>
      </w:r>
    </w:p>
    <w:p w14:paraId="4C540918" w14:textId="4EEDBB02" w:rsidR="000E549E" w:rsidRDefault="000E549E" w:rsidP="00A3239A">
      <w:pPr>
        <w:spacing w:before="0" w:after="0" w:line="240" w:lineRule="auto"/>
        <w:rPr>
          <w:lang w:val="en-GB"/>
        </w:rPr>
      </w:pPr>
      <w:r>
        <w:rPr>
          <w:lang w:val="en-GB"/>
        </w:rPr>
        <w:br w:type="page"/>
      </w:r>
    </w:p>
    <w:p w14:paraId="7CB329E1" w14:textId="77777777" w:rsidR="006F44EE" w:rsidRDefault="00052342" w:rsidP="00A3239A">
      <w:pPr>
        <w:spacing w:before="0"/>
        <w:rPr>
          <w:lang w:val="en-GB"/>
        </w:rPr>
      </w:pPr>
      <w:r>
        <w:rPr>
          <w:noProof/>
          <w:lang w:val="en-GB"/>
        </w:rPr>
        <w:lastRenderedPageBreak/>
        <w:drawing>
          <wp:inline distT="0" distB="0" distL="0" distR="0" wp14:anchorId="567BA921" wp14:editId="7E784C3F">
            <wp:extent cx="1963972" cy="1034091"/>
            <wp:effectExtent l="0" t="0" r="0" b="0"/>
            <wp:docPr id="213693302" name="Immagine 6" descr="(Left) ANROWS logo&#10;Australia's National Research Organisation for Women's Safety to Reduce Violence against Women &amp; their Children&#10;&#10;(Right)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3302" name="Immagine 6" descr="(Left) ANROWS logo&#10;Australia's National Research Organisation for Women's Safety to Reduce Violence against Women &amp; their Children&#10;&#10;(Right) Social Research Centre logo"/>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969715" cy="1037115"/>
                    </a:xfrm>
                    <a:prstGeom prst="rect">
                      <a:avLst/>
                    </a:prstGeom>
                    <a:ln>
                      <a:noFill/>
                    </a:ln>
                    <a:extLst>
                      <a:ext uri="{53640926-AAD7-44D8-BBD7-CCE9431645EC}">
                        <a14:shadowObscured xmlns:a14="http://schemas.microsoft.com/office/drawing/2010/main"/>
                      </a:ext>
                    </a:extLst>
                  </pic:spPr>
                </pic:pic>
              </a:graphicData>
            </a:graphic>
          </wp:inline>
        </w:drawing>
      </w:r>
    </w:p>
    <w:p w14:paraId="1994B8DC" w14:textId="6A005276" w:rsidR="006F44EE" w:rsidRDefault="006F44EE" w:rsidP="006F44EE">
      <w:pPr>
        <w:pStyle w:val="DetailHeading"/>
      </w:pPr>
      <w:r>
        <w:t>Australia’s National Research</w:t>
      </w:r>
      <w:r>
        <w:br/>
        <w:t>Organisation for Women’s Safety</w:t>
      </w:r>
    </w:p>
    <w:p w14:paraId="50CE68BB" w14:textId="79848B1D" w:rsidR="006F44EE" w:rsidRDefault="006F44EE" w:rsidP="006F44EE">
      <w:pPr>
        <w:spacing w:before="0"/>
        <w:rPr>
          <w:lang w:val="en-GB"/>
        </w:rPr>
      </w:pPr>
      <w:r>
        <w:rPr>
          <w:lang w:val="en-GB"/>
        </w:rPr>
        <w:t>PO Box Q389</w:t>
      </w:r>
      <w:r>
        <w:rPr>
          <w:lang w:val="en-GB"/>
        </w:rPr>
        <w:br/>
        <w:t>Queen Victoria Building NSW 1230</w:t>
      </w:r>
    </w:p>
    <w:p w14:paraId="112C0BAE" w14:textId="707CBEDD" w:rsidR="000E549E" w:rsidRDefault="006F44EE" w:rsidP="002A2C0C">
      <w:pPr>
        <w:spacing w:before="600"/>
        <w:rPr>
          <w:lang w:val="en-GB"/>
        </w:rPr>
      </w:pPr>
      <w:r>
        <w:rPr>
          <w:noProof/>
          <w:lang w:val="en-GB"/>
        </w:rPr>
        <w:drawing>
          <wp:inline distT="0" distB="0" distL="0" distR="0" wp14:anchorId="6A9BFCBE" wp14:editId="499B93AA">
            <wp:extent cx="2027583" cy="966909"/>
            <wp:effectExtent l="0" t="0" r="0" b="0"/>
            <wp:docPr id="2125578732" name="Immagine 6" descr="(Left) ANROWS logo&#10;Australia's National Research Organisation for Women's Safety to Reduce Violence against Women &amp; their Children&#10;&#10;(Right)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3302" name="Immagine 6" descr="(Left) ANROWS logo&#10;Australia's National Research Organisation for Women's Safety to Reduce Violence against Women &amp; their Children&#10;&#10;(Right) Social Research Centre logo"/>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27995" cy="967105"/>
                    </a:xfrm>
                    <a:prstGeom prst="rect">
                      <a:avLst/>
                    </a:prstGeom>
                    <a:ln>
                      <a:noFill/>
                    </a:ln>
                    <a:extLst>
                      <a:ext uri="{53640926-AAD7-44D8-BBD7-CCE9431645EC}">
                        <a14:shadowObscured xmlns:a14="http://schemas.microsoft.com/office/drawing/2010/main"/>
                      </a:ext>
                    </a:extLst>
                  </pic:spPr>
                </pic:pic>
              </a:graphicData>
            </a:graphic>
          </wp:inline>
        </w:drawing>
      </w:r>
    </w:p>
    <w:p w14:paraId="7F4DDF67" w14:textId="77777777" w:rsidR="006F44EE" w:rsidRDefault="006F44EE" w:rsidP="006F44EE">
      <w:pPr>
        <w:pStyle w:val="DetailHeading"/>
      </w:pPr>
      <w:r>
        <w:t>Social Research Centre</w:t>
      </w:r>
    </w:p>
    <w:p w14:paraId="4840CD31" w14:textId="71DD4132" w:rsidR="006F44EE" w:rsidRPr="006F44EE" w:rsidRDefault="006F44EE" w:rsidP="006F44EE">
      <w:pPr>
        <w:spacing w:before="0"/>
        <w:rPr>
          <w:lang w:val="en-GB"/>
        </w:rPr>
      </w:pPr>
      <w:r>
        <w:rPr>
          <w:lang w:val="en-GB"/>
        </w:rPr>
        <w:t>Level 5, 350 Queen St</w:t>
      </w:r>
      <w:r>
        <w:rPr>
          <w:lang w:val="en-GB"/>
        </w:rPr>
        <w:br/>
        <w:t>Melbourne VIC 3000</w:t>
      </w:r>
    </w:p>
    <w:p w14:paraId="359C73C0" w14:textId="4C1477B2" w:rsidR="000E549E" w:rsidRDefault="000E549E" w:rsidP="00F16C16">
      <w:pPr>
        <w:pStyle w:val="CopyrightHeading"/>
        <w:spacing w:before="960"/>
      </w:pPr>
      <w:r>
        <w:t xml:space="preserve">Author acknowledgement </w:t>
      </w:r>
    </w:p>
    <w:p w14:paraId="4E115BF3" w14:textId="79288F2D" w:rsidR="000E549E" w:rsidRDefault="000E549E" w:rsidP="00A3239A">
      <w:pPr>
        <w:pStyle w:val="CopyrightTextCopyrightPage"/>
      </w:pPr>
      <w:r>
        <w:t>We thank our research partner, the Social Research Centre (SRC), led by Dr Nikki Honey. The</w:t>
      </w:r>
      <w:r w:rsidR="00F24C0C">
        <w:t> </w:t>
      </w:r>
      <w:r>
        <w:t>researchers and statisticians at the SRC who contributed to the data collection and statistical analysis included Andrew Ward, Laura Rimington, Sandra Ropero and Sebastian Misson.</w:t>
      </w:r>
    </w:p>
    <w:p w14:paraId="0B0152E5" w14:textId="093D3BB5" w:rsidR="000E549E" w:rsidRDefault="000E549E" w:rsidP="00A3239A">
      <w:pPr>
        <w:pStyle w:val="CopyrightTextCopyrightPage"/>
      </w:pPr>
      <w:r>
        <w:t>We also thank the following ANROWS staff: Ella Gorman, Louis Klein, Dr Shireen Bernstein, Jackie</w:t>
      </w:r>
      <w:r w:rsidR="00F24C0C">
        <w:t> </w:t>
      </w:r>
      <w:r>
        <w:t>McMillan, Amy Watson and Dr Rebecca Goodbourn for their contribution to this report and Kate</w:t>
      </w:r>
      <w:r w:rsidR="00F24C0C">
        <w:t> </w:t>
      </w:r>
      <w:r>
        <w:t>Minter and Dr Erin Carlisle for their early work on the NCAS survey and the Main report.</w:t>
      </w:r>
    </w:p>
    <w:p w14:paraId="4CD5D7F5" w14:textId="5DAF7586" w:rsidR="000E549E" w:rsidRDefault="000E549E" w:rsidP="00A3239A">
      <w:pPr>
        <w:pStyle w:val="CopyrightTextCopyrightPage"/>
      </w:pPr>
      <w:r>
        <w:t>We thank the NCAS Panel of experts: Associate Professor Kristin Diemer, Professor Michael Flood, William Milne, Professor Jenny Morgan, Professor Anastasia Powell, Honorary Professor Julie Stubbs and Distinguished Professor Maggie Walter for their guidance and feedback on the NCAS and/or this</w:t>
      </w:r>
      <w:r w:rsidR="00F24C0C">
        <w:t> </w:t>
      </w:r>
      <w:r>
        <w:t xml:space="preserve">report. </w:t>
      </w:r>
    </w:p>
    <w:p w14:paraId="42CAB7C2" w14:textId="269C0718" w:rsidR="000E549E" w:rsidRDefault="000E549E" w:rsidP="00A3239A">
      <w:pPr>
        <w:pStyle w:val="CopyrightTextCopyrightPage"/>
      </w:pPr>
      <w:r>
        <w:t>We also thank our NCAS Advisory group for their guidance on the NCAS and/or comments on</w:t>
      </w:r>
      <w:r w:rsidR="00F24C0C">
        <w:t> </w:t>
      </w:r>
      <w:r>
        <w:t>this</w:t>
      </w:r>
      <w:r w:rsidR="00F24C0C">
        <w:t> </w:t>
      </w:r>
      <w:r>
        <w:t>report: the Australian Human Rights Commission Sex Discrimination Commissioner; Domestic</w:t>
      </w:r>
      <w:r w:rsidR="00F24C0C">
        <w:t> </w:t>
      </w:r>
      <w:r>
        <w:t>Violence</w:t>
      </w:r>
      <w:r w:rsidR="00F24C0C">
        <w:t> </w:t>
      </w:r>
      <w:r>
        <w:t>NSW; eSafety Commissioner; Harmony Alliance, Migrant and Refugee Women for Change; Healing</w:t>
      </w:r>
      <w:r w:rsidR="00F24C0C">
        <w:t> </w:t>
      </w:r>
      <w:r>
        <w:t>Foundation; LGBTIQ+ Health Foundation; No to Violence; Our Watch; People with Disability Australia; R4Respect; Respect Victoria; WESNET; and Women NSW; the Department of Social Services, Australian Government; Family Safety Secretariat from the Department of Communities Tasmania, Tasmanian Government; Family Safety Victoria, Department of Families, Fairness and Housing, Victoria</w:t>
      </w:r>
      <w:r w:rsidR="00F24C0C">
        <w:t> </w:t>
      </w:r>
      <w:r>
        <w:t>State Government; Office of Domestic, Family and Sexual Violence Reduction, Department</w:t>
      </w:r>
      <w:r w:rsidR="00F24C0C">
        <w:t> </w:t>
      </w:r>
      <w:r>
        <w:t>of</w:t>
      </w:r>
      <w:r w:rsidR="00F24C0C">
        <w:t> </w:t>
      </w:r>
      <w:r>
        <w:t>Territory Families, Housing and Communities, Northern Territory Government; Office</w:t>
      </w:r>
      <w:r w:rsidR="00F24C0C">
        <w:t> </w:t>
      </w:r>
      <w:r>
        <w:t>for Prevention of</w:t>
      </w:r>
      <w:r w:rsidR="00F24C0C">
        <w:t> </w:t>
      </w:r>
      <w:r>
        <w:t>Family and Domestic Violence, Department of Communities, Government of</w:t>
      </w:r>
      <w:r w:rsidR="00F24C0C">
        <w:t> </w:t>
      </w:r>
      <w:r>
        <w:t>Western Australia; Office for Women and Violence Prevention, Women’s Safety and Violence Prevention, Department of</w:t>
      </w:r>
      <w:r w:rsidR="00F24C0C">
        <w:t> </w:t>
      </w:r>
      <w:r>
        <w:t>Justice and Attorney-General, Queensland Government; Office for Women, Department of Human Services, Government of South Australia; Department of Communities and Justice, Government of New South Wales; and the Office of the Coordinator-General for Family Safety (now the Domestic, Family</w:t>
      </w:r>
      <w:r w:rsidR="00F24C0C">
        <w:t> </w:t>
      </w:r>
      <w:r>
        <w:t>and Sexual Violence Office), Australian Capital Territory Government.</w:t>
      </w:r>
    </w:p>
    <w:p w14:paraId="75F85A93" w14:textId="77777777" w:rsidR="000E549E" w:rsidRDefault="000E549E" w:rsidP="00A3239A">
      <w:pPr>
        <w:pStyle w:val="CopyrightTextCopyrightPage"/>
      </w:pPr>
      <w:r>
        <w:lastRenderedPageBreak/>
        <w:t>Finally, we thank the respondents who took the time to participate in the survey and the youth ambassadors from R4Respect, Teach Us Consent and the Black Dog Institute for their comments on the findings for young people included in this report.</w:t>
      </w:r>
    </w:p>
    <w:p w14:paraId="53B7B615" w14:textId="77777777" w:rsidR="000E549E" w:rsidRDefault="000E549E" w:rsidP="00A3239A">
      <w:pPr>
        <w:pStyle w:val="CopyrightHeading"/>
      </w:pPr>
      <w:r>
        <w:t>Acknowledgement of lived experiences of violence</w:t>
      </w:r>
    </w:p>
    <w:p w14:paraId="49D1270F" w14:textId="1A021C27" w:rsidR="000E549E" w:rsidRDefault="000E549E" w:rsidP="00A3239A">
      <w:pPr>
        <w:pStyle w:val="CopyrightTextCopyrightPage"/>
      </w:pPr>
      <w:r>
        <w:t>ANROWS acknowledges the lives and experiences of the women and children affected by domestic, family and sexual violence who are represented in this report. We recognise the individual stories of</w:t>
      </w:r>
      <w:r w:rsidR="00F24C0C">
        <w:t> </w:t>
      </w:r>
      <w:r>
        <w:t>courage, hope and resilience that form the basis of ANROWS research.</w:t>
      </w:r>
    </w:p>
    <w:p w14:paraId="77D445B5" w14:textId="77777777" w:rsidR="000E549E" w:rsidRDefault="000E549E" w:rsidP="00A3239A">
      <w:pPr>
        <w:pStyle w:val="CopyrightTextCopyrightPage"/>
      </w:pPr>
      <w:r>
        <w:t xml:space="preserve">Caution: Some people may find parts of this content confronting or distressing. Recommended support services include 1800RESPECT (1800 737 732), Lifeline (13 11 14) and, for Aboriginal and Torres Strait Islander people, 13YARN (13 92 76). </w:t>
      </w:r>
    </w:p>
    <w:p w14:paraId="22905405" w14:textId="77777777" w:rsidR="00F24C0C" w:rsidRDefault="00F24C0C" w:rsidP="009E67A5">
      <w:pPr>
        <w:pStyle w:val="CopyrightTextCopyrightPage"/>
        <w:spacing w:before="6600"/>
      </w:pPr>
      <w:r>
        <w:rPr>
          <w:noProof/>
        </w:rPr>
        <w:drawing>
          <wp:inline distT="0" distB="0" distL="0" distR="0" wp14:anchorId="34F0CC4B" wp14:editId="77A56065">
            <wp:extent cx="3166110" cy="109220"/>
            <wp:effectExtent l="0" t="0" r="0" b="5080"/>
            <wp:docPr id="227261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1199"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6110" cy="109220"/>
                    </a:xfrm>
                    <a:prstGeom prst="rect">
                      <a:avLst/>
                    </a:prstGeom>
                    <a:noFill/>
                    <a:ln>
                      <a:noFill/>
                    </a:ln>
                  </pic:spPr>
                </pic:pic>
              </a:graphicData>
            </a:graphic>
          </wp:inline>
        </w:drawing>
      </w:r>
    </w:p>
    <w:p w14:paraId="25833A19" w14:textId="34F7D417" w:rsidR="000E549E" w:rsidRDefault="000E549E" w:rsidP="00A3239A">
      <w:pPr>
        <w:pStyle w:val="CopyrightTextCopyrightPage"/>
        <w:spacing w:before="0"/>
      </w:pPr>
      <w:r>
        <w:t>This report addresses work covered in ANROWS’s National Community Attitudes towards Violence against Women Survey (NCAS) Research Program. Please consult the ANROWS website for more information on this project.</w:t>
      </w:r>
    </w:p>
    <w:p w14:paraId="3658A8F9" w14:textId="498E6FB6" w:rsidR="000E549E" w:rsidRDefault="000E549E" w:rsidP="00A3239A">
      <w:pPr>
        <w:pStyle w:val="CopyrightTextCopyrightPage"/>
      </w:pPr>
      <w:r>
        <w:t>ANROWS research contributes to the shared vision to end gender-based violence in one generation of</w:t>
      </w:r>
      <w:r w:rsidR="00F24C0C">
        <w:t> </w:t>
      </w:r>
      <w:r>
        <w:t xml:space="preserve">the </w:t>
      </w:r>
      <w:r w:rsidRPr="0073256E">
        <w:rPr>
          <w:rStyle w:val="Emphasis"/>
        </w:rPr>
        <w:t>National Plan to End Violence against Women and Children 2022–2032</w:t>
      </w:r>
      <w:r>
        <w:t xml:space="preserve"> (the National Plan 2022–2032) and the six National Outcomes of the </w:t>
      </w:r>
      <w:r w:rsidRPr="0073256E">
        <w:rPr>
          <w:rStyle w:val="Emphasis"/>
        </w:rPr>
        <w:t>National Plan to Reduce Violence against Women and their Children 2010–2022</w:t>
      </w:r>
      <w:r>
        <w:t xml:space="preserve"> (the National Plan 2010–2022). This research provides prevention and early intervention key indicators for the National Plan 2022–2032 and addresses National Outcome 1</w:t>
      </w:r>
      <w:r w:rsidR="00F24C0C">
        <w:t> </w:t>
      </w:r>
      <w:r>
        <w:t>–</w:t>
      </w:r>
      <w:r w:rsidR="00F24C0C">
        <w:t> </w:t>
      </w:r>
      <w:r>
        <w:t>Communities are safe and free from violence, and National Outcome 2 – Relationships are respectful of</w:t>
      </w:r>
      <w:r w:rsidR="00F24C0C">
        <w:t> </w:t>
      </w:r>
      <w:r>
        <w:t>the National Plan 2010–2022.</w:t>
      </w:r>
    </w:p>
    <w:p w14:paraId="025734C6" w14:textId="77777777" w:rsidR="000E549E" w:rsidRPr="00F16C16" w:rsidRDefault="000E549E" w:rsidP="00F16C16">
      <w:pPr>
        <w:pStyle w:val="DetailHeading"/>
      </w:pPr>
      <w:r>
        <w:t>Suggested citation</w:t>
      </w:r>
    </w:p>
    <w:p w14:paraId="10630D33" w14:textId="77777777" w:rsidR="004D1D9C" w:rsidRDefault="000E549E" w:rsidP="00A3239A">
      <w:pPr>
        <w:pStyle w:val="DetailBody"/>
        <w:rPr>
          <w:rStyle w:val="TOC1shading"/>
          <w:shd w:val="clear" w:color="auto" w:fill="auto"/>
        </w:rPr>
        <w:sectPr w:rsidR="004D1D9C" w:rsidSect="004D1D9C">
          <w:footerReference w:type="default" r:id="rId20"/>
          <w:footerReference w:type="first" r:id="rId21"/>
          <w:pgSz w:w="11906" w:h="16838"/>
          <w:pgMar w:top="1417" w:right="1134" w:bottom="1134" w:left="1134" w:header="708" w:footer="708" w:gutter="0"/>
          <w:pgNumType w:fmt="lowerRoman" w:start="1"/>
          <w:cols w:space="708"/>
          <w:titlePg/>
          <w:docGrid w:linePitch="360"/>
        </w:sectPr>
      </w:pPr>
      <w:r>
        <w:t xml:space="preserve">Coumarelos, C., </w:t>
      </w:r>
      <w:r w:rsidRPr="00214181">
        <w:t>Robe</w:t>
      </w:r>
      <w:r w:rsidRPr="00214181">
        <w:rPr>
          <w:rStyle w:val="TOC1shading"/>
          <w:shd w:val="clear" w:color="auto" w:fill="auto"/>
        </w:rPr>
        <w:t>rts, N., Weeks, N., Rasmussen, V. (2023</w:t>
      </w:r>
      <w:r w:rsidRPr="00DA366E">
        <w:rPr>
          <w:rStyle w:val="TOC1shading"/>
          <w:shd w:val="clear" w:color="auto" w:fill="auto"/>
        </w:rPr>
        <w:t xml:space="preserve">). </w:t>
      </w:r>
      <w:r w:rsidRPr="0013577A">
        <w:rPr>
          <w:rStyle w:val="TOC1shading"/>
          <w:i/>
          <w:iCs/>
          <w:shd w:val="clear" w:color="auto" w:fill="auto"/>
        </w:rPr>
        <w:t>Attitudes matter: The 2021 National Community Attitudes towards Violence against Women Survey (NCAS), Findings for young Australians</w:t>
      </w:r>
      <w:r w:rsidRPr="00214181">
        <w:rPr>
          <w:rStyle w:val="TOC1shading"/>
          <w:shd w:val="clear" w:color="auto" w:fill="auto"/>
        </w:rPr>
        <w:t>. (Research report 08/2023). ANROWS.</w:t>
      </w:r>
    </w:p>
    <w:bookmarkStart w:id="3" w:name="_Toc187398542"/>
    <w:bookmarkStart w:id="4" w:name="_Toc187398620"/>
    <w:bookmarkStart w:id="5" w:name="_Toc187398720"/>
    <w:bookmarkStart w:id="6" w:name="_Toc187398915"/>
    <w:bookmarkStart w:id="7" w:name="_Toc190941645"/>
    <w:bookmarkStart w:id="8" w:name="_Toc190942345"/>
    <w:p w14:paraId="5380D7A8" w14:textId="733CCE67" w:rsidR="00052342" w:rsidRDefault="00F24C0C" w:rsidP="009E67A5">
      <w:pPr>
        <w:pStyle w:val="H2SectionTitle"/>
      </w:pPr>
      <w:r w:rsidRPr="009E67A5">
        <w:rPr>
          <w:noProof/>
        </w:rPr>
        <w:lastRenderedPageBreak/>
        <mc:AlternateContent>
          <mc:Choice Requires="wps">
            <w:drawing>
              <wp:anchor distT="0" distB="0" distL="114300" distR="114300" simplePos="0" relativeHeight="251658270" behindDoc="0" locked="0" layoutInCell="1" allowOverlap="1" wp14:anchorId="7A9D2FB5" wp14:editId="3B03A58B">
                <wp:simplePos x="0" y="0"/>
                <wp:positionH relativeFrom="column">
                  <wp:posOffset>5124</wp:posOffset>
                </wp:positionH>
                <wp:positionV relativeFrom="paragraph">
                  <wp:posOffset>93433</wp:posOffset>
                </wp:positionV>
                <wp:extent cx="382138" cy="382138"/>
                <wp:effectExtent l="0" t="0" r="0" b="0"/>
                <wp:wrapSquare wrapText="bothSides"/>
                <wp:docPr id="61190811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61570" id="Rectangle 2" o:spid="_x0000_s1026" alt="&quot;&quot;" style="position:absolute;margin-left:.4pt;margin-top:7.35pt;width:30.1pt;height:30.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" fillcolor="#ffcd00" stroked="f" strokeweight="1pt">
                <w10:wrap type="square"/>
              </v:rect>
            </w:pict>
          </mc:Fallback>
        </mc:AlternateContent>
      </w:r>
      <w:r w:rsidR="00052342" w:rsidRPr="009E67A5">
        <w:t>Contents</w:t>
      </w:r>
      <w:bookmarkEnd w:id="3"/>
      <w:bookmarkEnd w:id="4"/>
      <w:bookmarkEnd w:id="5"/>
      <w:bookmarkEnd w:id="6"/>
      <w:bookmarkEnd w:id="7"/>
      <w:bookmarkEnd w:id="8"/>
    </w:p>
    <w:p w14:paraId="5195A998" w14:textId="459C6F8F" w:rsidR="000B12EE" w:rsidRDefault="000B12EE" w:rsidP="006026D2">
      <w:pPr>
        <w:pStyle w:val="TOC3"/>
        <w:rPr>
          <w:rFonts w:asciiTheme="minorHAnsi" w:eastAsiaTheme="minorEastAsia" w:hAnsiTheme="minorHAnsi"/>
          <w:bCs/>
          <w:sz w:val="24"/>
          <w:szCs w:val="24"/>
          <w:lang w:val="en-AU" w:eastAsia="en-AU"/>
        </w:rPr>
      </w:pPr>
      <w:r>
        <w:fldChar w:fldCharType="begin"/>
      </w:r>
      <w:r>
        <w:instrText xml:space="preserve"> TOC \h \z \t "Heading 3,3,H2 Section Title,2" </w:instrText>
      </w:r>
      <w:r>
        <w:fldChar w:fldCharType="separate"/>
      </w:r>
      <w:hyperlink w:anchor="_Toc190942346" w:history="1">
        <w:r w:rsidRPr="00047099">
          <w:rPr>
            <w:rStyle w:val="Hyperlink"/>
          </w:rPr>
          <w:t>Figures</w:t>
        </w:r>
        <w:r>
          <w:rPr>
            <w:webHidden/>
          </w:rPr>
          <w:tab/>
        </w:r>
        <w:r>
          <w:rPr>
            <w:webHidden/>
          </w:rPr>
          <w:fldChar w:fldCharType="begin"/>
        </w:r>
        <w:r>
          <w:rPr>
            <w:webHidden/>
          </w:rPr>
          <w:instrText xml:space="preserve"> PAGEREF _Toc190942346 \h </w:instrText>
        </w:r>
        <w:r>
          <w:rPr>
            <w:webHidden/>
          </w:rPr>
        </w:r>
        <w:r>
          <w:rPr>
            <w:webHidden/>
          </w:rPr>
          <w:fldChar w:fldCharType="separate"/>
        </w:r>
        <w:r w:rsidR="004D1D9C">
          <w:rPr>
            <w:webHidden/>
          </w:rPr>
          <w:t>9</w:t>
        </w:r>
        <w:r>
          <w:rPr>
            <w:webHidden/>
          </w:rPr>
          <w:fldChar w:fldCharType="end"/>
        </w:r>
      </w:hyperlink>
    </w:p>
    <w:p w14:paraId="759813D7" w14:textId="030353AA" w:rsidR="000B12EE" w:rsidRDefault="000B12EE" w:rsidP="006026D2">
      <w:pPr>
        <w:pStyle w:val="TOC3"/>
        <w:rPr>
          <w:rFonts w:asciiTheme="minorHAnsi" w:eastAsiaTheme="minorEastAsia" w:hAnsiTheme="minorHAnsi"/>
          <w:bCs/>
          <w:sz w:val="24"/>
          <w:szCs w:val="24"/>
          <w:lang w:val="en-AU" w:eastAsia="en-AU"/>
        </w:rPr>
      </w:pPr>
      <w:hyperlink w:anchor="_Toc190942347" w:history="1">
        <w:r w:rsidRPr="00047099">
          <w:rPr>
            <w:rStyle w:val="Hyperlink"/>
          </w:rPr>
          <w:t>Tables</w:t>
        </w:r>
        <w:r>
          <w:rPr>
            <w:webHidden/>
          </w:rPr>
          <w:tab/>
        </w:r>
        <w:r>
          <w:rPr>
            <w:webHidden/>
          </w:rPr>
          <w:fldChar w:fldCharType="begin"/>
        </w:r>
        <w:r>
          <w:rPr>
            <w:webHidden/>
          </w:rPr>
          <w:instrText xml:space="preserve"> PAGEREF _Toc190942347 \h </w:instrText>
        </w:r>
        <w:r>
          <w:rPr>
            <w:webHidden/>
          </w:rPr>
        </w:r>
        <w:r>
          <w:rPr>
            <w:webHidden/>
          </w:rPr>
          <w:fldChar w:fldCharType="separate"/>
        </w:r>
        <w:r w:rsidR="004D1D9C">
          <w:rPr>
            <w:webHidden/>
          </w:rPr>
          <w:t>11</w:t>
        </w:r>
        <w:r>
          <w:rPr>
            <w:webHidden/>
          </w:rPr>
          <w:fldChar w:fldCharType="end"/>
        </w:r>
      </w:hyperlink>
    </w:p>
    <w:p w14:paraId="663E2753" w14:textId="605A60EB" w:rsidR="000B12EE" w:rsidRDefault="000B12EE" w:rsidP="006026D2">
      <w:pPr>
        <w:pStyle w:val="TOC3"/>
        <w:rPr>
          <w:rFonts w:asciiTheme="minorHAnsi" w:eastAsiaTheme="minorEastAsia" w:hAnsiTheme="minorHAnsi"/>
          <w:bCs/>
          <w:sz w:val="24"/>
          <w:szCs w:val="24"/>
          <w:lang w:val="en-AU" w:eastAsia="en-AU"/>
        </w:rPr>
      </w:pPr>
      <w:hyperlink w:anchor="_Toc190942348" w:history="1">
        <w:r w:rsidRPr="00047099">
          <w:rPr>
            <w:rStyle w:val="Hyperlink"/>
          </w:rPr>
          <w:t>Shortened forms</w:t>
        </w:r>
        <w:r>
          <w:rPr>
            <w:webHidden/>
          </w:rPr>
          <w:tab/>
        </w:r>
        <w:r>
          <w:rPr>
            <w:webHidden/>
          </w:rPr>
          <w:fldChar w:fldCharType="begin"/>
        </w:r>
        <w:r>
          <w:rPr>
            <w:webHidden/>
          </w:rPr>
          <w:instrText xml:space="preserve"> PAGEREF _Toc190942348 \h </w:instrText>
        </w:r>
        <w:r>
          <w:rPr>
            <w:webHidden/>
          </w:rPr>
        </w:r>
        <w:r>
          <w:rPr>
            <w:webHidden/>
          </w:rPr>
          <w:fldChar w:fldCharType="separate"/>
        </w:r>
        <w:r w:rsidR="004D1D9C">
          <w:rPr>
            <w:webHidden/>
          </w:rPr>
          <w:t>12</w:t>
        </w:r>
        <w:r>
          <w:rPr>
            <w:webHidden/>
          </w:rPr>
          <w:fldChar w:fldCharType="end"/>
        </w:r>
      </w:hyperlink>
    </w:p>
    <w:p w14:paraId="79777DAE" w14:textId="2244A3FC" w:rsidR="000B12EE" w:rsidRDefault="000B12EE" w:rsidP="006026D2">
      <w:pPr>
        <w:pStyle w:val="TOC3"/>
        <w:rPr>
          <w:rFonts w:asciiTheme="minorHAnsi" w:eastAsiaTheme="minorEastAsia" w:hAnsiTheme="minorHAnsi"/>
          <w:bCs/>
          <w:sz w:val="24"/>
          <w:szCs w:val="24"/>
          <w:lang w:val="en-AU" w:eastAsia="en-AU"/>
        </w:rPr>
      </w:pPr>
      <w:hyperlink w:anchor="_Toc190942349" w:history="1">
        <w:r w:rsidRPr="00047099">
          <w:rPr>
            <w:rStyle w:val="Hyperlink"/>
          </w:rPr>
          <w:t>Data symbols and table and figure notations</w:t>
        </w:r>
        <w:r>
          <w:rPr>
            <w:webHidden/>
          </w:rPr>
          <w:tab/>
        </w:r>
        <w:r>
          <w:rPr>
            <w:webHidden/>
          </w:rPr>
          <w:fldChar w:fldCharType="begin"/>
        </w:r>
        <w:r>
          <w:rPr>
            <w:webHidden/>
          </w:rPr>
          <w:instrText xml:space="preserve"> PAGEREF _Toc190942349 \h </w:instrText>
        </w:r>
        <w:r>
          <w:rPr>
            <w:webHidden/>
          </w:rPr>
        </w:r>
        <w:r>
          <w:rPr>
            <w:webHidden/>
          </w:rPr>
          <w:fldChar w:fldCharType="separate"/>
        </w:r>
        <w:r w:rsidR="004D1D9C">
          <w:rPr>
            <w:webHidden/>
          </w:rPr>
          <w:t>14</w:t>
        </w:r>
        <w:r>
          <w:rPr>
            <w:webHidden/>
          </w:rPr>
          <w:fldChar w:fldCharType="end"/>
        </w:r>
      </w:hyperlink>
    </w:p>
    <w:p w14:paraId="781D76F1" w14:textId="2C700088" w:rsidR="000B12EE" w:rsidRDefault="000B12EE" w:rsidP="006026D2">
      <w:pPr>
        <w:pStyle w:val="TOC3"/>
        <w:rPr>
          <w:rFonts w:asciiTheme="minorHAnsi" w:eastAsiaTheme="minorEastAsia" w:hAnsiTheme="minorHAnsi"/>
          <w:bCs/>
          <w:sz w:val="24"/>
          <w:szCs w:val="24"/>
          <w:lang w:val="en-AU" w:eastAsia="en-AU"/>
        </w:rPr>
      </w:pPr>
      <w:hyperlink w:anchor="_Toc190942350" w:history="1">
        <w:r w:rsidRPr="00047099">
          <w:rPr>
            <w:rStyle w:val="Hyperlink"/>
          </w:rPr>
          <w:t>Key terms</w:t>
        </w:r>
        <w:r>
          <w:rPr>
            <w:webHidden/>
          </w:rPr>
          <w:tab/>
        </w:r>
        <w:r>
          <w:rPr>
            <w:webHidden/>
          </w:rPr>
          <w:fldChar w:fldCharType="begin"/>
        </w:r>
        <w:r>
          <w:rPr>
            <w:webHidden/>
          </w:rPr>
          <w:instrText xml:space="preserve"> PAGEREF _Toc190942350 \h </w:instrText>
        </w:r>
        <w:r>
          <w:rPr>
            <w:webHidden/>
          </w:rPr>
        </w:r>
        <w:r>
          <w:rPr>
            <w:webHidden/>
          </w:rPr>
          <w:fldChar w:fldCharType="separate"/>
        </w:r>
        <w:r w:rsidR="004D1D9C">
          <w:rPr>
            <w:webHidden/>
          </w:rPr>
          <w:t>15</w:t>
        </w:r>
        <w:r>
          <w:rPr>
            <w:webHidden/>
          </w:rPr>
          <w:fldChar w:fldCharType="end"/>
        </w:r>
      </w:hyperlink>
    </w:p>
    <w:p w14:paraId="1D68E9C6" w14:textId="786A9699" w:rsidR="000B12EE" w:rsidRPr="00A06BF6" w:rsidRDefault="000B12EE" w:rsidP="00EA6B24">
      <w:pPr>
        <w:pStyle w:val="TOC2"/>
      </w:pPr>
      <w:hyperlink w:anchor="_Toc190942351" w:history="1">
        <w:r w:rsidRPr="00047099">
          <w:rPr>
            <w:rStyle w:val="Hyperlink"/>
          </w:rPr>
          <w:t>About this report</w:t>
        </w:r>
        <w:r>
          <w:rPr>
            <w:webHidden/>
          </w:rPr>
          <w:tab/>
        </w:r>
        <w:r>
          <w:rPr>
            <w:webHidden/>
          </w:rPr>
          <w:fldChar w:fldCharType="begin"/>
        </w:r>
        <w:r>
          <w:rPr>
            <w:webHidden/>
          </w:rPr>
          <w:instrText xml:space="preserve"> PAGEREF _Toc190942351 \h </w:instrText>
        </w:r>
        <w:r>
          <w:rPr>
            <w:webHidden/>
          </w:rPr>
        </w:r>
        <w:r>
          <w:rPr>
            <w:webHidden/>
          </w:rPr>
          <w:fldChar w:fldCharType="separate"/>
        </w:r>
        <w:r w:rsidR="004D1D9C">
          <w:rPr>
            <w:webHidden/>
          </w:rPr>
          <w:t>21</w:t>
        </w:r>
        <w:r>
          <w:rPr>
            <w:webHidden/>
          </w:rPr>
          <w:fldChar w:fldCharType="end"/>
        </w:r>
      </w:hyperlink>
    </w:p>
    <w:p w14:paraId="5CDD0BE6" w14:textId="73D96412" w:rsidR="000B12EE" w:rsidRPr="00EA6B24" w:rsidRDefault="000B12EE" w:rsidP="00EA6B24">
      <w:pPr>
        <w:pStyle w:val="TOC2"/>
        <w:rPr>
          <w:rFonts w:asciiTheme="minorHAnsi" w:eastAsiaTheme="minorEastAsia" w:hAnsiTheme="minorHAnsi"/>
          <w:sz w:val="24"/>
          <w:szCs w:val="24"/>
          <w:lang w:val="en-AU" w:eastAsia="en-AU"/>
        </w:rPr>
      </w:pPr>
      <w:hyperlink w:anchor="_Toc190942352" w:history="1">
        <w:r w:rsidRPr="00EA6B24">
          <w:rPr>
            <w:rStyle w:val="Hyperlink"/>
          </w:rPr>
          <w:t>About the NCAS</w:t>
        </w:r>
        <w:r w:rsidRPr="00EA6B24">
          <w:rPr>
            <w:webHidden/>
          </w:rPr>
          <w:tab/>
        </w:r>
        <w:r w:rsidRPr="00EA6B24">
          <w:rPr>
            <w:webHidden/>
          </w:rPr>
          <w:fldChar w:fldCharType="begin"/>
        </w:r>
        <w:r w:rsidRPr="00EA6B24">
          <w:rPr>
            <w:webHidden/>
          </w:rPr>
          <w:instrText xml:space="preserve"> PAGEREF _Toc190942352 \h </w:instrText>
        </w:r>
        <w:r w:rsidRPr="00EA6B24">
          <w:rPr>
            <w:webHidden/>
          </w:rPr>
        </w:r>
        <w:r w:rsidRPr="00EA6B24">
          <w:rPr>
            <w:webHidden/>
          </w:rPr>
          <w:fldChar w:fldCharType="separate"/>
        </w:r>
        <w:r w:rsidR="004D1D9C" w:rsidRPr="00EA6B24">
          <w:rPr>
            <w:webHidden/>
          </w:rPr>
          <w:t>23</w:t>
        </w:r>
        <w:r w:rsidRPr="00EA6B24">
          <w:rPr>
            <w:webHidden/>
          </w:rPr>
          <w:fldChar w:fldCharType="end"/>
        </w:r>
      </w:hyperlink>
    </w:p>
    <w:p w14:paraId="271E4E86" w14:textId="525CB4E8" w:rsidR="000B12EE" w:rsidRDefault="000B12EE" w:rsidP="00EA6B24">
      <w:pPr>
        <w:pStyle w:val="TOC2"/>
        <w:rPr>
          <w:rFonts w:asciiTheme="minorHAnsi" w:eastAsiaTheme="minorEastAsia" w:hAnsiTheme="minorHAnsi"/>
          <w:bCs/>
          <w:sz w:val="24"/>
          <w:szCs w:val="24"/>
          <w:lang w:val="en-AU" w:eastAsia="en-AU"/>
        </w:rPr>
      </w:pPr>
      <w:hyperlink w:anchor="_Toc190942353" w:history="1">
        <w:r w:rsidRPr="00047099">
          <w:rPr>
            <w:rStyle w:val="Hyperlink"/>
          </w:rPr>
          <w:t>Executive summary</w:t>
        </w:r>
        <w:r>
          <w:rPr>
            <w:webHidden/>
          </w:rPr>
          <w:tab/>
        </w:r>
        <w:r>
          <w:rPr>
            <w:webHidden/>
          </w:rPr>
          <w:fldChar w:fldCharType="begin"/>
        </w:r>
        <w:r>
          <w:rPr>
            <w:webHidden/>
          </w:rPr>
          <w:instrText xml:space="preserve"> PAGEREF _Toc190942353 \h </w:instrText>
        </w:r>
        <w:r>
          <w:rPr>
            <w:webHidden/>
          </w:rPr>
        </w:r>
        <w:r>
          <w:rPr>
            <w:webHidden/>
          </w:rPr>
          <w:fldChar w:fldCharType="separate"/>
        </w:r>
        <w:r w:rsidR="004D1D9C">
          <w:rPr>
            <w:webHidden/>
          </w:rPr>
          <w:t>25</w:t>
        </w:r>
        <w:r>
          <w:rPr>
            <w:webHidden/>
          </w:rPr>
          <w:fldChar w:fldCharType="end"/>
        </w:r>
      </w:hyperlink>
    </w:p>
    <w:p w14:paraId="50B72798" w14:textId="785084F6" w:rsidR="000B12EE" w:rsidRDefault="000B12EE" w:rsidP="006026D2">
      <w:pPr>
        <w:pStyle w:val="TOC3"/>
        <w:rPr>
          <w:rFonts w:asciiTheme="minorHAnsi" w:eastAsiaTheme="minorEastAsia" w:hAnsiTheme="minorHAnsi"/>
          <w:sz w:val="24"/>
          <w:szCs w:val="24"/>
          <w:lang w:val="en-AU" w:eastAsia="en-AU"/>
        </w:rPr>
      </w:pPr>
      <w:hyperlink w:anchor="_Toc190942354" w:history="1">
        <w:r w:rsidRPr="00047099">
          <w:rPr>
            <w:rStyle w:val="Hyperlink"/>
          </w:rPr>
          <w:t>Research design and analysis</w:t>
        </w:r>
        <w:r>
          <w:rPr>
            <w:webHidden/>
          </w:rPr>
          <w:tab/>
        </w:r>
        <w:r>
          <w:rPr>
            <w:webHidden/>
          </w:rPr>
          <w:fldChar w:fldCharType="begin"/>
        </w:r>
        <w:r>
          <w:rPr>
            <w:webHidden/>
          </w:rPr>
          <w:instrText xml:space="preserve"> PAGEREF _Toc190942354 \h </w:instrText>
        </w:r>
        <w:r>
          <w:rPr>
            <w:webHidden/>
          </w:rPr>
        </w:r>
        <w:r>
          <w:rPr>
            <w:webHidden/>
          </w:rPr>
          <w:fldChar w:fldCharType="separate"/>
        </w:r>
        <w:r w:rsidR="004D1D9C">
          <w:rPr>
            <w:webHidden/>
          </w:rPr>
          <w:t>26</w:t>
        </w:r>
        <w:r>
          <w:rPr>
            <w:webHidden/>
          </w:rPr>
          <w:fldChar w:fldCharType="end"/>
        </w:r>
      </w:hyperlink>
    </w:p>
    <w:p w14:paraId="1D76E5E9" w14:textId="44A60339" w:rsidR="000B12EE" w:rsidRDefault="000B12EE" w:rsidP="006026D2">
      <w:pPr>
        <w:pStyle w:val="TOC3"/>
        <w:rPr>
          <w:rFonts w:asciiTheme="minorHAnsi" w:eastAsiaTheme="minorEastAsia" w:hAnsiTheme="minorHAnsi"/>
          <w:sz w:val="24"/>
          <w:szCs w:val="24"/>
          <w:lang w:val="en-AU" w:eastAsia="en-AU"/>
        </w:rPr>
      </w:pPr>
      <w:hyperlink w:anchor="_Toc190942355" w:history="1">
        <w:r w:rsidRPr="00047099">
          <w:rPr>
            <w:rStyle w:val="Hyperlink"/>
          </w:rPr>
          <w:t>Key findings</w:t>
        </w:r>
        <w:r>
          <w:rPr>
            <w:webHidden/>
          </w:rPr>
          <w:tab/>
        </w:r>
        <w:r>
          <w:rPr>
            <w:webHidden/>
          </w:rPr>
          <w:fldChar w:fldCharType="begin"/>
        </w:r>
        <w:r>
          <w:rPr>
            <w:webHidden/>
          </w:rPr>
          <w:instrText xml:space="preserve"> PAGEREF _Toc190942355 \h </w:instrText>
        </w:r>
        <w:r>
          <w:rPr>
            <w:webHidden/>
          </w:rPr>
        </w:r>
        <w:r>
          <w:rPr>
            <w:webHidden/>
          </w:rPr>
          <w:fldChar w:fldCharType="separate"/>
        </w:r>
        <w:r w:rsidR="004D1D9C">
          <w:rPr>
            <w:webHidden/>
          </w:rPr>
          <w:t>26</w:t>
        </w:r>
        <w:r>
          <w:rPr>
            <w:webHidden/>
          </w:rPr>
          <w:fldChar w:fldCharType="end"/>
        </w:r>
      </w:hyperlink>
    </w:p>
    <w:p w14:paraId="755EE080" w14:textId="5006F5C9" w:rsidR="000B12EE" w:rsidRDefault="000B12EE" w:rsidP="006026D2">
      <w:pPr>
        <w:pStyle w:val="TOC3"/>
        <w:rPr>
          <w:rFonts w:asciiTheme="minorHAnsi" w:eastAsiaTheme="minorEastAsia" w:hAnsiTheme="minorHAnsi"/>
          <w:sz w:val="24"/>
          <w:szCs w:val="24"/>
          <w:lang w:val="en-AU" w:eastAsia="en-AU"/>
        </w:rPr>
      </w:pPr>
      <w:hyperlink w:anchor="_Toc190942356" w:history="1">
        <w:r w:rsidRPr="00047099">
          <w:rPr>
            <w:rStyle w:val="Hyperlink"/>
          </w:rPr>
          <w:t>Implications</w:t>
        </w:r>
        <w:r>
          <w:rPr>
            <w:webHidden/>
          </w:rPr>
          <w:tab/>
        </w:r>
        <w:r>
          <w:rPr>
            <w:webHidden/>
          </w:rPr>
          <w:fldChar w:fldCharType="begin"/>
        </w:r>
        <w:r>
          <w:rPr>
            <w:webHidden/>
          </w:rPr>
          <w:instrText xml:space="preserve"> PAGEREF _Toc190942356 \h </w:instrText>
        </w:r>
        <w:r>
          <w:rPr>
            <w:webHidden/>
          </w:rPr>
        </w:r>
        <w:r>
          <w:rPr>
            <w:webHidden/>
          </w:rPr>
          <w:fldChar w:fldCharType="separate"/>
        </w:r>
        <w:r w:rsidR="004D1D9C">
          <w:rPr>
            <w:webHidden/>
          </w:rPr>
          <w:t>31</w:t>
        </w:r>
        <w:r>
          <w:rPr>
            <w:webHidden/>
          </w:rPr>
          <w:fldChar w:fldCharType="end"/>
        </w:r>
      </w:hyperlink>
    </w:p>
    <w:p w14:paraId="53D78BEE" w14:textId="1CC36C2D" w:rsidR="000B12EE" w:rsidRDefault="000B12EE" w:rsidP="00EA6B24">
      <w:pPr>
        <w:pStyle w:val="TOC2"/>
        <w:rPr>
          <w:rFonts w:asciiTheme="minorHAnsi" w:eastAsiaTheme="minorEastAsia" w:hAnsiTheme="minorHAnsi"/>
          <w:bCs/>
          <w:sz w:val="24"/>
          <w:szCs w:val="24"/>
          <w:lang w:val="en-AU" w:eastAsia="en-AU"/>
        </w:rPr>
      </w:pPr>
      <w:hyperlink w:anchor="_Toc190942357" w:history="1">
        <w:r w:rsidRPr="00047099">
          <w:rPr>
            <w:rStyle w:val="Hyperlink"/>
            <w:bCs/>
          </w:rPr>
          <w:t xml:space="preserve">1 </w:t>
        </w:r>
        <w:r w:rsidRPr="00047099">
          <w:rPr>
            <w:rStyle w:val="Hyperlink"/>
          </w:rPr>
          <w:t>Introduction: Young people, gendered attitudes and violence against women</w:t>
        </w:r>
        <w:r>
          <w:rPr>
            <w:webHidden/>
          </w:rPr>
          <w:tab/>
        </w:r>
        <w:r>
          <w:rPr>
            <w:webHidden/>
          </w:rPr>
          <w:fldChar w:fldCharType="begin"/>
        </w:r>
        <w:r>
          <w:rPr>
            <w:webHidden/>
          </w:rPr>
          <w:instrText xml:space="preserve"> PAGEREF _Toc190942357 \h </w:instrText>
        </w:r>
        <w:r>
          <w:rPr>
            <w:webHidden/>
          </w:rPr>
        </w:r>
        <w:r>
          <w:rPr>
            <w:webHidden/>
          </w:rPr>
          <w:fldChar w:fldCharType="separate"/>
        </w:r>
        <w:r w:rsidR="004D1D9C">
          <w:rPr>
            <w:webHidden/>
          </w:rPr>
          <w:t>33</w:t>
        </w:r>
        <w:r>
          <w:rPr>
            <w:webHidden/>
          </w:rPr>
          <w:fldChar w:fldCharType="end"/>
        </w:r>
      </w:hyperlink>
    </w:p>
    <w:p w14:paraId="0F200600" w14:textId="45B8179B" w:rsidR="000B12EE" w:rsidRDefault="000B12EE" w:rsidP="006026D2">
      <w:pPr>
        <w:pStyle w:val="TOC3"/>
        <w:rPr>
          <w:rFonts w:asciiTheme="minorHAnsi" w:eastAsiaTheme="minorEastAsia" w:hAnsiTheme="minorHAnsi"/>
          <w:sz w:val="24"/>
          <w:szCs w:val="24"/>
          <w:lang w:val="en-AU" w:eastAsia="en-AU"/>
        </w:rPr>
      </w:pPr>
      <w:hyperlink w:anchor="_Toc190942358" w:history="1">
        <w:r w:rsidRPr="00047099">
          <w:rPr>
            <w:rStyle w:val="Hyperlink"/>
          </w:rPr>
          <w:t>1.1 Violence against women is a widespread problem</w:t>
        </w:r>
        <w:r>
          <w:rPr>
            <w:webHidden/>
          </w:rPr>
          <w:tab/>
        </w:r>
        <w:r>
          <w:rPr>
            <w:webHidden/>
          </w:rPr>
          <w:fldChar w:fldCharType="begin"/>
        </w:r>
        <w:r>
          <w:rPr>
            <w:webHidden/>
          </w:rPr>
          <w:instrText xml:space="preserve"> PAGEREF _Toc190942358 \h </w:instrText>
        </w:r>
        <w:r>
          <w:rPr>
            <w:webHidden/>
          </w:rPr>
        </w:r>
        <w:r>
          <w:rPr>
            <w:webHidden/>
          </w:rPr>
          <w:fldChar w:fldCharType="separate"/>
        </w:r>
        <w:r w:rsidR="004D1D9C">
          <w:rPr>
            <w:webHidden/>
          </w:rPr>
          <w:t>33</w:t>
        </w:r>
        <w:r>
          <w:rPr>
            <w:webHidden/>
          </w:rPr>
          <w:fldChar w:fldCharType="end"/>
        </w:r>
      </w:hyperlink>
    </w:p>
    <w:p w14:paraId="5A92EDFD" w14:textId="233A6481" w:rsidR="000B12EE" w:rsidRDefault="000B12EE" w:rsidP="006026D2">
      <w:pPr>
        <w:pStyle w:val="TOC3"/>
        <w:rPr>
          <w:rFonts w:asciiTheme="minorHAnsi" w:eastAsiaTheme="minorEastAsia" w:hAnsiTheme="minorHAnsi"/>
          <w:sz w:val="24"/>
          <w:szCs w:val="24"/>
          <w:lang w:val="en-AU" w:eastAsia="en-AU"/>
        </w:rPr>
      </w:pPr>
      <w:hyperlink w:anchor="_Toc190942359" w:history="1">
        <w:r w:rsidRPr="00047099">
          <w:rPr>
            <w:rStyle w:val="Hyperlink"/>
          </w:rPr>
          <w:t>1.2 Drivers of violence against women</w:t>
        </w:r>
        <w:r>
          <w:rPr>
            <w:webHidden/>
          </w:rPr>
          <w:tab/>
        </w:r>
        <w:r>
          <w:rPr>
            <w:webHidden/>
          </w:rPr>
          <w:fldChar w:fldCharType="begin"/>
        </w:r>
        <w:r>
          <w:rPr>
            <w:webHidden/>
          </w:rPr>
          <w:instrText xml:space="preserve"> PAGEREF _Toc190942359 \h </w:instrText>
        </w:r>
        <w:r>
          <w:rPr>
            <w:webHidden/>
          </w:rPr>
        </w:r>
        <w:r>
          <w:rPr>
            <w:webHidden/>
          </w:rPr>
          <w:fldChar w:fldCharType="separate"/>
        </w:r>
        <w:r w:rsidR="004D1D9C">
          <w:rPr>
            <w:webHidden/>
          </w:rPr>
          <w:t>34</w:t>
        </w:r>
        <w:r>
          <w:rPr>
            <w:webHidden/>
          </w:rPr>
          <w:fldChar w:fldCharType="end"/>
        </w:r>
      </w:hyperlink>
    </w:p>
    <w:p w14:paraId="51C0E165" w14:textId="17ECA388" w:rsidR="000B12EE" w:rsidRDefault="000B12EE" w:rsidP="006026D2">
      <w:pPr>
        <w:pStyle w:val="TOC3"/>
        <w:rPr>
          <w:rFonts w:asciiTheme="minorHAnsi" w:eastAsiaTheme="minorEastAsia" w:hAnsiTheme="minorHAnsi"/>
          <w:sz w:val="24"/>
          <w:szCs w:val="24"/>
          <w:lang w:val="en-AU" w:eastAsia="en-AU"/>
        </w:rPr>
      </w:pPr>
      <w:hyperlink w:anchor="_Toc190942360" w:history="1">
        <w:r w:rsidRPr="00047099">
          <w:rPr>
            <w:rStyle w:val="Hyperlink"/>
          </w:rPr>
          <w:t>1.3 Violence against women and young Australians</w:t>
        </w:r>
        <w:r>
          <w:rPr>
            <w:webHidden/>
          </w:rPr>
          <w:tab/>
        </w:r>
        <w:r>
          <w:rPr>
            <w:webHidden/>
          </w:rPr>
          <w:fldChar w:fldCharType="begin"/>
        </w:r>
        <w:r>
          <w:rPr>
            <w:webHidden/>
          </w:rPr>
          <w:instrText xml:space="preserve"> PAGEREF _Toc190942360 \h </w:instrText>
        </w:r>
        <w:r>
          <w:rPr>
            <w:webHidden/>
          </w:rPr>
        </w:r>
        <w:r>
          <w:rPr>
            <w:webHidden/>
          </w:rPr>
          <w:fldChar w:fldCharType="separate"/>
        </w:r>
        <w:r w:rsidR="004D1D9C">
          <w:rPr>
            <w:webHidden/>
          </w:rPr>
          <w:t>39</w:t>
        </w:r>
        <w:r>
          <w:rPr>
            <w:webHidden/>
          </w:rPr>
          <w:fldChar w:fldCharType="end"/>
        </w:r>
      </w:hyperlink>
    </w:p>
    <w:p w14:paraId="6F93BB67" w14:textId="7893172D" w:rsidR="000B12EE" w:rsidRDefault="000B12EE" w:rsidP="006026D2">
      <w:pPr>
        <w:pStyle w:val="TOC3"/>
        <w:rPr>
          <w:rFonts w:asciiTheme="minorHAnsi" w:eastAsiaTheme="minorEastAsia" w:hAnsiTheme="minorHAnsi"/>
          <w:sz w:val="24"/>
          <w:szCs w:val="24"/>
          <w:lang w:val="en-AU" w:eastAsia="en-AU"/>
        </w:rPr>
      </w:pPr>
      <w:hyperlink w:anchor="_Toc190942361" w:history="1">
        <w:r w:rsidRPr="00047099">
          <w:rPr>
            <w:rStyle w:val="Hyperlink"/>
          </w:rPr>
          <w:t>1.4 Attitude formation among young people</w:t>
        </w:r>
        <w:r>
          <w:rPr>
            <w:webHidden/>
          </w:rPr>
          <w:tab/>
        </w:r>
        <w:r>
          <w:rPr>
            <w:webHidden/>
          </w:rPr>
          <w:fldChar w:fldCharType="begin"/>
        </w:r>
        <w:r>
          <w:rPr>
            <w:webHidden/>
          </w:rPr>
          <w:instrText xml:space="preserve"> PAGEREF _Toc190942361 \h </w:instrText>
        </w:r>
        <w:r>
          <w:rPr>
            <w:webHidden/>
          </w:rPr>
        </w:r>
        <w:r>
          <w:rPr>
            <w:webHidden/>
          </w:rPr>
          <w:fldChar w:fldCharType="separate"/>
        </w:r>
        <w:r w:rsidR="004D1D9C">
          <w:rPr>
            <w:webHidden/>
          </w:rPr>
          <w:t>40</w:t>
        </w:r>
        <w:r>
          <w:rPr>
            <w:webHidden/>
          </w:rPr>
          <w:fldChar w:fldCharType="end"/>
        </w:r>
      </w:hyperlink>
    </w:p>
    <w:p w14:paraId="118944D9" w14:textId="4BD1C9C8" w:rsidR="000B12EE" w:rsidRDefault="000B12EE" w:rsidP="006026D2">
      <w:pPr>
        <w:pStyle w:val="TOC3"/>
        <w:rPr>
          <w:rFonts w:asciiTheme="minorHAnsi" w:eastAsiaTheme="minorEastAsia" w:hAnsiTheme="minorHAnsi"/>
          <w:sz w:val="24"/>
          <w:szCs w:val="24"/>
          <w:lang w:val="en-AU" w:eastAsia="en-AU"/>
        </w:rPr>
      </w:pPr>
      <w:hyperlink w:anchor="_Toc190942362" w:history="1">
        <w:r w:rsidRPr="00047099">
          <w:rPr>
            <w:rStyle w:val="Hyperlink"/>
          </w:rPr>
          <w:t>1.5 The impact of COVID-19 on young Australians</w:t>
        </w:r>
        <w:r>
          <w:rPr>
            <w:webHidden/>
          </w:rPr>
          <w:tab/>
        </w:r>
        <w:r>
          <w:rPr>
            <w:webHidden/>
          </w:rPr>
          <w:fldChar w:fldCharType="begin"/>
        </w:r>
        <w:r>
          <w:rPr>
            <w:webHidden/>
          </w:rPr>
          <w:instrText xml:space="preserve"> PAGEREF _Toc190942362 \h </w:instrText>
        </w:r>
        <w:r>
          <w:rPr>
            <w:webHidden/>
          </w:rPr>
        </w:r>
        <w:r>
          <w:rPr>
            <w:webHidden/>
          </w:rPr>
          <w:fldChar w:fldCharType="separate"/>
        </w:r>
        <w:r w:rsidR="004D1D9C">
          <w:rPr>
            <w:webHidden/>
          </w:rPr>
          <w:t>42</w:t>
        </w:r>
        <w:r>
          <w:rPr>
            <w:webHidden/>
          </w:rPr>
          <w:fldChar w:fldCharType="end"/>
        </w:r>
      </w:hyperlink>
    </w:p>
    <w:p w14:paraId="5A22F7FF" w14:textId="3315EA68" w:rsidR="000B12EE" w:rsidRDefault="000B12EE" w:rsidP="006026D2">
      <w:pPr>
        <w:pStyle w:val="TOC3"/>
        <w:rPr>
          <w:rFonts w:asciiTheme="minorHAnsi" w:eastAsiaTheme="minorEastAsia" w:hAnsiTheme="minorHAnsi"/>
          <w:sz w:val="24"/>
          <w:szCs w:val="24"/>
          <w:lang w:val="en-AU" w:eastAsia="en-AU"/>
        </w:rPr>
      </w:pPr>
      <w:hyperlink w:anchor="_Toc190942363" w:history="1">
        <w:r w:rsidRPr="00047099">
          <w:rPr>
            <w:rStyle w:val="Hyperlink"/>
          </w:rPr>
          <w:t>1.6 Prevention of violence against women</w:t>
        </w:r>
        <w:r>
          <w:rPr>
            <w:webHidden/>
          </w:rPr>
          <w:tab/>
        </w:r>
        <w:r>
          <w:rPr>
            <w:webHidden/>
          </w:rPr>
          <w:fldChar w:fldCharType="begin"/>
        </w:r>
        <w:r>
          <w:rPr>
            <w:webHidden/>
          </w:rPr>
          <w:instrText xml:space="preserve"> PAGEREF _Toc190942363 \h </w:instrText>
        </w:r>
        <w:r>
          <w:rPr>
            <w:webHidden/>
          </w:rPr>
        </w:r>
        <w:r>
          <w:rPr>
            <w:webHidden/>
          </w:rPr>
          <w:fldChar w:fldCharType="separate"/>
        </w:r>
        <w:r w:rsidR="004D1D9C">
          <w:rPr>
            <w:webHidden/>
          </w:rPr>
          <w:t>42</w:t>
        </w:r>
        <w:r>
          <w:rPr>
            <w:webHidden/>
          </w:rPr>
          <w:fldChar w:fldCharType="end"/>
        </w:r>
      </w:hyperlink>
    </w:p>
    <w:p w14:paraId="0A90D033" w14:textId="0C7F5739" w:rsidR="000B12EE" w:rsidRDefault="000B12EE" w:rsidP="006026D2">
      <w:pPr>
        <w:pStyle w:val="TOC3"/>
        <w:rPr>
          <w:rFonts w:asciiTheme="minorHAnsi" w:eastAsiaTheme="minorEastAsia" w:hAnsiTheme="minorHAnsi"/>
          <w:sz w:val="24"/>
          <w:szCs w:val="24"/>
          <w:lang w:val="en-AU" w:eastAsia="en-AU"/>
        </w:rPr>
      </w:pPr>
      <w:hyperlink w:anchor="_Toc190942364" w:history="1">
        <w:r w:rsidRPr="00047099">
          <w:rPr>
            <w:rStyle w:val="Hyperlink"/>
          </w:rPr>
          <w:t>1.7 Previous NCAS findings on young Australians’ attitudes towards violence against women</w:t>
        </w:r>
        <w:r>
          <w:rPr>
            <w:webHidden/>
          </w:rPr>
          <w:tab/>
        </w:r>
        <w:r>
          <w:rPr>
            <w:webHidden/>
          </w:rPr>
          <w:fldChar w:fldCharType="begin"/>
        </w:r>
        <w:r>
          <w:rPr>
            <w:webHidden/>
          </w:rPr>
          <w:instrText xml:space="preserve"> PAGEREF _Toc190942364 \h </w:instrText>
        </w:r>
        <w:r>
          <w:rPr>
            <w:webHidden/>
          </w:rPr>
        </w:r>
        <w:r>
          <w:rPr>
            <w:webHidden/>
          </w:rPr>
          <w:fldChar w:fldCharType="separate"/>
        </w:r>
        <w:r w:rsidR="004D1D9C">
          <w:rPr>
            <w:webHidden/>
          </w:rPr>
          <w:t>43</w:t>
        </w:r>
        <w:r>
          <w:rPr>
            <w:webHidden/>
          </w:rPr>
          <w:fldChar w:fldCharType="end"/>
        </w:r>
      </w:hyperlink>
    </w:p>
    <w:p w14:paraId="708FF0D8" w14:textId="5501F413" w:rsidR="000B12EE" w:rsidRDefault="000B12EE" w:rsidP="00EA6B24">
      <w:pPr>
        <w:pStyle w:val="TOC2"/>
        <w:rPr>
          <w:rFonts w:asciiTheme="minorHAnsi" w:eastAsiaTheme="minorEastAsia" w:hAnsiTheme="minorHAnsi"/>
          <w:bCs/>
          <w:sz w:val="24"/>
          <w:szCs w:val="24"/>
          <w:lang w:val="en-AU" w:eastAsia="en-AU"/>
        </w:rPr>
      </w:pPr>
      <w:hyperlink w:anchor="_Toc190942365" w:history="1">
        <w:r w:rsidRPr="00047099">
          <w:rPr>
            <w:rStyle w:val="Hyperlink"/>
          </w:rPr>
          <w:t>2 Research design</w:t>
        </w:r>
        <w:r>
          <w:rPr>
            <w:webHidden/>
          </w:rPr>
          <w:tab/>
        </w:r>
        <w:r>
          <w:rPr>
            <w:webHidden/>
          </w:rPr>
          <w:fldChar w:fldCharType="begin"/>
        </w:r>
        <w:r>
          <w:rPr>
            <w:webHidden/>
          </w:rPr>
          <w:instrText xml:space="preserve"> PAGEREF _Toc190942365 \h </w:instrText>
        </w:r>
        <w:r>
          <w:rPr>
            <w:webHidden/>
          </w:rPr>
        </w:r>
        <w:r>
          <w:rPr>
            <w:webHidden/>
          </w:rPr>
          <w:fldChar w:fldCharType="separate"/>
        </w:r>
        <w:r w:rsidR="004D1D9C">
          <w:rPr>
            <w:webHidden/>
          </w:rPr>
          <w:t>45</w:t>
        </w:r>
        <w:r>
          <w:rPr>
            <w:webHidden/>
          </w:rPr>
          <w:fldChar w:fldCharType="end"/>
        </w:r>
      </w:hyperlink>
    </w:p>
    <w:p w14:paraId="5D1770C6" w14:textId="7F828DDD" w:rsidR="000B12EE" w:rsidRDefault="000B12EE" w:rsidP="006026D2">
      <w:pPr>
        <w:pStyle w:val="TOC3"/>
        <w:rPr>
          <w:rFonts w:asciiTheme="minorHAnsi" w:eastAsiaTheme="minorEastAsia" w:hAnsiTheme="minorHAnsi"/>
          <w:sz w:val="24"/>
          <w:szCs w:val="24"/>
          <w:lang w:val="en-AU" w:eastAsia="en-AU"/>
        </w:rPr>
      </w:pPr>
      <w:hyperlink w:anchor="_Toc190942366" w:history="1">
        <w:r w:rsidRPr="00047099">
          <w:rPr>
            <w:rStyle w:val="Hyperlink"/>
          </w:rPr>
          <w:t>2.1 Aims of the 2021 NCAS</w:t>
        </w:r>
        <w:r>
          <w:rPr>
            <w:webHidden/>
          </w:rPr>
          <w:tab/>
        </w:r>
        <w:r>
          <w:rPr>
            <w:webHidden/>
          </w:rPr>
          <w:fldChar w:fldCharType="begin"/>
        </w:r>
        <w:r>
          <w:rPr>
            <w:webHidden/>
          </w:rPr>
          <w:instrText xml:space="preserve"> PAGEREF _Toc190942366 \h </w:instrText>
        </w:r>
        <w:r>
          <w:rPr>
            <w:webHidden/>
          </w:rPr>
        </w:r>
        <w:r>
          <w:rPr>
            <w:webHidden/>
          </w:rPr>
          <w:fldChar w:fldCharType="separate"/>
        </w:r>
        <w:r w:rsidR="004D1D9C">
          <w:rPr>
            <w:webHidden/>
          </w:rPr>
          <w:t>45</w:t>
        </w:r>
        <w:r>
          <w:rPr>
            <w:webHidden/>
          </w:rPr>
          <w:fldChar w:fldCharType="end"/>
        </w:r>
      </w:hyperlink>
    </w:p>
    <w:p w14:paraId="674E41C1" w14:textId="0791D547" w:rsidR="000B12EE" w:rsidRDefault="000B12EE" w:rsidP="006026D2">
      <w:pPr>
        <w:pStyle w:val="TOC3"/>
        <w:rPr>
          <w:rFonts w:asciiTheme="minorHAnsi" w:eastAsiaTheme="minorEastAsia" w:hAnsiTheme="minorHAnsi"/>
          <w:sz w:val="24"/>
          <w:szCs w:val="24"/>
          <w:lang w:val="en-AU" w:eastAsia="en-AU"/>
        </w:rPr>
      </w:pPr>
      <w:hyperlink w:anchor="_Toc190942367" w:history="1">
        <w:r w:rsidRPr="00047099">
          <w:rPr>
            <w:rStyle w:val="Hyperlink"/>
          </w:rPr>
          <w:t>2.2 2021 NCAS instrument</w:t>
        </w:r>
        <w:r>
          <w:rPr>
            <w:webHidden/>
          </w:rPr>
          <w:tab/>
        </w:r>
        <w:r>
          <w:rPr>
            <w:webHidden/>
          </w:rPr>
          <w:fldChar w:fldCharType="begin"/>
        </w:r>
        <w:r>
          <w:rPr>
            <w:webHidden/>
          </w:rPr>
          <w:instrText xml:space="preserve"> PAGEREF _Toc190942367 \h </w:instrText>
        </w:r>
        <w:r>
          <w:rPr>
            <w:webHidden/>
          </w:rPr>
        </w:r>
        <w:r>
          <w:rPr>
            <w:webHidden/>
          </w:rPr>
          <w:fldChar w:fldCharType="separate"/>
        </w:r>
        <w:r w:rsidR="004D1D9C">
          <w:rPr>
            <w:webHidden/>
          </w:rPr>
          <w:t>46</w:t>
        </w:r>
        <w:r>
          <w:rPr>
            <w:webHidden/>
          </w:rPr>
          <w:fldChar w:fldCharType="end"/>
        </w:r>
      </w:hyperlink>
    </w:p>
    <w:p w14:paraId="403D838C" w14:textId="7308C089" w:rsidR="000B12EE" w:rsidRDefault="000B12EE" w:rsidP="006026D2">
      <w:pPr>
        <w:pStyle w:val="TOC3"/>
        <w:rPr>
          <w:rFonts w:asciiTheme="minorHAnsi" w:eastAsiaTheme="minorEastAsia" w:hAnsiTheme="minorHAnsi"/>
          <w:sz w:val="24"/>
          <w:szCs w:val="24"/>
          <w:lang w:val="en-AU" w:eastAsia="en-AU"/>
        </w:rPr>
      </w:pPr>
      <w:hyperlink w:anchor="_Toc190942368" w:history="1">
        <w:r w:rsidRPr="00047099">
          <w:rPr>
            <w:rStyle w:val="Hyperlink"/>
          </w:rPr>
          <w:t>2.3</w:t>
        </w:r>
        <w:r>
          <w:rPr>
            <w:rFonts w:asciiTheme="minorHAnsi" w:eastAsiaTheme="minorEastAsia" w:hAnsiTheme="minorHAnsi"/>
            <w:sz w:val="24"/>
            <w:szCs w:val="24"/>
            <w:lang w:val="en-AU" w:eastAsia="en-AU"/>
          </w:rPr>
          <w:t xml:space="preserve"> </w:t>
        </w:r>
        <w:r w:rsidRPr="00047099">
          <w:rPr>
            <w:rStyle w:val="Hyperlink"/>
          </w:rPr>
          <w:t>Sampling</w:t>
        </w:r>
        <w:r>
          <w:rPr>
            <w:webHidden/>
          </w:rPr>
          <w:tab/>
        </w:r>
        <w:r>
          <w:rPr>
            <w:webHidden/>
          </w:rPr>
          <w:fldChar w:fldCharType="begin"/>
        </w:r>
        <w:r>
          <w:rPr>
            <w:webHidden/>
          </w:rPr>
          <w:instrText xml:space="preserve"> PAGEREF _Toc190942368 \h </w:instrText>
        </w:r>
        <w:r>
          <w:rPr>
            <w:webHidden/>
          </w:rPr>
        </w:r>
        <w:r>
          <w:rPr>
            <w:webHidden/>
          </w:rPr>
          <w:fldChar w:fldCharType="separate"/>
        </w:r>
        <w:r w:rsidR="004D1D9C">
          <w:rPr>
            <w:webHidden/>
          </w:rPr>
          <w:t>50</w:t>
        </w:r>
        <w:r>
          <w:rPr>
            <w:webHidden/>
          </w:rPr>
          <w:fldChar w:fldCharType="end"/>
        </w:r>
      </w:hyperlink>
    </w:p>
    <w:p w14:paraId="12EC640F" w14:textId="73AACAF9" w:rsidR="000B12EE" w:rsidRDefault="000B12EE" w:rsidP="006026D2">
      <w:pPr>
        <w:pStyle w:val="TOC3"/>
        <w:rPr>
          <w:rFonts w:asciiTheme="minorHAnsi" w:eastAsiaTheme="minorEastAsia" w:hAnsiTheme="minorHAnsi"/>
          <w:sz w:val="24"/>
          <w:szCs w:val="24"/>
          <w:lang w:val="en-AU" w:eastAsia="en-AU"/>
        </w:rPr>
      </w:pPr>
      <w:hyperlink w:anchor="_Toc190942369" w:history="1">
        <w:r w:rsidRPr="00047099">
          <w:rPr>
            <w:rStyle w:val="Hyperlink"/>
          </w:rPr>
          <w:t>2.4</w:t>
        </w:r>
        <w:r>
          <w:rPr>
            <w:rFonts w:asciiTheme="minorHAnsi" w:eastAsiaTheme="minorEastAsia" w:hAnsiTheme="minorHAnsi"/>
            <w:sz w:val="24"/>
            <w:szCs w:val="24"/>
            <w:lang w:val="en-AU" w:eastAsia="en-AU"/>
          </w:rPr>
          <w:t xml:space="preserve"> </w:t>
        </w:r>
        <w:r w:rsidRPr="00047099">
          <w:rPr>
            <w:rStyle w:val="Hyperlink"/>
          </w:rPr>
          <w:t>Analysis and reporting</w:t>
        </w:r>
        <w:r>
          <w:rPr>
            <w:webHidden/>
          </w:rPr>
          <w:tab/>
        </w:r>
        <w:r>
          <w:rPr>
            <w:webHidden/>
          </w:rPr>
          <w:fldChar w:fldCharType="begin"/>
        </w:r>
        <w:r>
          <w:rPr>
            <w:webHidden/>
          </w:rPr>
          <w:instrText xml:space="preserve"> PAGEREF _Toc190942369 \h </w:instrText>
        </w:r>
        <w:r>
          <w:rPr>
            <w:webHidden/>
          </w:rPr>
        </w:r>
        <w:r>
          <w:rPr>
            <w:webHidden/>
          </w:rPr>
          <w:fldChar w:fldCharType="separate"/>
        </w:r>
        <w:r w:rsidR="004D1D9C">
          <w:rPr>
            <w:webHidden/>
          </w:rPr>
          <w:t>50</w:t>
        </w:r>
        <w:r>
          <w:rPr>
            <w:webHidden/>
          </w:rPr>
          <w:fldChar w:fldCharType="end"/>
        </w:r>
      </w:hyperlink>
    </w:p>
    <w:p w14:paraId="11C750E5" w14:textId="1114FFE7" w:rsidR="000B12EE" w:rsidRDefault="000B12EE" w:rsidP="006026D2">
      <w:pPr>
        <w:pStyle w:val="TOC3"/>
        <w:rPr>
          <w:rFonts w:asciiTheme="minorHAnsi" w:eastAsiaTheme="minorEastAsia" w:hAnsiTheme="minorHAnsi"/>
          <w:sz w:val="24"/>
          <w:szCs w:val="24"/>
          <w:lang w:val="en-AU" w:eastAsia="en-AU"/>
        </w:rPr>
      </w:pPr>
      <w:hyperlink w:anchor="_Toc190942370" w:history="1">
        <w:r w:rsidRPr="00047099">
          <w:rPr>
            <w:rStyle w:val="Hyperlink"/>
          </w:rPr>
          <w:t>2.5 Strengths and limitations</w:t>
        </w:r>
        <w:r>
          <w:rPr>
            <w:webHidden/>
          </w:rPr>
          <w:tab/>
        </w:r>
        <w:r>
          <w:rPr>
            <w:webHidden/>
          </w:rPr>
          <w:fldChar w:fldCharType="begin"/>
        </w:r>
        <w:r>
          <w:rPr>
            <w:webHidden/>
          </w:rPr>
          <w:instrText xml:space="preserve"> PAGEREF _Toc190942370 \h </w:instrText>
        </w:r>
        <w:r>
          <w:rPr>
            <w:webHidden/>
          </w:rPr>
        </w:r>
        <w:r>
          <w:rPr>
            <w:webHidden/>
          </w:rPr>
          <w:fldChar w:fldCharType="separate"/>
        </w:r>
        <w:r w:rsidR="004D1D9C">
          <w:rPr>
            <w:webHidden/>
          </w:rPr>
          <w:t>52</w:t>
        </w:r>
        <w:r>
          <w:rPr>
            <w:webHidden/>
          </w:rPr>
          <w:fldChar w:fldCharType="end"/>
        </w:r>
      </w:hyperlink>
    </w:p>
    <w:p w14:paraId="26771292" w14:textId="2D480A66" w:rsidR="000B12EE" w:rsidRDefault="000B12EE" w:rsidP="00EA6B24">
      <w:pPr>
        <w:pStyle w:val="TOC2"/>
        <w:rPr>
          <w:rFonts w:asciiTheme="minorHAnsi" w:eastAsiaTheme="minorEastAsia" w:hAnsiTheme="minorHAnsi"/>
          <w:bCs/>
          <w:sz w:val="24"/>
          <w:szCs w:val="24"/>
          <w:lang w:val="en-AU" w:eastAsia="en-AU"/>
        </w:rPr>
      </w:pPr>
      <w:hyperlink w:anchor="_Toc190942371" w:history="1">
        <w:r w:rsidRPr="00047099">
          <w:rPr>
            <w:rStyle w:val="Hyperlink"/>
          </w:rPr>
          <w:t>3 Findings: Benchmarking young people’s understanding and attitudes based on NCAS scales</w:t>
        </w:r>
        <w:r>
          <w:rPr>
            <w:webHidden/>
          </w:rPr>
          <w:tab/>
        </w:r>
        <w:r>
          <w:rPr>
            <w:webHidden/>
          </w:rPr>
          <w:fldChar w:fldCharType="begin"/>
        </w:r>
        <w:r>
          <w:rPr>
            <w:webHidden/>
          </w:rPr>
          <w:instrText xml:space="preserve"> PAGEREF _Toc190942371 \h </w:instrText>
        </w:r>
        <w:r>
          <w:rPr>
            <w:webHidden/>
          </w:rPr>
        </w:r>
        <w:r>
          <w:rPr>
            <w:webHidden/>
          </w:rPr>
          <w:fldChar w:fldCharType="separate"/>
        </w:r>
        <w:r w:rsidR="004D1D9C">
          <w:rPr>
            <w:webHidden/>
          </w:rPr>
          <w:t>53</w:t>
        </w:r>
        <w:r>
          <w:rPr>
            <w:webHidden/>
          </w:rPr>
          <w:fldChar w:fldCharType="end"/>
        </w:r>
      </w:hyperlink>
    </w:p>
    <w:p w14:paraId="4110396A" w14:textId="50E47F36" w:rsidR="000B12EE" w:rsidRDefault="000B12EE" w:rsidP="006026D2">
      <w:pPr>
        <w:pStyle w:val="TOC3"/>
        <w:rPr>
          <w:rFonts w:asciiTheme="minorHAnsi" w:eastAsiaTheme="minorEastAsia" w:hAnsiTheme="minorHAnsi"/>
          <w:sz w:val="24"/>
          <w:szCs w:val="24"/>
          <w:lang w:val="en-AU" w:eastAsia="en-AU"/>
        </w:rPr>
      </w:pPr>
      <w:hyperlink w:anchor="_Toc190942372" w:history="1">
        <w:r w:rsidRPr="00047099">
          <w:rPr>
            <w:rStyle w:val="Hyperlink"/>
          </w:rPr>
          <w:t>3.1 Benchmarking over time: Young people’s understanding and attitudes</w:t>
        </w:r>
        <w:r>
          <w:rPr>
            <w:webHidden/>
          </w:rPr>
          <w:tab/>
        </w:r>
        <w:r>
          <w:rPr>
            <w:webHidden/>
          </w:rPr>
          <w:fldChar w:fldCharType="begin"/>
        </w:r>
        <w:r>
          <w:rPr>
            <w:webHidden/>
          </w:rPr>
          <w:instrText xml:space="preserve"> PAGEREF _Toc190942372 \h </w:instrText>
        </w:r>
        <w:r>
          <w:rPr>
            <w:webHidden/>
          </w:rPr>
        </w:r>
        <w:r>
          <w:rPr>
            <w:webHidden/>
          </w:rPr>
          <w:fldChar w:fldCharType="separate"/>
        </w:r>
        <w:r w:rsidR="004D1D9C">
          <w:rPr>
            <w:webHidden/>
          </w:rPr>
          <w:t>56</w:t>
        </w:r>
        <w:r>
          <w:rPr>
            <w:webHidden/>
          </w:rPr>
          <w:fldChar w:fldCharType="end"/>
        </w:r>
      </w:hyperlink>
    </w:p>
    <w:p w14:paraId="26777133" w14:textId="06903CD0" w:rsidR="000B12EE" w:rsidRDefault="000B12EE" w:rsidP="006026D2">
      <w:pPr>
        <w:pStyle w:val="TOC3"/>
        <w:rPr>
          <w:rFonts w:asciiTheme="minorHAnsi" w:eastAsiaTheme="minorEastAsia" w:hAnsiTheme="minorHAnsi"/>
          <w:sz w:val="24"/>
          <w:szCs w:val="24"/>
          <w:lang w:val="en-AU" w:eastAsia="en-AU"/>
        </w:rPr>
      </w:pPr>
      <w:hyperlink w:anchor="_Toc190942373" w:history="1">
        <w:r w:rsidRPr="00047099">
          <w:rPr>
            <w:rStyle w:val="Hyperlink"/>
          </w:rPr>
          <w:t>3.2 Benchmarking in 2021: Young people’s understanding and attitudes</w:t>
        </w:r>
        <w:r>
          <w:rPr>
            <w:webHidden/>
          </w:rPr>
          <w:tab/>
        </w:r>
        <w:r>
          <w:rPr>
            <w:webHidden/>
          </w:rPr>
          <w:fldChar w:fldCharType="begin"/>
        </w:r>
        <w:r>
          <w:rPr>
            <w:webHidden/>
          </w:rPr>
          <w:instrText xml:space="preserve"> PAGEREF _Toc190942373 \h </w:instrText>
        </w:r>
        <w:r>
          <w:rPr>
            <w:webHidden/>
          </w:rPr>
        </w:r>
        <w:r>
          <w:rPr>
            <w:webHidden/>
          </w:rPr>
          <w:fldChar w:fldCharType="separate"/>
        </w:r>
        <w:r w:rsidR="004D1D9C">
          <w:rPr>
            <w:webHidden/>
          </w:rPr>
          <w:t>58</w:t>
        </w:r>
        <w:r>
          <w:rPr>
            <w:webHidden/>
          </w:rPr>
          <w:fldChar w:fldCharType="end"/>
        </w:r>
      </w:hyperlink>
    </w:p>
    <w:p w14:paraId="4F3E7543" w14:textId="6635DE32" w:rsidR="000B12EE" w:rsidRDefault="000B12EE" w:rsidP="006026D2">
      <w:pPr>
        <w:pStyle w:val="TOC3"/>
        <w:rPr>
          <w:rFonts w:asciiTheme="minorHAnsi" w:eastAsiaTheme="minorEastAsia" w:hAnsiTheme="minorHAnsi"/>
          <w:sz w:val="24"/>
          <w:szCs w:val="24"/>
          <w:lang w:val="en-AU" w:eastAsia="en-AU"/>
        </w:rPr>
      </w:pPr>
      <w:hyperlink w:anchor="_Toc190942374" w:history="1">
        <w:r w:rsidRPr="00047099">
          <w:rPr>
            <w:rStyle w:val="Hyperlink"/>
          </w:rPr>
          <w:t>3.3 Benchmarking understanding and attitudes by gender and age</w:t>
        </w:r>
        <w:r>
          <w:rPr>
            <w:webHidden/>
          </w:rPr>
          <w:tab/>
        </w:r>
        <w:r>
          <w:rPr>
            <w:webHidden/>
          </w:rPr>
          <w:fldChar w:fldCharType="begin"/>
        </w:r>
        <w:r>
          <w:rPr>
            <w:webHidden/>
          </w:rPr>
          <w:instrText xml:space="preserve"> PAGEREF _Toc190942374 \h </w:instrText>
        </w:r>
        <w:r>
          <w:rPr>
            <w:webHidden/>
          </w:rPr>
        </w:r>
        <w:r>
          <w:rPr>
            <w:webHidden/>
          </w:rPr>
          <w:fldChar w:fldCharType="separate"/>
        </w:r>
        <w:r w:rsidR="004D1D9C">
          <w:rPr>
            <w:webHidden/>
          </w:rPr>
          <w:t>60</w:t>
        </w:r>
        <w:r>
          <w:rPr>
            <w:webHidden/>
          </w:rPr>
          <w:fldChar w:fldCharType="end"/>
        </w:r>
      </w:hyperlink>
    </w:p>
    <w:p w14:paraId="2A256CF9" w14:textId="23273F2F" w:rsidR="000B12EE" w:rsidRDefault="000B12EE" w:rsidP="00EA6B24">
      <w:pPr>
        <w:pStyle w:val="TOC2"/>
        <w:rPr>
          <w:rFonts w:asciiTheme="minorHAnsi" w:eastAsiaTheme="minorEastAsia" w:hAnsiTheme="minorHAnsi"/>
          <w:bCs/>
          <w:sz w:val="24"/>
          <w:szCs w:val="24"/>
          <w:lang w:val="en-AU" w:eastAsia="en-AU"/>
        </w:rPr>
      </w:pPr>
      <w:hyperlink w:anchor="_Toc190942375" w:history="1">
        <w:r w:rsidRPr="00047099">
          <w:rPr>
            <w:rStyle w:val="Hyperlink"/>
          </w:rPr>
          <w:t>4 Findings: Young people’s understanding of violence against women – UVAWS in focus</w:t>
        </w:r>
        <w:r>
          <w:rPr>
            <w:webHidden/>
          </w:rPr>
          <w:tab/>
        </w:r>
        <w:r>
          <w:rPr>
            <w:webHidden/>
          </w:rPr>
          <w:fldChar w:fldCharType="begin"/>
        </w:r>
        <w:r>
          <w:rPr>
            <w:webHidden/>
          </w:rPr>
          <w:instrText xml:space="preserve"> PAGEREF _Toc190942375 \h </w:instrText>
        </w:r>
        <w:r>
          <w:rPr>
            <w:webHidden/>
          </w:rPr>
        </w:r>
        <w:r>
          <w:rPr>
            <w:webHidden/>
          </w:rPr>
          <w:fldChar w:fldCharType="separate"/>
        </w:r>
        <w:r w:rsidR="004D1D9C">
          <w:rPr>
            <w:webHidden/>
          </w:rPr>
          <w:t>61</w:t>
        </w:r>
        <w:r>
          <w:rPr>
            <w:webHidden/>
          </w:rPr>
          <w:fldChar w:fldCharType="end"/>
        </w:r>
      </w:hyperlink>
    </w:p>
    <w:p w14:paraId="78D259EE" w14:textId="78533C29" w:rsidR="000B12EE" w:rsidRDefault="000B12EE" w:rsidP="006026D2">
      <w:pPr>
        <w:pStyle w:val="TOC3"/>
        <w:rPr>
          <w:rFonts w:asciiTheme="minorHAnsi" w:eastAsiaTheme="minorEastAsia" w:hAnsiTheme="minorHAnsi"/>
          <w:sz w:val="24"/>
          <w:szCs w:val="24"/>
          <w:lang w:val="en-AU" w:eastAsia="en-AU"/>
        </w:rPr>
      </w:pPr>
      <w:hyperlink w:anchor="_Toc190942376" w:history="1">
        <w:r w:rsidRPr="00047099">
          <w:rPr>
            <w:rStyle w:val="Hyperlink"/>
          </w:rPr>
          <w:t>4.1 Understanding over time: Young people’s understanding of violence against women</w:t>
        </w:r>
        <w:r>
          <w:rPr>
            <w:webHidden/>
          </w:rPr>
          <w:tab/>
        </w:r>
        <w:r>
          <w:rPr>
            <w:webHidden/>
          </w:rPr>
          <w:fldChar w:fldCharType="begin"/>
        </w:r>
        <w:r>
          <w:rPr>
            <w:webHidden/>
          </w:rPr>
          <w:instrText xml:space="preserve"> PAGEREF _Toc190942376 \h </w:instrText>
        </w:r>
        <w:r>
          <w:rPr>
            <w:webHidden/>
          </w:rPr>
        </w:r>
        <w:r>
          <w:rPr>
            <w:webHidden/>
          </w:rPr>
          <w:fldChar w:fldCharType="separate"/>
        </w:r>
        <w:r w:rsidR="004D1D9C">
          <w:rPr>
            <w:webHidden/>
          </w:rPr>
          <w:t>62</w:t>
        </w:r>
        <w:r>
          <w:rPr>
            <w:webHidden/>
          </w:rPr>
          <w:fldChar w:fldCharType="end"/>
        </w:r>
      </w:hyperlink>
    </w:p>
    <w:p w14:paraId="38D0F89F" w14:textId="7945DC88" w:rsidR="000B12EE" w:rsidRDefault="000B12EE" w:rsidP="006026D2">
      <w:pPr>
        <w:pStyle w:val="TOC3"/>
        <w:rPr>
          <w:rFonts w:asciiTheme="minorHAnsi" w:eastAsiaTheme="minorEastAsia" w:hAnsiTheme="minorHAnsi"/>
          <w:sz w:val="24"/>
          <w:szCs w:val="24"/>
          <w:lang w:val="en-AU" w:eastAsia="en-AU"/>
        </w:rPr>
      </w:pPr>
      <w:hyperlink w:anchor="_Toc190942377" w:history="1">
        <w:r w:rsidRPr="00047099">
          <w:rPr>
            <w:rStyle w:val="Hyperlink"/>
          </w:rPr>
          <w:t>4.2 Understanding in 2021: Young people’s understanding of violence against women</w:t>
        </w:r>
        <w:r>
          <w:rPr>
            <w:webHidden/>
          </w:rPr>
          <w:tab/>
        </w:r>
        <w:r>
          <w:rPr>
            <w:webHidden/>
          </w:rPr>
          <w:fldChar w:fldCharType="begin"/>
        </w:r>
        <w:r>
          <w:rPr>
            <w:webHidden/>
          </w:rPr>
          <w:instrText xml:space="preserve"> PAGEREF _Toc190942377 \h </w:instrText>
        </w:r>
        <w:r>
          <w:rPr>
            <w:webHidden/>
          </w:rPr>
        </w:r>
        <w:r>
          <w:rPr>
            <w:webHidden/>
          </w:rPr>
          <w:fldChar w:fldCharType="separate"/>
        </w:r>
        <w:r w:rsidR="004D1D9C">
          <w:rPr>
            <w:webHidden/>
          </w:rPr>
          <w:t>64</w:t>
        </w:r>
        <w:r>
          <w:rPr>
            <w:webHidden/>
          </w:rPr>
          <w:fldChar w:fldCharType="end"/>
        </w:r>
      </w:hyperlink>
    </w:p>
    <w:p w14:paraId="43DEBAA9" w14:textId="5A7D0501" w:rsidR="000B12EE" w:rsidRDefault="000B12EE" w:rsidP="006026D2">
      <w:pPr>
        <w:pStyle w:val="TOC3"/>
        <w:rPr>
          <w:rFonts w:asciiTheme="minorHAnsi" w:eastAsiaTheme="minorEastAsia" w:hAnsiTheme="minorHAnsi"/>
          <w:sz w:val="24"/>
          <w:szCs w:val="24"/>
          <w:lang w:val="en-AU" w:eastAsia="en-AU"/>
        </w:rPr>
      </w:pPr>
      <w:hyperlink w:anchor="_Toc190942378" w:history="1">
        <w:r w:rsidRPr="00047099">
          <w:rPr>
            <w:rStyle w:val="Hyperlink"/>
          </w:rPr>
          <w:t>4.3 Comparing by gender: Young people’s understanding of violence against women</w:t>
        </w:r>
        <w:r>
          <w:rPr>
            <w:webHidden/>
          </w:rPr>
          <w:tab/>
        </w:r>
        <w:r>
          <w:rPr>
            <w:webHidden/>
          </w:rPr>
          <w:fldChar w:fldCharType="begin"/>
        </w:r>
        <w:r>
          <w:rPr>
            <w:webHidden/>
          </w:rPr>
          <w:instrText xml:space="preserve"> PAGEREF _Toc190942378 \h </w:instrText>
        </w:r>
        <w:r>
          <w:rPr>
            <w:webHidden/>
          </w:rPr>
        </w:r>
        <w:r>
          <w:rPr>
            <w:webHidden/>
          </w:rPr>
          <w:fldChar w:fldCharType="separate"/>
        </w:r>
        <w:r w:rsidR="004D1D9C">
          <w:rPr>
            <w:webHidden/>
          </w:rPr>
          <w:t>69</w:t>
        </w:r>
        <w:r>
          <w:rPr>
            <w:webHidden/>
          </w:rPr>
          <w:fldChar w:fldCharType="end"/>
        </w:r>
      </w:hyperlink>
    </w:p>
    <w:p w14:paraId="52ABC97F" w14:textId="74D1F994" w:rsidR="000B12EE" w:rsidRDefault="000B12EE" w:rsidP="006026D2">
      <w:pPr>
        <w:pStyle w:val="TOC3"/>
        <w:rPr>
          <w:rFonts w:asciiTheme="minorHAnsi" w:eastAsiaTheme="minorEastAsia" w:hAnsiTheme="minorHAnsi"/>
          <w:sz w:val="24"/>
          <w:szCs w:val="24"/>
          <w:lang w:val="en-AU" w:eastAsia="en-AU"/>
        </w:rPr>
      </w:pPr>
      <w:hyperlink w:anchor="_Toc190942379" w:history="1">
        <w:r w:rsidRPr="00047099">
          <w:rPr>
            <w:rStyle w:val="Hyperlink"/>
          </w:rPr>
          <w:t>4.4 Comparing by age: Understanding of violence against women</w:t>
        </w:r>
        <w:r>
          <w:rPr>
            <w:webHidden/>
          </w:rPr>
          <w:tab/>
        </w:r>
        <w:r>
          <w:rPr>
            <w:webHidden/>
          </w:rPr>
          <w:fldChar w:fldCharType="begin"/>
        </w:r>
        <w:r>
          <w:rPr>
            <w:webHidden/>
          </w:rPr>
          <w:instrText xml:space="preserve"> PAGEREF _Toc190942379 \h </w:instrText>
        </w:r>
        <w:r>
          <w:rPr>
            <w:webHidden/>
          </w:rPr>
        </w:r>
        <w:r>
          <w:rPr>
            <w:webHidden/>
          </w:rPr>
          <w:fldChar w:fldCharType="separate"/>
        </w:r>
        <w:r w:rsidR="004D1D9C">
          <w:rPr>
            <w:webHidden/>
          </w:rPr>
          <w:t>71</w:t>
        </w:r>
        <w:r>
          <w:rPr>
            <w:webHidden/>
          </w:rPr>
          <w:fldChar w:fldCharType="end"/>
        </w:r>
      </w:hyperlink>
    </w:p>
    <w:p w14:paraId="235E00C1" w14:textId="351F2CD8" w:rsidR="000B12EE" w:rsidRDefault="000B12EE" w:rsidP="00EA6B24">
      <w:pPr>
        <w:pStyle w:val="TOC2"/>
        <w:rPr>
          <w:rFonts w:asciiTheme="minorHAnsi" w:eastAsiaTheme="minorEastAsia" w:hAnsiTheme="minorHAnsi"/>
          <w:bCs/>
          <w:sz w:val="24"/>
          <w:szCs w:val="24"/>
          <w:lang w:val="en-AU" w:eastAsia="en-AU"/>
        </w:rPr>
      </w:pPr>
      <w:hyperlink w:anchor="_Toc190942380" w:history="1">
        <w:r w:rsidRPr="00047099">
          <w:rPr>
            <w:rStyle w:val="Hyperlink"/>
          </w:rPr>
          <w:t>5 Findings: Young people’s attitudes towards gender inequality – AGIS in focus</w:t>
        </w:r>
        <w:r>
          <w:rPr>
            <w:webHidden/>
          </w:rPr>
          <w:tab/>
        </w:r>
        <w:r>
          <w:rPr>
            <w:webHidden/>
          </w:rPr>
          <w:fldChar w:fldCharType="begin"/>
        </w:r>
        <w:r>
          <w:rPr>
            <w:webHidden/>
          </w:rPr>
          <w:instrText xml:space="preserve"> PAGEREF _Toc190942380 \h </w:instrText>
        </w:r>
        <w:r>
          <w:rPr>
            <w:webHidden/>
          </w:rPr>
        </w:r>
        <w:r>
          <w:rPr>
            <w:webHidden/>
          </w:rPr>
          <w:fldChar w:fldCharType="separate"/>
        </w:r>
        <w:r w:rsidR="004D1D9C">
          <w:rPr>
            <w:webHidden/>
          </w:rPr>
          <w:t>72</w:t>
        </w:r>
        <w:r>
          <w:rPr>
            <w:webHidden/>
          </w:rPr>
          <w:fldChar w:fldCharType="end"/>
        </w:r>
      </w:hyperlink>
    </w:p>
    <w:p w14:paraId="684FAA00" w14:textId="3B5BC86F" w:rsidR="000B12EE" w:rsidRDefault="000B12EE" w:rsidP="006026D2">
      <w:pPr>
        <w:pStyle w:val="TOC3"/>
        <w:rPr>
          <w:rFonts w:asciiTheme="minorHAnsi" w:eastAsiaTheme="minorEastAsia" w:hAnsiTheme="minorHAnsi"/>
          <w:sz w:val="24"/>
          <w:szCs w:val="24"/>
          <w:lang w:val="en-AU" w:eastAsia="en-AU"/>
        </w:rPr>
      </w:pPr>
      <w:hyperlink w:anchor="_Toc190942381" w:history="1">
        <w:r w:rsidRPr="00047099">
          <w:rPr>
            <w:rStyle w:val="Hyperlink"/>
          </w:rPr>
          <w:t>5.1 Attitudes over time: Young people’s attitudes towards gender inequality</w:t>
        </w:r>
        <w:r>
          <w:rPr>
            <w:webHidden/>
          </w:rPr>
          <w:tab/>
        </w:r>
        <w:r>
          <w:rPr>
            <w:webHidden/>
          </w:rPr>
          <w:fldChar w:fldCharType="begin"/>
        </w:r>
        <w:r>
          <w:rPr>
            <w:webHidden/>
          </w:rPr>
          <w:instrText xml:space="preserve"> PAGEREF _Toc190942381 \h </w:instrText>
        </w:r>
        <w:r>
          <w:rPr>
            <w:webHidden/>
          </w:rPr>
        </w:r>
        <w:r>
          <w:rPr>
            <w:webHidden/>
          </w:rPr>
          <w:fldChar w:fldCharType="separate"/>
        </w:r>
        <w:r w:rsidR="004D1D9C">
          <w:rPr>
            <w:webHidden/>
          </w:rPr>
          <w:t>74</w:t>
        </w:r>
        <w:r>
          <w:rPr>
            <w:webHidden/>
          </w:rPr>
          <w:fldChar w:fldCharType="end"/>
        </w:r>
      </w:hyperlink>
    </w:p>
    <w:p w14:paraId="5339C38D" w14:textId="6CA0FD24" w:rsidR="000B12EE" w:rsidRDefault="000B12EE" w:rsidP="006026D2">
      <w:pPr>
        <w:pStyle w:val="TOC3"/>
        <w:rPr>
          <w:rFonts w:asciiTheme="minorHAnsi" w:eastAsiaTheme="minorEastAsia" w:hAnsiTheme="minorHAnsi"/>
          <w:sz w:val="24"/>
          <w:szCs w:val="24"/>
          <w:lang w:val="en-AU" w:eastAsia="en-AU"/>
        </w:rPr>
      </w:pPr>
      <w:hyperlink w:anchor="_Toc190942382" w:history="1">
        <w:r w:rsidRPr="00047099">
          <w:rPr>
            <w:rStyle w:val="Hyperlink"/>
          </w:rPr>
          <w:t>5.2 Attitudes in 2021: Young people’s attitudes towards gender inequality</w:t>
        </w:r>
        <w:r>
          <w:rPr>
            <w:webHidden/>
          </w:rPr>
          <w:tab/>
        </w:r>
        <w:r>
          <w:rPr>
            <w:webHidden/>
          </w:rPr>
          <w:fldChar w:fldCharType="begin"/>
        </w:r>
        <w:r>
          <w:rPr>
            <w:webHidden/>
          </w:rPr>
          <w:instrText xml:space="preserve"> PAGEREF _Toc190942382 \h </w:instrText>
        </w:r>
        <w:r>
          <w:rPr>
            <w:webHidden/>
          </w:rPr>
        </w:r>
        <w:r>
          <w:rPr>
            <w:webHidden/>
          </w:rPr>
          <w:fldChar w:fldCharType="separate"/>
        </w:r>
        <w:r w:rsidR="004D1D9C">
          <w:rPr>
            <w:webHidden/>
          </w:rPr>
          <w:t>75</w:t>
        </w:r>
        <w:r>
          <w:rPr>
            <w:webHidden/>
          </w:rPr>
          <w:fldChar w:fldCharType="end"/>
        </w:r>
      </w:hyperlink>
    </w:p>
    <w:p w14:paraId="6A0FD43B" w14:textId="1161AF99" w:rsidR="000B12EE" w:rsidRDefault="000B12EE" w:rsidP="006026D2">
      <w:pPr>
        <w:pStyle w:val="TOC3"/>
        <w:rPr>
          <w:rFonts w:asciiTheme="minorHAnsi" w:eastAsiaTheme="minorEastAsia" w:hAnsiTheme="minorHAnsi"/>
          <w:sz w:val="24"/>
          <w:szCs w:val="24"/>
          <w:lang w:val="en-AU" w:eastAsia="en-AU"/>
        </w:rPr>
      </w:pPr>
      <w:hyperlink w:anchor="_Toc190942383" w:history="1">
        <w:r w:rsidRPr="00047099">
          <w:rPr>
            <w:rStyle w:val="Hyperlink"/>
          </w:rPr>
          <w:t>5.3 Comparing by gender: Young people’s attitudes towards gender inequality</w:t>
        </w:r>
        <w:r>
          <w:rPr>
            <w:webHidden/>
          </w:rPr>
          <w:tab/>
        </w:r>
        <w:r>
          <w:rPr>
            <w:webHidden/>
          </w:rPr>
          <w:fldChar w:fldCharType="begin"/>
        </w:r>
        <w:r>
          <w:rPr>
            <w:webHidden/>
          </w:rPr>
          <w:instrText xml:space="preserve"> PAGEREF _Toc190942383 \h </w:instrText>
        </w:r>
        <w:r>
          <w:rPr>
            <w:webHidden/>
          </w:rPr>
        </w:r>
        <w:r>
          <w:rPr>
            <w:webHidden/>
          </w:rPr>
          <w:fldChar w:fldCharType="separate"/>
        </w:r>
        <w:r w:rsidR="004D1D9C">
          <w:rPr>
            <w:webHidden/>
          </w:rPr>
          <w:t>80</w:t>
        </w:r>
        <w:r>
          <w:rPr>
            <w:webHidden/>
          </w:rPr>
          <w:fldChar w:fldCharType="end"/>
        </w:r>
      </w:hyperlink>
    </w:p>
    <w:p w14:paraId="7C4DDDBB" w14:textId="1586F83A" w:rsidR="000B12EE" w:rsidRDefault="000B12EE" w:rsidP="006026D2">
      <w:pPr>
        <w:pStyle w:val="TOC3"/>
        <w:rPr>
          <w:rFonts w:asciiTheme="minorHAnsi" w:eastAsiaTheme="minorEastAsia" w:hAnsiTheme="minorHAnsi"/>
          <w:sz w:val="24"/>
          <w:szCs w:val="24"/>
          <w:lang w:val="en-AU" w:eastAsia="en-AU"/>
        </w:rPr>
      </w:pPr>
      <w:hyperlink w:anchor="_Toc190942384" w:history="1">
        <w:r w:rsidRPr="00047099">
          <w:rPr>
            <w:rStyle w:val="Hyperlink"/>
          </w:rPr>
          <w:t>5.4 Comparing by age: Attitudes towards gender inequality</w:t>
        </w:r>
        <w:r>
          <w:rPr>
            <w:webHidden/>
          </w:rPr>
          <w:tab/>
        </w:r>
        <w:r>
          <w:rPr>
            <w:webHidden/>
          </w:rPr>
          <w:fldChar w:fldCharType="begin"/>
        </w:r>
        <w:r>
          <w:rPr>
            <w:webHidden/>
          </w:rPr>
          <w:instrText xml:space="preserve"> PAGEREF _Toc190942384 \h </w:instrText>
        </w:r>
        <w:r>
          <w:rPr>
            <w:webHidden/>
          </w:rPr>
        </w:r>
        <w:r>
          <w:rPr>
            <w:webHidden/>
          </w:rPr>
          <w:fldChar w:fldCharType="separate"/>
        </w:r>
        <w:r w:rsidR="004D1D9C">
          <w:rPr>
            <w:webHidden/>
          </w:rPr>
          <w:t>82</w:t>
        </w:r>
        <w:r>
          <w:rPr>
            <w:webHidden/>
          </w:rPr>
          <w:fldChar w:fldCharType="end"/>
        </w:r>
      </w:hyperlink>
    </w:p>
    <w:p w14:paraId="52404A44" w14:textId="361732C5" w:rsidR="000B12EE" w:rsidRDefault="000B12EE" w:rsidP="00EA6B24">
      <w:pPr>
        <w:pStyle w:val="TOC2"/>
        <w:rPr>
          <w:rFonts w:asciiTheme="minorHAnsi" w:eastAsiaTheme="minorEastAsia" w:hAnsiTheme="minorHAnsi"/>
          <w:bCs/>
          <w:sz w:val="24"/>
          <w:szCs w:val="24"/>
          <w:lang w:val="en-AU" w:eastAsia="en-AU"/>
        </w:rPr>
      </w:pPr>
      <w:hyperlink w:anchor="_Toc190942385" w:history="1">
        <w:r w:rsidRPr="00047099">
          <w:rPr>
            <w:rStyle w:val="Hyperlink"/>
          </w:rPr>
          <w:t>6 Findings: Young people’s attitudes towards violence against women – AVAWS in focus</w:t>
        </w:r>
        <w:r>
          <w:rPr>
            <w:webHidden/>
          </w:rPr>
          <w:tab/>
        </w:r>
        <w:r>
          <w:rPr>
            <w:webHidden/>
          </w:rPr>
          <w:fldChar w:fldCharType="begin"/>
        </w:r>
        <w:r>
          <w:rPr>
            <w:webHidden/>
          </w:rPr>
          <w:instrText xml:space="preserve"> PAGEREF _Toc190942385 \h </w:instrText>
        </w:r>
        <w:r>
          <w:rPr>
            <w:webHidden/>
          </w:rPr>
        </w:r>
        <w:r>
          <w:rPr>
            <w:webHidden/>
          </w:rPr>
          <w:fldChar w:fldCharType="separate"/>
        </w:r>
        <w:r w:rsidR="004D1D9C">
          <w:rPr>
            <w:webHidden/>
          </w:rPr>
          <w:t>84</w:t>
        </w:r>
        <w:r>
          <w:rPr>
            <w:webHidden/>
          </w:rPr>
          <w:fldChar w:fldCharType="end"/>
        </w:r>
      </w:hyperlink>
    </w:p>
    <w:p w14:paraId="076DEBF2" w14:textId="27934549" w:rsidR="000B12EE" w:rsidRDefault="000B12EE" w:rsidP="006026D2">
      <w:pPr>
        <w:pStyle w:val="TOC3"/>
        <w:rPr>
          <w:rFonts w:asciiTheme="minorHAnsi" w:eastAsiaTheme="minorEastAsia" w:hAnsiTheme="minorHAnsi"/>
          <w:sz w:val="24"/>
          <w:szCs w:val="24"/>
          <w:lang w:val="en-AU" w:eastAsia="en-AU"/>
        </w:rPr>
      </w:pPr>
      <w:hyperlink w:anchor="_Toc190942386" w:history="1">
        <w:r w:rsidRPr="00047099">
          <w:rPr>
            <w:rStyle w:val="Hyperlink"/>
          </w:rPr>
          <w:t>6.1 Attitudes over time: Young people’s attitudes towards violence against women</w:t>
        </w:r>
        <w:r>
          <w:rPr>
            <w:webHidden/>
          </w:rPr>
          <w:tab/>
        </w:r>
        <w:r>
          <w:rPr>
            <w:webHidden/>
          </w:rPr>
          <w:fldChar w:fldCharType="begin"/>
        </w:r>
        <w:r>
          <w:rPr>
            <w:webHidden/>
          </w:rPr>
          <w:instrText xml:space="preserve"> PAGEREF _Toc190942386 \h </w:instrText>
        </w:r>
        <w:r>
          <w:rPr>
            <w:webHidden/>
          </w:rPr>
        </w:r>
        <w:r>
          <w:rPr>
            <w:webHidden/>
          </w:rPr>
          <w:fldChar w:fldCharType="separate"/>
        </w:r>
        <w:r w:rsidR="004D1D9C">
          <w:rPr>
            <w:webHidden/>
          </w:rPr>
          <w:t>86</w:t>
        </w:r>
        <w:r>
          <w:rPr>
            <w:webHidden/>
          </w:rPr>
          <w:fldChar w:fldCharType="end"/>
        </w:r>
      </w:hyperlink>
    </w:p>
    <w:p w14:paraId="1F016334" w14:textId="401403B3" w:rsidR="000B12EE" w:rsidRDefault="000B12EE" w:rsidP="006026D2">
      <w:pPr>
        <w:pStyle w:val="TOC3"/>
        <w:rPr>
          <w:rFonts w:asciiTheme="minorHAnsi" w:eastAsiaTheme="minorEastAsia" w:hAnsiTheme="minorHAnsi"/>
          <w:sz w:val="24"/>
          <w:szCs w:val="24"/>
          <w:lang w:val="en-AU" w:eastAsia="en-AU"/>
        </w:rPr>
      </w:pPr>
      <w:hyperlink w:anchor="_Toc190942387" w:history="1">
        <w:r w:rsidRPr="00047099">
          <w:rPr>
            <w:rStyle w:val="Hyperlink"/>
          </w:rPr>
          <w:t>6.2 Attitudes in 2021: Young people’s attitudes towards violence against women</w:t>
        </w:r>
        <w:r>
          <w:rPr>
            <w:webHidden/>
          </w:rPr>
          <w:tab/>
        </w:r>
        <w:r>
          <w:rPr>
            <w:webHidden/>
          </w:rPr>
          <w:fldChar w:fldCharType="begin"/>
        </w:r>
        <w:r>
          <w:rPr>
            <w:webHidden/>
          </w:rPr>
          <w:instrText xml:space="preserve"> PAGEREF _Toc190942387 \h </w:instrText>
        </w:r>
        <w:r>
          <w:rPr>
            <w:webHidden/>
          </w:rPr>
        </w:r>
        <w:r>
          <w:rPr>
            <w:webHidden/>
          </w:rPr>
          <w:fldChar w:fldCharType="separate"/>
        </w:r>
        <w:r w:rsidR="004D1D9C">
          <w:rPr>
            <w:webHidden/>
          </w:rPr>
          <w:t>87</w:t>
        </w:r>
        <w:r>
          <w:rPr>
            <w:webHidden/>
          </w:rPr>
          <w:fldChar w:fldCharType="end"/>
        </w:r>
      </w:hyperlink>
    </w:p>
    <w:p w14:paraId="134795E3" w14:textId="30885C40" w:rsidR="000B12EE" w:rsidRDefault="000B12EE" w:rsidP="006026D2">
      <w:pPr>
        <w:pStyle w:val="TOC3"/>
        <w:rPr>
          <w:rFonts w:asciiTheme="minorHAnsi" w:eastAsiaTheme="minorEastAsia" w:hAnsiTheme="minorHAnsi"/>
          <w:sz w:val="24"/>
          <w:szCs w:val="24"/>
          <w:lang w:val="en-AU" w:eastAsia="en-AU"/>
        </w:rPr>
      </w:pPr>
      <w:hyperlink w:anchor="_Toc190942388" w:history="1">
        <w:r w:rsidRPr="00047099">
          <w:rPr>
            <w:rStyle w:val="Hyperlink"/>
          </w:rPr>
          <w:t>6.3 Comparing by gender: Young people’s attitudes towards violence against women</w:t>
        </w:r>
        <w:r>
          <w:rPr>
            <w:webHidden/>
          </w:rPr>
          <w:tab/>
        </w:r>
        <w:r>
          <w:rPr>
            <w:webHidden/>
          </w:rPr>
          <w:fldChar w:fldCharType="begin"/>
        </w:r>
        <w:r>
          <w:rPr>
            <w:webHidden/>
          </w:rPr>
          <w:instrText xml:space="preserve"> PAGEREF _Toc190942388 \h </w:instrText>
        </w:r>
        <w:r>
          <w:rPr>
            <w:webHidden/>
          </w:rPr>
        </w:r>
        <w:r>
          <w:rPr>
            <w:webHidden/>
          </w:rPr>
          <w:fldChar w:fldCharType="separate"/>
        </w:r>
        <w:r w:rsidR="004D1D9C">
          <w:rPr>
            <w:webHidden/>
          </w:rPr>
          <w:t>95</w:t>
        </w:r>
        <w:r>
          <w:rPr>
            <w:webHidden/>
          </w:rPr>
          <w:fldChar w:fldCharType="end"/>
        </w:r>
      </w:hyperlink>
    </w:p>
    <w:p w14:paraId="3C4DF0B2" w14:textId="30DFD9B4" w:rsidR="000B12EE" w:rsidRDefault="000B12EE" w:rsidP="006026D2">
      <w:pPr>
        <w:pStyle w:val="TOC3"/>
        <w:rPr>
          <w:rFonts w:asciiTheme="minorHAnsi" w:eastAsiaTheme="minorEastAsia" w:hAnsiTheme="minorHAnsi"/>
          <w:sz w:val="24"/>
          <w:szCs w:val="24"/>
          <w:lang w:val="en-AU" w:eastAsia="en-AU"/>
        </w:rPr>
      </w:pPr>
      <w:hyperlink w:anchor="_Toc190942389" w:history="1">
        <w:r w:rsidRPr="00047099">
          <w:rPr>
            <w:rStyle w:val="Hyperlink"/>
          </w:rPr>
          <w:t>6.4 Comparing by age: Attitudes towards violence against women</w:t>
        </w:r>
        <w:r>
          <w:rPr>
            <w:webHidden/>
          </w:rPr>
          <w:tab/>
        </w:r>
        <w:r>
          <w:rPr>
            <w:webHidden/>
          </w:rPr>
          <w:fldChar w:fldCharType="begin"/>
        </w:r>
        <w:r>
          <w:rPr>
            <w:webHidden/>
          </w:rPr>
          <w:instrText xml:space="preserve"> PAGEREF _Toc190942389 \h </w:instrText>
        </w:r>
        <w:r>
          <w:rPr>
            <w:webHidden/>
          </w:rPr>
        </w:r>
        <w:r>
          <w:rPr>
            <w:webHidden/>
          </w:rPr>
          <w:fldChar w:fldCharType="separate"/>
        </w:r>
        <w:r w:rsidR="004D1D9C">
          <w:rPr>
            <w:webHidden/>
          </w:rPr>
          <w:t>97</w:t>
        </w:r>
        <w:r>
          <w:rPr>
            <w:webHidden/>
          </w:rPr>
          <w:fldChar w:fldCharType="end"/>
        </w:r>
      </w:hyperlink>
    </w:p>
    <w:p w14:paraId="15179E3B" w14:textId="690CD12D" w:rsidR="000B12EE" w:rsidRDefault="000B12EE" w:rsidP="00EA6B24">
      <w:pPr>
        <w:pStyle w:val="TOC2"/>
        <w:rPr>
          <w:rFonts w:asciiTheme="minorHAnsi" w:eastAsiaTheme="minorEastAsia" w:hAnsiTheme="minorHAnsi"/>
          <w:bCs/>
          <w:sz w:val="24"/>
          <w:szCs w:val="24"/>
          <w:lang w:val="en-AU" w:eastAsia="en-AU"/>
        </w:rPr>
      </w:pPr>
      <w:hyperlink w:anchor="_Toc190942390" w:history="1">
        <w:r w:rsidRPr="00047099">
          <w:rPr>
            <w:rStyle w:val="Hyperlink"/>
          </w:rPr>
          <w:t>7 Findings: Young people’s understanding and attitudes towards specific types of violence</w:t>
        </w:r>
        <w:r>
          <w:rPr>
            <w:rStyle w:val="Hyperlink"/>
          </w:rPr>
          <w:br/>
        </w:r>
        <w:r w:rsidRPr="00047099">
          <w:rPr>
            <w:rStyle w:val="Hyperlink"/>
          </w:rPr>
          <w:t>against women</w:t>
        </w:r>
        <w:r>
          <w:rPr>
            <w:webHidden/>
          </w:rPr>
          <w:tab/>
        </w:r>
        <w:r>
          <w:rPr>
            <w:webHidden/>
          </w:rPr>
          <w:fldChar w:fldCharType="begin"/>
        </w:r>
        <w:r>
          <w:rPr>
            <w:webHidden/>
          </w:rPr>
          <w:instrText xml:space="preserve"> PAGEREF _Toc190942390 \h </w:instrText>
        </w:r>
        <w:r>
          <w:rPr>
            <w:webHidden/>
          </w:rPr>
        </w:r>
        <w:r>
          <w:rPr>
            <w:webHidden/>
          </w:rPr>
          <w:fldChar w:fldCharType="separate"/>
        </w:r>
        <w:r w:rsidR="004D1D9C">
          <w:rPr>
            <w:webHidden/>
          </w:rPr>
          <w:t>99</w:t>
        </w:r>
        <w:r>
          <w:rPr>
            <w:webHidden/>
          </w:rPr>
          <w:fldChar w:fldCharType="end"/>
        </w:r>
      </w:hyperlink>
    </w:p>
    <w:p w14:paraId="461DEE70" w14:textId="3DBCEA78" w:rsidR="000B12EE" w:rsidRDefault="000B12EE" w:rsidP="006026D2">
      <w:pPr>
        <w:pStyle w:val="TOC3"/>
        <w:rPr>
          <w:rFonts w:asciiTheme="minorHAnsi" w:eastAsiaTheme="minorEastAsia" w:hAnsiTheme="minorHAnsi"/>
          <w:sz w:val="24"/>
          <w:szCs w:val="24"/>
          <w:lang w:val="en-AU" w:eastAsia="en-AU"/>
        </w:rPr>
      </w:pPr>
      <w:hyperlink w:anchor="_Toc190942391" w:history="1">
        <w:r w:rsidRPr="00047099">
          <w:rPr>
            <w:rStyle w:val="Hyperlink"/>
          </w:rPr>
          <w:t xml:space="preserve">7.1 </w:t>
        </w:r>
        <w:r w:rsidRPr="000B12EE">
          <w:rPr>
            <w:rStyle w:val="Hyperlink"/>
            <w:color w:val="auto"/>
            <w:u w:val="none"/>
          </w:rPr>
          <w:t>Domestic</w:t>
        </w:r>
        <w:r w:rsidRPr="00047099">
          <w:rPr>
            <w:rStyle w:val="Hyperlink"/>
          </w:rPr>
          <w:t xml:space="preserve"> violence</w:t>
        </w:r>
        <w:r>
          <w:rPr>
            <w:webHidden/>
          </w:rPr>
          <w:tab/>
        </w:r>
        <w:r>
          <w:rPr>
            <w:webHidden/>
          </w:rPr>
          <w:fldChar w:fldCharType="begin"/>
        </w:r>
        <w:r>
          <w:rPr>
            <w:webHidden/>
          </w:rPr>
          <w:instrText xml:space="preserve"> PAGEREF _Toc190942391 \h </w:instrText>
        </w:r>
        <w:r>
          <w:rPr>
            <w:webHidden/>
          </w:rPr>
        </w:r>
        <w:r>
          <w:rPr>
            <w:webHidden/>
          </w:rPr>
          <w:fldChar w:fldCharType="separate"/>
        </w:r>
        <w:r w:rsidR="004D1D9C">
          <w:rPr>
            <w:webHidden/>
          </w:rPr>
          <w:t>100</w:t>
        </w:r>
        <w:r>
          <w:rPr>
            <w:webHidden/>
          </w:rPr>
          <w:fldChar w:fldCharType="end"/>
        </w:r>
      </w:hyperlink>
    </w:p>
    <w:p w14:paraId="05511097" w14:textId="0D8F36D5" w:rsidR="000B12EE" w:rsidRDefault="000B12EE" w:rsidP="006026D2">
      <w:pPr>
        <w:pStyle w:val="TOC3"/>
        <w:rPr>
          <w:rFonts w:asciiTheme="minorHAnsi" w:eastAsiaTheme="minorEastAsia" w:hAnsiTheme="minorHAnsi"/>
          <w:sz w:val="24"/>
          <w:szCs w:val="24"/>
          <w:lang w:val="en-AU" w:eastAsia="en-AU"/>
        </w:rPr>
      </w:pPr>
      <w:hyperlink w:anchor="_Toc190942392" w:history="1">
        <w:r w:rsidRPr="00047099">
          <w:rPr>
            <w:rStyle w:val="Hyperlink"/>
          </w:rPr>
          <w:t xml:space="preserve">7.2 Sexual </w:t>
        </w:r>
        <w:r w:rsidRPr="000B12EE">
          <w:rPr>
            <w:rStyle w:val="Hyperlink"/>
            <w:color w:val="auto"/>
            <w:u w:val="none"/>
          </w:rPr>
          <w:t>violence</w:t>
        </w:r>
        <w:r>
          <w:rPr>
            <w:webHidden/>
          </w:rPr>
          <w:tab/>
        </w:r>
        <w:r>
          <w:rPr>
            <w:webHidden/>
          </w:rPr>
          <w:fldChar w:fldCharType="begin"/>
        </w:r>
        <w:r>
          <w:rPr>
            <w:webHidden/>
          </w:rPr>
          <w:instrText xml:space="preserve"> PAGEREF _Toc190942392 \h </w:instrText>
        </w:r>
        <w:r>
          <w:rPr>
            <w:webHidden/>
          </w:rPr>
        </w:r>
        <w:r>
          <w:rPr>
            <w:webHidden/>
          </w:rPr>
          <w:fldChar w:fldCharType="separate"/>
        </w:r>
        <w:r w:rsidR="004D1D9C">
          <w:rPr>
            <w:webHidden/>
          </w:rPr>
          <w:t>102</w:t>
        </w:r>
        <w:r>
          <w:rPr>
            <w:webHidden/>
          </w:rPr>
          <w:fldChar w:fldCharType="end"/>
        </w:r>
      </w:hyperlink>
    </w:p>
    <w:p w14:paraId="11F6126D" w14:textId="4493AA51" w:rsidR="000B12EE" w:rsidRDefault="000B12EE" w:rsidP="006026D2">
      <w:pPr>
        <w:pStyle w:val="TOC3"/>
        <w:rPr>
          <w:rFonts w:asciiTheme="minorHAnsi" w:eastAsiaTheme="minorEastAsia" w:hAnsiTheme="minorHAnsi"/>
          <w:sz w:val="24"/>
          <w:szCs w:val="24"/>
          <w:lang w:val="en-AU" w:eastAsia="en-AU"/>
        </w:rPr>
      </w:pPr>
      <w:hyperlink w:anchor="_Toc190942393" w:history="1">
        <w:r w:rsidRPr="00047099">
          <w:rPr>
            <w:rStyle w:val="Hyperlink"/>
          </w:rPr>
          <w:t>7.3 Technology-facilitated abuse</w:t>
        </w:r>
        <w:r>
          <w:rPr>
            <w:webHidden/>
          </w:rPr>
          <w:tab/>
        </w:r>
        <w:r>
          <w:rPr>
            <w:webHidden/>
          </w:rPr>
          <w:fldChar w:fldCharType="begin"/>
        </w:r>
        <w:r>
          <w:rPr>
            <w:webHidden/>
          </w:rPr>
          <w:instrText xml:space="preserve"> PAGEREF _Toc190942393 \h </w:instrText>
        </w:r>
        <w:r>
          <w:rPr>
            <w:webHidden/>
          </w:rPr>
        </w:r>
        <w:r>
          <w:rPr>
            <w:webHidden/>
          </w:rPr>
          <w:fldChar w:fldCharType="separate"/>
        </w:r>
        <w:r w:rsidR="004D1D9C">
          <w:rPr>
            <w:webHidden/>
          </w:rPr>
          <w:t>108</w:t>
        </w:r>
        <w:r>
          <w:rPr>
            <w:webHidden/>
          </w:rPr>
          <w:fldChar w:fldCharType="end"/>
        </w:r>
      </w:hyperlink>
    </w:p>
    <w:p w14:paraId="282DA176" w14:textId="5AA16B95" w:rsidR="000B12EE" w:rsidRDefault="000B12EE" w:rsidP="006026D2">
      <w:pPr>
        <w:pStyle w:val="TOC3"/>
        <w:rPr>
          <w:rFonts w:asciiTheme="minorHAnsi" w:eastAsiaTheme="minorEastAsia" w:hAnsiTheme="minorHAnsi"/>
          <w:sz w:val="24"/>
          <w:szCs w:val="24"/>
          <w:lang w:val="en-AU" w:eastAsia="en-AU"/>
        </w:rPr>
      </w:pPr>
      <w:hyperlink w:anchor="_Toc190942394" w:history="1">
        <w:r w:rsidRPr="00047099">
          <w:rPr>
            <w:rStyle w:val="Hyperlink"/>
          </w:rPr>
          <w:t>7.4 Stalking</w:t>
        </w:r>
        <w:r>
          <w:rPr>
            <w:webHidden/>
          </w:rPr>
          <w:tab/>
        </w:r>
        <w:r>
          <w:rPr>
            <w:webHidden/>
          </w:rPr>
          <w:fldChar w:fldCharType="begin"/>
        </w:r>
        <w:r>
          <w:rPr>
            <w:webHidden/>
          </w:rPr>
          <w:instrText xml:space="preserve"> PAGEREF _Toc190942394 \h </w:instrText>
        </w:r>
        <w:r>
          <w:rPr>
            <w:webHidden/>
          </w:rPr>
        </w:r>
        <w:r>
          <w:rPr>
            <w:webHidden/>
          </w:rPr>
          <w:fldChar w:fldCharType="separate"/>
        </w:r>
        <w:r w:rsidR="004D1D9C">
          <w:rPr>
            <w:webHidden/>
          </w:rPr>
          <w:t>110</w:t>
        </w:r>
        <w:r>
          <w:rPr>
            <w:webHidden/>
          </w:rPr>
          <w:fldChar w:fldCharType="end"/>
        </w:r>
      </w:hyperlink>
    </w:p>
    <w:p w14:paraId="7997F8BE" w14:textId="5A3DCDF0" w:rsidR="000B12EE" w:rsidRDefault="000B12EE" w:rsidP="00EA6B24">
      <w:pPr>
        <w:pStyle w:val="TOC2"/>
        <w:rPr>
          <w:rFonts w:asciiTheme="minorHAnsi" w:eastAsiaTheme="minorEastAsia" w:hAnsiTheme="minorHAnsi"/>
          <w:bCs/>
          <w:sz w:val="24"/>
          <w:szCs w:val="24"/>
          <w:lang w:val="en-AU" w:eastAsia="en-AU"/>
        </w:rPr>
      </w:pPr>
      <w:hyperlink w:anchor="_Toc190942395" w:history="1">
        <w:r w:rsidRPr="00047099">
          <w:rPr>
            <w:rStyle w:val="Hyperlink"/>
          </w:rPr>
          <w:t>8 Findings: Young people’s bystander responses</w:t>
        </w:r>
        <w:r>
          <w:rPr>
            <w:webHidden/>
          </w:rPr>
          <w:tab/>
        </w:r>
        <w:r>
          <w:rPr>
            <w:webHidden/>
          </w:rPr>
          <w:fldChar w:fldCharType="begin"/>
        </w:r>
        <w:r>
          <w:rPr>
            <w:webHidden/>
          </w:rPr>
          <w:instrText xml:space="preserve"> PAGEREF _Toc190942395 \h </w:instrText>
        </w:r>
        <w:r>
          <w:rPr>
            <w:webHidden/>
          </w:rPr>
        </w:r>
        <w:r>
          <w:rPr>
            <w:webHidden/>
          </w:rPr>
          <w:fldChar w:fldCharType="separate"/>
        </w:r>
        <w:r w:rsidR="004D1D9C">
          <w:rPr>
            <w:webHidden/>
          </w:rPr>
          <w:t>112</w:t>
        </w:r>
        <w:r>
          <w:rPr>
            <w:webHidden/>
          </w:rPr>
          <w:fldChar w:fldCharType="end"/>
        </w:r>
      </w:hyperlink>
    </w:p>
    <w:p w14:paraId="562E78CC" w14:textId="27B1CB99" w:rsidR="000B12EE" w:rsidRDefault="000B12EE" w:rsidP="006026D2">
      <w:pPr>
        <w:pStyle w:val="TOC3"/>
        <w:rPr>
          <w:rFonts w:asciiTheme="minorHAnsi" w:eastAsiaTheme="minorEastAsia" w:hAnsiTheme="minorHAnsi"/>
          <w:sz w:val="24"/>
          <w:szCs w:val="24"/>
          <w:lang w:val="en-AU" w:eastAsia="en-AU"/>
        </w:rPr>
      </w:pPr>
      <w:hyperlink w:anchor="_Toc190942396" w:history="1">
        <w:r w:rsidRPr="00047099">
          <w:rPr>
            <w:rStyle w:val="Hyperlink"/>
          </w:rPr>
          <w:t>8.1 2021 NCAS bystander scenarios</w:t>
        </w:r>
        <w:r>
          <w:rPr>
            <w:webHidden/>
          </w:rPr>
          <w:tab/>
        </w:r>
        <w:r>
          <w:rPr>
            <w:webHidden/>
          </w:rPr>
          <w:fldChar w:fldCharType="begin"/>
        </w:r>
        <w:r>
          <w:rPr>
            <w:webHidden/>
          </w:rPr>
          <w:instrText xml:space="preserve"> PAGEREF _Toc190942396 \h </w:instrText>
        </w:r>
        <w:r>
          <w:rPr>
            <w:webHidden/>
          </w:rPr>
        </w:r>
        <w:r>
          <w:rPr>
            <w:webHidden/>
          </w:rPr>
          <w:fldChar w:fldCharType="separate"/>
        </w:r>
        <w:r w:rsidR="004D1D9C">
          <w:rPr>
            <w:webHidden/>
          </w:rPr>
          <w:t>113</w:t>
        </w:r>
        <w:r>
          <w:rPr>
            <w:webHidden/>
          </w:rPr>
          <w:fldChar w:fldCharType="end"/>
        </w:r>
      </w:hyperlink>
    </w:p>
    <w:p w14:paraId="4FDD19FA" w14:textId="25E793E5" w:rsidR="000B12EE" w:rsidRDefault="000B12EE" w:rsidP="006026D2">
      <w:pPr>
        <w:pStyle w:val="TOC3"/>
        <w:rPr>
          <w:rFonts w:asciiTheme="minorHAnsi" w:eastAsiaTheme="minorEastAsia" w:hAnsiTheme="minorHAnsi"/>
          <w:sz w:val="24"/>
          <w:szCs w:val="24"/>
          <w:lang w:val="en-AU" w:eastAsia="en-AU"/>
        </w:rPr>
      </w:pPr>
      <w:hyperlink w:anchor="_Toc190942397" w:history="1">
        <w:r w:rsidRPr="00047099">
          <w:rPr>
            <w:rStyle w:val="Hyperlink"/>
          </w:rPr>
          <w:t>8.2 Bystander responses to each scenario</w:t>
        </w:r>
        <w:r>
          <w:rPr>
            <w:webHidden/>
          </w:rPr>
          <w:tab/>
        </w:r>
        <w:r>
          <w:rPr>
            <w:webHidden/>
          </w:rPr>
          <w:fldChar w:fldCharType="begin"/>
        </w:r>
        <w:r>
          <w:rPr>
            <w:webHidden/>
          </w:rPr>
          <w:instrText xml:space="preserve"> PAGEREF _Toc190942397 \h </w:instrText>
        </w:r>
        <w:r>
          <w:rPr>
            <w:webHidden/>
          </w:rPr>
        </w:r>
        <w:r>
          <w:rPr>
            <w:webHidden/>
          </w:rPr>
          <w:fldChar w:fldCharType="separate"/>
        </w:r>
        <w:r w:rsidR="004D1D9C">
          <w:rPr>
            <w:webHidden/>
          </w:rPr>
          <w:t>114</w:t>
        </w:r>
        <w:r>
          <w:rPr>
            <w:webHidden/>
          </w:rPr>
          <w:fldChar w:fldCharType="end"/>
        </w:r>
      </w:hyperlink>
    </w:p>
    <w:p w14:paraId="703A6CED" w14:textId="6142A1B7" w:rsidR="000B12EE" w:rsidRDefault="000B12EE" w:rsidP="006026D2">
      <w:pPr>
        <w:pStyle w:val="TOC3"/>
        <w:rPr>
          <w:rFonts w:asciiTheme="minorHAnsi" w:eastAsiaTheme="minorEastAsia" w:hAnsiTheme="minorHAnsi"/>
          <w:sz w:val="24"/>
          <w:szCs w:val="24"/>
          <w:lang w:val="en-AU" w:eastAsia="en-AU"/>
        </w:rPr>
      </w:pPr>
      <w:hyperlink w:anchor="_Toc190942398" w:history="1">
        <w:r w:rsidRPr="00047099">
          <w:rPr>
            <w:rStyle w:val="Hyperlink"/>
          </w:rPr>
          <w:t>8.3 Anticipated peer support or criticism</w:t>
        </w:r>
        <w:r>
          <w:rPr>
            <w:webHidden/>
          </w:rPr>
          <w:tab/>
        </w:r>
        <w:r>
          <w:rPr>
            <w:webHidden/>
          </w:rPr>
          <w:fldChar w:fldCharType="begin"/>
        </w:r>
        <w:r>
          <w:rPr>
            <w:webHidden/>
          </w:rPr>
          <w:instrText xml:space="preserve"> PAGEREF _Toc190942398 \h </w:instrText>
        </w:r>
        <w:r>
          <w:rPr>
            <w:webHidden/>
          </w:rPr>
        </w:r>
        <w:r>
          <w:rPr>
            <w:webHidden/>
          </w:rPr>
          <w:fldChar w:fldCharType="separate"/>
        </w:r>
        <w:r w:rsidR="004D1D9C">
          <w:rPr>
            <w:webHidden/>
          </w:rPr>
          <w:t>115</w:t>
        </w:r>
        <w:r>
          <w:rPr>
            <w:webHidden/>
          </w:rPr>
          <w:fldChar w:fldCharType="end"/>
        </w:r>
      </w:hyperlink>
    </w:p>
    <w:p w14:paraId="0C71A986" w14:textId="2564F7C0" w:rsidR="000B12EE" w:rsidRDefault="000B12EE" w:rsidP="006026D2">
      <w:pPr>
        <w:pStyle w:val="TOC3"/>
        <w:rPr>
          <w:rFonts w:asciiTheme="minorHAnsi" w:eastAsiaTheme="minorEastAsia" w:hAnsiTheme="minorHAnsi"/>
          <w:sz w:val="24"/>
          <w:szCs w:val="24"/>
          <w:lang w:val="en-AU" w:eastAsia="en-AU"/>
        </w:rPr>
      </w:pPr>
      <w:hyperlink w:anchor="_Toc190942399" w:history="1">
        <w:r w:rsidRPr="00047099">
          <w:rPr>
            <w:rStyle w:val="Hyperlink"/>
          </w:rPr>
          <w:t>8.4 Barriers to bystander intention to intervene</w:t>
        </w:r>
        <w:r>
          <w:rPr>
            <w:webHidden/>
          </w:rPr>
          <w:tab/>
        </w:r>
        <w:r>
          <w:rPr>
            <w:webHidden/>
          </w:rPr>
          <w:fldChar w:fldCharType="begin"/>
        </w:r>
        <w:r>
          <w:rPr>
            <w:webHidden/>
          </w:rPr>
          <w:instrText xml:space="preserve"> PAGEREF _Toc190942399 \h </w:instrText>
        </w:r>
        <w:r>
          <w:rPr>
            <w:webHidden/>
          </w:rPr>
        </w:r>
        <w:r>
          <w:rPr>
            <w:webHidden/>
          </w:rPr>
          <w:fldChar w:fldCharType="separate"/>
        </w:r>
        <w:r w:rsidR="004D1D9C">
          <w:rPr>
            <w:webHidden/>
          </w:rPr>
          <w:t>115</w:t>
        </w:r>
        <w:r>
          <w:rPr>
            <w:webHidden/>
          </w:rPr>
          <w:fldChar w:fldCharType="end"/>
        </w:r>
      </w:hyperlink>
    </w:p>
    <w:p w14:paraId="7F814308" w14:textId="51FF5842" w:rsidR="000B12EE" w:rsidRDefault="000B12EE" w:rsidP="006026D2">
      <w:pPr>
        <w:pStyle w:val="TOC3"/>
        <w:rPr>
          <w:rFonts w:asciiTheme="minorHAnsi" w:eastAsiaTheme="minorEastAsia" w:hAnsiTheme="minorHAnsi"/>
          <w:sz w:val="24"/>
          <w:szCs w:val="24"/>
          <w:lang w:val="en-AU" w:eastAsia="en-AU"/>
        </w:rPr>
      </w:pPr>
      <w:hyperlink w:anchor="_Toc190942400" w:history="1">
        <w:r w:rsidRPr="00047099">
          <w:rPr>
            <w:rStyle w:val="Hyperlink"/>
          </w:rPr>
          <w:t>8.5 Comparing by gender: Young people’s bystander responses</w:t>
        </w:r>
        <w:r>
          <w:rPr>
            <w:webHidden/>
          </w:rPr>
          <w:tab/>
        </w:r>
        <w:r>
          <w:rPr>
            <w:webHidden/>
          </w:rPr>
          <w:fldChar w:fldCharType="begin"/>
        </w:r>
        <w:r>
          <w:rPr>
            <w:webHidden/>
          </w:rPr>
          <w:instrText xml:space="preserve"> PAGEREF _Toc190942400 \h </w:instrText>
        </w:r>
        <w:r>
          <w:rPr>
            <w:webHidden/>
          </w:rPr>
        </w:r>
        <w:r>
          <w:rPr>
            <w:webHidden/>
          </w:rPr>
          <w:fldChar w:fldCharType="separate"/>
        </w:r>
        <w:r w:rsidR="004D1D9C">
          <w:rPr>
            <w:webHidden/>
          </w:rPr>
          <w:t>116</w:t>
        </w:r>
        <w:r>
          <w:rPr>
            <w:webHidden/>
          </w:rPr>
          <w:fldChar w:fldCharType="end"/>
        </w:r>
      </w:hyperlink>
    </w:p>
    <w:p w14:paraId="1CF58371" w14:textId="5FB1A771" w:rsidR="000B12EE" w:rsidRDefault="000B12EE" w:rsidP="006026D2">
      <w:pPr>
        <w:pStyle w:val="TOC3"/>
        <w:rPr>
          <w:rFonts w:asciiTheme="minorHAnsi" w:eastAsiaTheme="minorEastAsia" w:hAnsiTheme="minorHAnsi"/>
          <w:sz w:val="24"/>
          <w:szCs w:val="24"/>
          <w:lang w:val="en-AU" w:eastAsia="en-AU"/>
        </w:rPr>
      </w:pPr>
      <w:hyperlink w:anchor="_Toc190942401" w:history="1">
        <w:r w:rsidRPr="00047099">
          <w:rPr>
            <w:rStyle w:val="Hyperlink"/>
          </w:rPr>
          <w:t>8.6 Comparing bystander responses by age</w:t>
        </w:r>
        <w:r>
          <w:rPr>
            <w:webHidden/>
          </w:rPr>
          <w:tab/>
        </w:r>
        <w:r>
          <w:rPr>
            <w:webHidden/>
          </w:rPr>
          <w:fldChar w:fldCharType="begin"/>
        </w:r>
        <w:r>
          <w:rPr>
            <w:webHidden/>
          </w:rPr>
          <w:instrText xml:space="preserve"> PAGEREF _Toc190942401 \h </w:instrText>
        </w:r>
        <w:r>
          <w:rPr>
            <w:webHidden/>
          </w:rPr>
        </w:r>
        <w:r>
          <w:rPr>
            <w:webHidden/>
          </w:rPr>
          <w:fldChar w:fldCharType="separate"/>
        </w:r>
        <w:r w:rsidR="004D1D9C">
          <w:rPr>
            <w:webHidden/>
          </w:rPr>
          <w:t>116</w:t>
        </w:r>
        <w:r>
          <w:rPr>
            <w:webHidden/>
          </w:rPr>
          <w:fldChar w:fldCharType="end"/>
        </w:r>
      </w:hyperlink>
    </w:p>
    <w:p w14:paraId="11C05182" w14:textId="467D2C39" w:rsidR="000B12EE" w:rsidRDefault="000B12EE" w:rsidP="00EA6B24">
      <w:pPr>
        <w:pStyle w:val="TOC2"/>
        <w:rPr>
          <w:rFonts w:asciiTheme="minorHAnsi" w:eastAsiaTheme="minorEastAsia" w:hAnsiTheme="minorHAnsi"/>
          <w:bCs/>
          <w:sz w:val="24"/>
          <w:szCs w:val="24"/>
          <w:lang w:val="en-AU" w:eastAsia="en-AU"/>
        </w:rPr>
      </w:pPr>
      <w:hyperlink w:anchor="_Toc190942402" w:history="1">
        <w:r w:rsidRPr="00047099">
          <w:rPr>
            <w:rStyle w:val="Hyperlink"/>
          </w:rPr>
          <w:t>9 Findings: Young people’s demographic characteristics and contexts</w:t>
        </w:r>
        <w:r>
          <w:rPr>
            <w:webHidden/>
          </w:rPr>
          <w:tab/>
        </w:r>
        <w:r>
          <w:rPr>
            <w:webHidden/>
          </w:rPr>
          <w:fldChar w:fldCharType="begin"/>
        </w:r>
        <w:r>
          <w:rPr>
            <w:webHidden/>
          </w:rPr>
          <w:instrText xml:space="preserve"> PAGEREF _Toc190942402 \h </w:instrText>
        </w:r>
        <w:r>
          <w:rPr>
            <w:webHidden/>
          </w:rPr>
        </w:r>
        <w:r>
          <w:rPr>
            <w:webHidden/>
          </w:rPr>
          <w:fldChar w:fldCharType="separate"/>
        </w:r>
        <w:r w:rsidR="004D1D9C">
          <w:rPr>
            <w:webHidden/>
          </w:rPr>
          <w:t>117</w:t>
        </w:r>
        <w:r>
          <w:rPr>
            <w:webHidden/>
          </w:rPr>
          <w:fldChar w:fldCharType="end"/>
        </w:r>
      </w:hyperlink>
    </w:p>
    <w:p w14:paraId="1A039855" w14:textId="3283038D" w:rsidR="000B12EE" w:rsidRDefault="000B12EE" w:rsidP="006026D2">
      <w:pPr>
        <w:pStyle w:val="TOC3"/>
        <w:rPr>
          <w:rFonts w:asciiTheme="minorHAnsi" w:eastAsiaTheme="minorEastAsia" w:hAnsiTheme="minorHAnsi"/>
          <w:sz w:val="24"/>
          <w:szCs w:val="24"/>
          <w:lang w:val="en-AU" w:eastAsia="en-AU"/>
        </w:rPr>
      </w:pPr>
      <w:hyperlink w:anchor="_Toc190942403" w:history="1">
        <w:r w:rsidRPr="00047099">
          <w:rPr>
            <w:rStyle w:val="Hyperlink"/>
          </w:rPr>
          <w:t>9.1 Young people’s understanding of violence against women: Assessing the</w:t>
        </w:r>
        <w:r>
          <w:rPr>
            <w:rStyle w:val="Hyperlink"/>
          </w:rPr>
          <w:br/>
        </w:r>
        <w:r w:rsidRPr="00047099">
          <w:rPr>
            <w:rStyle w:val="Hyperlink"/>
          </w:rPr>
          <w:t>importance of demographics</w:t>
        </w:r>
        <w:r>
          <w:rPr>
            <w:webHidden/>
          </w:rPr>
          <w:tab/>
        </w:r>
        <w:r>
          <w:rPr>
            <w:webHidden/>
          </w:rPr>
          <w:fldChar w:fldCharType="begin"/>
        </w:r>
        <w:r>
          <w:rPr>
            <w:webHidden/>
          </w:rPr>
          <w:instrText xml:space="preserve"> PAGEREF _Toc190942403 \h </w:instrText>
        </w:r>
        <w:r>
          <w:rPr>
            <w:webHidden/>
          </w:rPr>
        </w:r>
        <w:r>
          <w:rPr>
            <w:webHidden/>
          </w:rPr>
          <w:fldChar w:fldCharType="separate"/>
        </w:r>
        <w:r w:rsidR="004D1D9C">
          <w:rPr>
            <w:webHidden/>
          </w:rPr>
          <w:t>118</w:t>
        </w:r>
        <w:r>
          <w:rPr>
            <w:webHidden/>
          </w:rPr>
          <w:fldChar w:fldCharType="end"/>
        </w:r>
      </w:hyperlink>
    </w:p>
    <w:p w14:paraId="16F7BFE3" w14:textId="215EBA3F" w:rsidR="000B12EE" w:rsidRDefault="000B12EE" w:rsidP="006026D2">
      <w:pPr>
        <w:pStyle w:val="TOC3"/>
        <w:rPr>
          <w:rFonts w:asciiTheme="minorHAnsi" w:eastAsiaTheme="minorEastAsia" w:hAnsiTheme="minorHAnsi"/>
          <w:sz w:val="24"/>
          <w:szCs w:val="24"/>
          <w:lang w:val="en-AU" w:eastAsia="en-AU"/>
        </w:rPr>
      </w:pPr>
      <w:hyperlink w:anchor="_Toc190942404" w:history="1">
        <w:r w:rsidRPr="00047099">
          <w:rPr>
            <w:rStyle w:val="Hyperlink"/>
          </w:rPr>
          <w:t>9.2 Young people’s attitudes towards gender inequality: Assessing the</w:t>
        </w:r>
        <w:r>
          <w:rPr>
            <w:rStyle w:val="Hyperlink"/>
          </w:rPr>
          <w:br/>
        </w:r>
        <w:r w:rsidRPr="00047099">
          <w:rPr>
            <w:rStyle w:val="Hyperlink"/>
          </w:rPr>
          <w:t>importance of demographics</w:t>
        </w:r>
        <w:r>
          <w:rPr>
            <w:webHidden/>
          </w:rPr>
          <w:tab/>
        </w:r>
        <w:r>
          <w:rPr>
            <w:webHidden/>
          </w:rPr>
          <w:fldChar w:fldCharType="begin"/>
        </w:r>
        <w:r>
          <w:rPr>
            <w:webHidden/>
          </w:rPr>
          <w:instrText xml:space="preserve"> PAGEREF _Toc190942404 \h </w:instrText>
        </w:r>
        <w:r>
          <w:rPr>
            <w:webHidden/>
          </w:rPr>
        </w:r>
        <w:r>
          <w:rPr>
            <w:webHidden/>
          </w:rPr>
          <w:fldChar w:fldCharType="separate"/>
        </w:r>
        <w:r w:rsidR="004D1D9C">
          <w:rPr>
            <w:webHidden/>
          </w:rPr>
          <w:t>118</w:t>
        </w:r>
        <w:r>
          <w:rPr>
            <w:webHidden/>
          </w:rPr>
          <w:fldChar w:fldCharType="end"/>
        </w:r>
      </w:hyperlink>
    </w:p>
    <w:p w14:paraId="3989141F" w14:textId="2407A145" w:rsidR="000B12EE" w:rsidRDefault="000B12EE" w:rsidP="006026D2">
      <w:pPr>
        <w:pStyle w:val="TOC3"/>
        <w:rPr>
          <w:rFonts w:asciiTheme="minorHAnsi" w:eastAsiaTheme="minorEastAsia" w:hAnsiTheme="minorHAnsi"/>
          <w:sz w:val="24"/>
          <w:szCs w:val="24"/>
          <w:lang w:val="en-AU" w:eastAsia="en-AU"/>
        </w:rPr>
      </w:pPr>
      <w:hyperlink w:anchor="_Toc190942405" w:history="1">
        <w:r w:rsidRPr="00047099">
          <w:rPr>
            <w:rStyle w:val="Hyperlink"/>
          </w:rPr>
          <w:t>9.3 Young people’s attitudes towards violence against women: Assessing the importance of demographics, understanding and attitudes</w:t>
        </w:r>
        <w:r>
          <w:rPr>
            <w:webHidden/>
          </w:rPr>
          <w:tab/>
        </w:r>
        <w:r>
          <w:rPr>
            <w:webHidden/>
          </w:rPr>
          <w:fldChar w:fldCharType="begin"/>
        </w:r>
        <w:r>
          <w:rPr>
            <w:webHidden/>
          </w:rPr>
          <w:instrText xml:space="preserve"> PAGEREF _Toc190942405 \h </w:instrText>
        </w:r>
        <w:r>
          <w:rPr>
            <w:webHidden/>
          </w:rPr>
        </w:r>
        <w:r>
          <w:rPr>
            <w:webHidden/>
          </w:rPr>
          <w:fldChar w:fldCharType="separate"/>
        </w:r>
        <w:r w:rsidR="004D1D9C">
          <w:rPr>
            <w:webHidden/>
          </w:rPr>
          <w:t>119</w:t>
        </w:r>
        <w:r>
          <w:rPr>
            <w:webHidden/>
          </w:rPr>
          <w:fldChar w:fldCharType="end"/>
        </w:r>
      </w:hyperlink>
    </w:p>
    <w:p w14:paraId="5AD5CCFD" w14:textId="6BAB1093" w:rsidR="000B12EE" w:rsidRDefault="000B12EE" w:rsidP="00EA6B24">
      <w:pPr>
        <w:pStyle w:val="TOC2"/>
        <w:rPr>
          <w:rFonts w:asciiTheme="minorHAnsi" w:eastAsiaTheme="minorEastAsia" w:hAnsiTheme="minorHAnsi"/>
          <w:bCs/>
          <w:sz w:val="24"/>
          <w:szCs w:val="24"/>
          <w:lang w:val="en-AU" w:eastAsia="en-AU"/>
        </w:rPr>
      </w:pPr>
      <w:hyperlink w:anchor="_Toc190942406" w:history="1">
        <w:r w:rsidRPr="00047099">
          <w:rPr>
            <w:rStyle w:val="Hyperlink"/>
          </w:rPr>
          <w:t>10 Implications for policy, practice and future research regarding young Australians</w:t>
        </w:r>
        <w:r>
          <w:rPr>
            <w:webHidden/>
          </w:rPr>
          <w:tab/>
        </w:r>
        <w:r>
          <w:rPr>
            <w:webHidden/>
          </w:rPr>
          <w:fldChar w:fldCharType="begin"/>
        </w:r>
        <w:r>
          <w:rPr>
            <w:webHidden/>
          </w:rPr>
          <w:instrText xml:space="preserve"> PAGEREF _Toc190942406 \h </w:instrText>
        </w:r>
        <w:r>
          <w:rPr>
            <w:webHidden/>
          </w:rPr>
        </w:r>
        <w:r>
          <w:rPr>
            <w:webHidden/>
          </w:rPr>
          <w:fldChar w:fldCharType="separate"/>
        </w:r>
        <w:r w:rsidR="004D1D9C">
          <w:rPr>
            <w:webHidden/>
          </w:rPr>
          <w:t>120</w:t>
        </w:r>
        <w:r>
          <w:rPr>
            <w:webHidden/>
          </w:rPr>
          <w:fldChar w:fldCharType="end"/>
        </w:r>
      </w:hyperlink>
    </w:p>
    <w:p w14:paraId="5725FD0C" w14:textId="6D8E6C7C" w:rsidR="000B12EE" w:rsidRDefault="000B12EE" w:rsidP="006026D2">
      <w:pPr>
        <w:pStyle w:val="TOC3"/>
        <w:rPr>
          <w:rFonts w:asciiTheme="minorHAnsi" w:eastAsiaTheme="minorEastAsia" w:hAnsiTheme="minorHAnsi"/>
          <w:sz w:val="24"/>
          <w:szCs w:val="24"/>
          <w:lang w:val="en-AU" w:eastAsia="en-AU"/>
        </w:rPr>
      </w:pPr>
      <w:hyperlink w:anchor="_Toc190942407" w:history="1">
        <w:r w:rsidRPr="00047099">
          <w:rPr>
            <w:rStyle w:val="Hyperlink"/>
          </w:rPr>
          <w:t>10.1 High-level implications for young people</w:t>
        </w:r>
        <w:r>
          <w:rPr>
            <w:webHidden/>
          </w:rPr>
          <w:tab/>
        </w:r>
        <w:r>
          <w:rPr>
            <w:webHidden/>
          </w:rPr>
          <w:fldChar w:fldCharType="begin"/>
        </w:r>
        <w:r>
          <w:rPr>
            <w:webHidden/>
          </w:rPr>
          <w:instrText xml:space="preserve"> PAGEREF _Toc190942407 \h </w:instrText>
        </w:r>
        <w:r>
          <w:rPr>
            <w:webHidden/>
          </w:rPr>
        </w:r>
        <w:r>
          <w:rPr>
            <w:webHidden/>
          </w:rPr>
          <w:fldChar w:fldCharType="separate"/>
        </w:r>
        <w:r w:rsidR="004D1D9C">
          <w:rPr>
            <w:webHidden/>
          </w:rPr>
          <w:t>122</w:t>
        </w:r>
        <w:r>
          <w:rPr>
            <w:webHidden/>
          </w:rPr>
          <w:fldChar w:fldCharType="end"/>
        </w:r>
      </w:hyperlink>
    </w:p>
    <w:p w14:paraId="676987DA" w14:textId="6267CB00" w:rsidR="000B12EE" w:rsidRDefault="000B12EE" w:rsidP="006026D2">
      <w:pPr>
        <w:pStyle w:val="TOC3"/>
        <w:rPr>
          <w:rFonts w:asciiTheme="minorHAnsi" w:eastAsiaTheme="minorEastAsia" w:hAnsiTheme="minorHAnsi"/>
          <w:sz w:val="24"/>
          <w:szCs w:val="24"/>
          <w:lang w:val="en-AU" w:eastAsia="en-AU"/>
        </w:rPr>
      </w:pPr>
      <w:hyperlink w:anchor="_Toc190942408" w:history="1">
        <w:r w:rsidRPr="00047099">
          <w:rPr>
            <w:rStyle w:val="Hyperlink"/>
          </w:rPr>
          <w:t>10.2 Benchmarking young people’s understanding and attitudes</w:t>
        </w:r>
        <w:r>
          <w:rPr>
            <w:webHidden/>
          </w:rPr>
          <w:tab/>
        </w:r>
        <w:r>
          <w:rPr>
            <w:webHidden/>
          </w:rPr>
          <w:fldChar w:fldCharType="begin"/>
        </w:r>
        <w:r>
          <w:rPr>
            <w:webHidden/>
          </w:rPr>
          <w:instrText xml:space="preserve"> PAGEREF _Toc190942408 \h </w:instrText>
        </w:r>
        <w:r>
          <w:rPr>
            <w:webHidden/>
          </w:rPr>
        </w:r>
        <w:r>
          <w:rPr>
            <w:webHidden/>
          </w:rPr>
          <w:fldChar w:fldCharType="separate"/>
        </w:r>
        <w:r w:rsidR="004D1D9C">
          <w:rPr>
            <w:webHidden/>
          </w:rPr>
          <w:t>124</w:t>
        </w:r>
        <w:r>
          <w:rPr>
            <w:webHidden/>
          </w:rPr>
          <w:fldChar w:fldCharType="end"/>
        </w:r>
      </w:hyperlink>
    </w:p>
    <w:p w14:paraId="568DB5DF" w14:textId="334840CD" w:rsidR="000B12EE" w:rsidRDefault="000B12EE" w:rsidP="006026D2">
      <w:pPr>
        <w:pStyle w:val="TOC3"/>
        <w:rPr>
          <w:rFonts w:asciiTheme="minorHAnsi" w:eastAsiaTheme="minorEastAsia" w:hAnsiTheme="minorHAnsi"/>
          <w:sz w:val="24"/>
          <w:szCs w:val="24"/>
          <w:lang w:val="en-AU" w:eastAsia="en-AU"/>
        </w:rPr>
      </w:pPr>
      <w:hyperlink w:anchor="_Toc190942409" w:history="1">
        <w:r w:rsidRPr="00047099">
          <w:rPr>
            <w:rStyle w:val="Hyperlink"/>
          </w:rPr>
          <w:t>10.3 Young people’s understanding of violence against women (UVAWS)</w:t>
        </w:r>
        <w:r>
          <w:rPr>
            <w:webHidden/>
          </w:rPr>
          <w:tab/>
        </w:r>
        <w:r>
          <w:rPr>
            <w:webHidden/>
          </w:rPr>
          <w:fldChar w:fldCharType="begin"/>
        </w:r>
        <w:r>
          <w:rPr>
            <w:webHidden/>
          </w:rPr>
          <w:instrText xml:space="preserve"> PAGEREF _Toc190942409 \h </w:instrText>
        </w:r>
        <w:r>
          <w:rPr>
            <w:webHidden/>
          </w:rPr>
        </w:r>
        <w:r>
          <w:rPr>
            <w:webHidden/>
          </w:rPr>
          <w:fldChar w:fldCharType="separate"/>
        </w:r>
        <w:r w:rsidR="004D1D9C">
          <w:rPr>
            <w:webHidden/>
          </w:rPr>
          <w:t>125</w:t>
        </w:r>
        <w:r>
          <w:rPr>
            <w:webHidden/>
          </w:rPr>
          <w:fldChar w:fldCharType="end"/>
        </w:r>
      </w:hyperlink>
    </w:p>
    <w:p w14:paraId="158719A2" w14:textId="4A401381" w:rsidR="000B12EE" w:rsidRDefault="000B12EE" w:rsidP="006026D2">
      <w:pPr>
        <w:pStyle w:val="TOC3"/>
        <w:rPr>
          <w:rFonts w:asciiTheme="minorHAnsi" w:eastAsiaTheme="minorEastAsia" w:hAnsiTheme="minorHAnsi"/>
          <w:sz w:val="24"/>
          <w:szCs w:val="24"/>
          <w:lang w:val="en-AU" w:eastAsia="en-AU"/>
        </w:rPr>
      </w:pPr>
      <w:hyperlink w:anchor="_Toc190942410" w:history="1">
        <w:r w:rsidRPr="00047099">
          <w:rPr>
            <w:rStyle w:val="Hyperlink"/>
          </w:rPr>
          <w:t>10.4 Young people’s attitudes towards gender inequality (AGIS)</w:t>
        </w:r>
        <w:r>
          <w:rPr>
            <w:webHidden/>
          </w:rPr>
          <w:tab/>
        </w:r>
        <w:r>
          <w:rPr>
            <w:webHidden/>
          </w:rPr>
          <w:fldChar w:fldCharType="begin"/>
        </w:r>
        <w:r>
          <w:rPr>
            <w:webHidden/>
          </w:rPr>
          <w:instrText xml:space="preserve"> PAGEREF _Toc190942410 \h </w:instrText>
        </w:r>
        <w:r>
          <w:rPr>
            <w:webHidden/>
          </w:rPr>
        </w:r>
        <w:r>
          <w:rPr>
            <w:webHidden/>
          </w:rPr>
          <w:fldChar w:fldCharType="separate"/>
        </w:r>
        <w:r w:rsidR="004D1D9C">
          <w:rPr>
            <w:webHidden/>
          </w:rPr>
          <w:t>128</w:t>
        </w:r>
        <w:r>
          <w:rPr>
            <w:webHidden/>
          </w:rPr>
          <w:fldChar w:fldCharType="end"/>
        </w:r>
      </w:hyperlink>
    </w:p>
    <w:p w14:paraId="7AEF2BB9" w14:textId="054FDD11" w:rsidR="000B12EE" w:rsidRDefault="000B12EE" w:rsidP="006026D2">
      <w:pPr>
        <w:pStyle w:val="TOC3"/>
        <w:rPr>
          <w:rFonts w:asciiTheme="minorHAnsi" w:eastAsiaTheme="minorEastAsia" w:hAnsiTheme="minorHAnsi"/>
          <w:sz w:val="24"/>
          <w:szCs w:val="24"/>
          <w:lang w:val="en-AU" w:eastAsia="en-AU"/>
        </w:rPr>
      </w:pPr>
      <w:hyperlink w:anchor="_Toc190942411" w:history="1">
        <w:r w:rsidRPr="00047099">
          <w:rPr>
            <w:rStyle w:val="Hyperlink"/>
          </w:rPr>
          <w:t>10.5 Young people’s attitudes towards violence against women (AVAWS)</w:t>
        </w:r>
        <w:r>
          <w:rPr>
            <w:webHidden/>
          </w:rPr>
          <w:tab/>
        </w:r>
        <w:r>
          <w:rPr>
            <w:webHidden/>
          </w:rPr>
          <w:fldChar w:fldCharType="begin"/>
        </w:r>
        <w:r>
          <w:rPr>
            <w:webHidden/>
          </w:rPr>
          <w:instrText xml:space="preserve"> PAGEREF _Toc190942411 \h </w:instrText>
        </w:r>
        <w:r>
          <w:rPr>
            <w:webHidden/>
          </w:rPr>
        </w:r>
        <w:r>
          <w:rPr>
            <w:webHidden/>
          </w:rPr>
          <w:fldChar w:fldCharType="separate"/>
        </w:r>
        <w:r w:rsidR="004D1D9C">
          <w:rPr>
            <w:webHidden/>
          </w:rPr>
          <w:t>130</w:t>
        </w:r>
        <w:r>
          <w:rPr>
            <w:webHidden/>
          </w:rPr>
          <w:fldChar w:fldCharType="end"/>
        </w:r>
      </w:hyperlink>
    </w:p>
    <w:p w14:paraId="446D4A2C" w14:textId="352F9FA3" w:rsidR="000B12EE" w:rsidRDefault="000B12EE" w:rsidP="006026D2">
      <w:pPr>
        <w:pStyle w:val="TOC3"/>
        <w:rPr>
          <w:rFonts w:asciiTheme="minorHAnsi" w:eastAsiaTheme="minorEastAsia" w:hAnsiTheme="minorHAnsi"/>
          <w:sz w:val="24"/>
          <w:szCs w:val="24"/>
          <w:lang w:val="en-AU" w:eastAsia="en-AU"/>
        </w:rPr>
      </w:pPr>
      <w:hyperlink w:anchor="_Toc190942412" w:history="1">
        <w:r w:rsidRPr="00047099">
          <w:rPr>
            <w:rStyle w:val="Hyperlink"/>
          </w:rPr>
          <w:t>10.6 Young people’s understanding and attitudes regarding different types of violenc</w:t>
        </w:r>
        <w:r w:rsidR="006026D2">
          <w:rPr>
            <w:rStyle w:val="Hyperlink"/>
          </w:rPr>
          <w:t>e</w:t>
        </w:r>
        <w:r w:rsidR="006026D2">
          <w:rPr>
            <w:rStyle w:val="Hyperlink"/>
          </w:rPr>
          <w:br/>
        </w:r>
        <w:r w:rsidRPr="00047099">
          <w:rPr>
            <w:rStyle w:val="Hyperlink"/>
          </w:rPr>
          <w:t>against women</w:t>
        </w:r>
        <w:r>
          <w:rPr>
            <w:webHidden/>
          </w:rPr>
          <w:tab/>
        </w:r>
        <w:r>
          <w:rPr>
            <w:webHidden/>
          </w:rPr>
          <w:fldChar w:fldCharType="begin"/>
        </w:r>
        <w:r>
          <w:rPr>
            <w:webHidden/>
          </w:rPr>
          <w:instrText xml:space="preserve"> PAGEREF _Toc190942412 \h </w:instrText>
        </w:r>
        <w:r>
          <w:rPr>
            <w:webHidden/>
          </w:rPr>
        </w:r>
        <w:r>
          <w:rPr>
            <w:webHidden/>
          </w:rPr>
          <w:fldChar w:fldCharType="separate"/>
        </w:r>
        <w:r w:rsidR="004D1D9C">
          <w:rPr>
            <w:webHidden/>
          </w:rPr>
          <w:t>132</w:t>
        </w:r>
        <w:r>
          <w:rPr>
            <w:webHidden/>
          </w:rPr>
          <w:fldChar w:fldCharType="end"/>
        </w:r>
      </w:hyperlink>
    </w:p>
    <w:p w14:paraId="2FC35E77" w14:textId="0BD38DCC" w:rsidR="000B12EE" w:rsidRDefault="000B12EE" w:rsidP="006026D2">
      <w:pPr>
        <w:pStyle w:val="TOC3"/>
        <w:rPr>
          <w:rFonts w:asciiTheme="minorHAnsi" w:eastAsiaTheme="minorEastAsia" w:hAnsiTheme="minorHAnsi"/>
          <w:sz w:val="24"/>
          <w:szCs w:val="24"/>
          <w:lang w:val="en-AU" w:eastAsia="en-AU"/>
        </w:rPr>
      </w:pPr>
      <w:hyperlink w:anchor="_Toc190942413" w:history="1">
        <w:r w:rsidRPr="00047099">
          <w:rPr>
            <w:rStyle w:val="Hyperlink"/>
          </w:rPr>
          <w:t>10.7 Young people’s bystander responses</w:t>
        </w:r>
        <w:r>
          <w:rPr>
            <w:webHidden/>
          </w:rPr>
          <w:tab/>
        </w:r>
        <w:r>
          <w:rPr>
            <w:webHidden/>
          </w:rPr>
          <w:fldChar w:fldCharType="begin"/>
        </w:r>
        <w:r>
          <w:rPr>
            <w:webHidden/>
          </w:rPr>
          <w:instrText xml:space="preserve"> PAGEREF _Toc190942413 \h </w:instrText>
        </w:r>
        <w:r>
          <w:rPr>
            <w:webHidden/>
          </w:rPr>
        </w:r>
        <w:r>
          <w:rPr>
            <w:webHidden/>
          </w:rPr>
          <w:fldChar w:fldCharType="separate"/>
        </w:r>
        <w:r w:rsidR="004D1D9C">
          <w:rPr>
            <w:webHidden/>
          </w:rPr>
          <w:t>134</w:t>
        </w:r>
        <w:r>
          <w:rPr>
            <w:webHidden/>
          </w:rPr>
          <w:fldChar w:fldCharType="end"/>
        </w:r>
      </w:hyperlink>
    </w:p>
    <w:p w14:paraId="750BC4F5" w14:textId="10719BFF" w:rsidR="000B12EE" w:rsidRDefault="000B12EE" w:rsidP="006026D2">
      <w:pPr>
        <w:pStyle w:val="TOC3"/>
        <w:rPr>
          <w:rFonts w:asciiTheme="minorHAnsi" w:eastAsiaTheme="minorEastAsia" w:hAnsiTheme="minorHAnsi"/>
          <w:sz w:val="24"/>
          <w:szCs w:val="24"/>
          <w:lang w:val="en-AU" w:eastAsia="en-AU"/>
        </w:rPr>
      </w:pPr>
      <w:hyperlink w:anchor="_Toc190942414" w:history="1">
        <w:r w:rsidRPr="00047099">
          <w:rPr>
            <w:rStyle w:val="Hyperlink"/>
          </w:rPr>
          <w:t>10.8 People and contexts</w:t>
        </w:r>
        <w:r>
          <w:rPr>
            <w:webHidden/>
          </w:rPr>
          <w:tab/>
        </w:r>
        <w:r>
          <w:rPr>
            <w:webHidden/>
          </w:rPr>
          <w:fldChar w:fldCharType="begin"/>
        </w:r>
        <w:r>
          <w:rPr>
            <w:webHidden/>
          </w:rPr>
          <w:instrText xml:space="preserve"> PAGEREF _Toc190942414 \h </w:instrText>
        </w:r>
        <w:r>
          <w:rPr>
            <w:webHidden/>
          </w:rPr>
        </w:r>
        <w:r>
          <w:rPr>
            <w:webHidden/>
          </w:rPr>
          <w:fldChar w:fldCharType="separate"/>
        </w:r>
        <w:r w:rsidR="004D1D9C">
          <w:rPr>
            <w:webHidden/>
          </w:rPr>
          <w:t>136</w:t>
        </w:r>
        <w:r>
          <w:rPr>
            <w:webHidden/>
          </w:rPr>
          <w:fldChar w:fldCharType="end"/>
        </w:r>
      </w:hyperlink>
    </w:p>
    <w:p w14:paraId="571D39E3" w14:textId="79CE151E" w:rsidR="00A06BF6" w:rsidRPr="00A06BF6" w:rsidRDefault="000B12EE" w:rsidP="00EA6B24">
      <w:pPr>
        <w:pStyle w:val="TOC2"/>
        <w:rPr>
          <w:color w:val="2262AC"/>
          <w:u w:val="single"/>
        </w:rPr>
      </w:pPr>
      <w:hyperlink w:anchor="_Toc190942415" w:history="1">
        <w:r w:rsidRPr="00047099">
          <w:rPr>
            <w:rStyle w:val="Hyperlink"/>
          </w:rPr>
          <w:t>11 Conclusion</w:t>
        </w:r>
        <w:r>
          <w:rPr>
            <w:webHidden/>
          </w:rPr>
          <w:tab/>
        </w:r>
        <w:r>
          <w:rPr>
            <w:webHidden/>
          </w:rPr>
          <w:fldChar w:fldCharType="begin"/>
        </w:r>
        <w:r>
          <w:rPr>
            <w:webHidden/>
          </w:rPr>
          <w:instrText xml:space="preserve"> PAGEREF _Toc190942415 \h </w:instrText>
        </w:r>
        <w:r>
          <w:rPr>
            <w:webHidden/>
          </w:rPr>
        </w:r>
        <w:r>
          <w:rPr>
            <w:webHidden/>
          </w:rPr>
          <w:fldChar w:fldCharType="separate"/>
        </w:r>
        <w:r w:rsidR="004D1D9C">
          <w:rPr>
            <w:webHidden/>
          </w:rPr>
          <w:t>138</w:t>
        </w:r>
        <w:r>
          <w:rPr>
            <w:webHidden/>
          </w:rPr>
          <w:fldChar w:fldCharType="end"/>
        </w:r>
      </w:hyperlink>
    </w:p>
    <w:p w14:paraId="6EF4B632" w14:textId="7A56710E" w:rsidR="00A06BF6" w:rsidRPr="00A06BF6" w:rsidRDefault="000B12EE" w:rsidP="00EA6B24">
      <w:pPr>
        <w:pStyle w:val="TOC2"/>
        <w:rPr>
          <w:color w:val="2262AC"/>
          <w:u w:val="single"/>
        </w:rPr>
      </w:pPr>
      <w:hyperlink w:anchor="_Toc190942416" w:history="1">
        <w:r w:rsidRPr="00047099">
          <w:rPr>
            <w:rStyle w:val="Hyperlink"/>
          </w:rPr>
          <w:t>12 References</w:t>
        </w:r>
        <w:r>
          <w:rPr>
            <w:webHidden/>
          </w:rPr>
          <w:tab/>
        </w:r>
        <w:r>
          <w:rPr>
            <w:webHidden/>
          </w:rPr>
          <w:fldChar w:fldCharType="begin"/>
        </w:r>
        <w:r>
          <w:rPr>
            <w:webHidden/>
          </w:rPr>
          <w:instrText xml:space="preserve"> PAGEREF _Toc190942416 \h </w:instrText>
        </w:r>
        <w:r>
          <w:rPr>
            <w:webHidden/>
          </w:rPr>
        </w:r>
        <w:r>
          <w:rPr>
            <w:webHidden/>
          </w:rPr>
          <w:fldChar w:fldCharType="separate"/>
        </w:r>
        <w:r w:rsidR="004D1D9C">
          <w:rPr>
            <w:webHidden/>
          </w:rPr>
          <w:t>140</w:t>
        </w:r>
        <w:r>
          <w:rPr>
            <w:webHidden/>
          </w:rPr>
          <w:fldChar w:fldCharType="end"/>
        </w:r>
      </w:hyperlink>
    </w:p>
    <w:p w14:paraId="0E711785" w14:textId="599BCD64" w:rsidR="00A06BF6" w:rsidRPr="00A06BF6" w:rsidRDefault="000B12EE" w:rsidP="00EA6B24">
      <w:pPr>
        <w:pStyle w:val="TOC2"/>
      </w:pPr>
      <w:hyperlink w:anchor="_Toc190942417" w:history="1">
        <w:r w:rsidRPr="00047099">
          <w:rPr>
            <w:rStyle w:val="Hyperlink"/>
          </w:rPr>
          <w:t>13 Appendix A: Item-level differences by age (between the two youth groups)</w:t>
        </w:r>
        <w:r>
          <w:rPr>
            <w:webHidden/>
          </w:rPr>
          <w:tab/>
        </w:r>
        <w:r>
          <w:rPr>
            <w:webHidden/>
          </w:rPr>
          <w:fldChar w:fldCharType="begin"/>
        </w:r>
        <w:r>
          <w:rPr>
            <w:webHidden/>
          </w:rPr>
          <w:instrText xml:space="preserve"> PAGEREF _Toc190942417 \h </w:instrText>
        </w:r>
        <w:r>
          <w:rPr>
            <w:webHidden/>
          </w:rPr>
        </w:r>
        <w:r>
          <w:rPr>
            <w:webHidden/>
          </w:rPr>
          <w:fldChar w:fldCharType="separate"/>
        </w:r>
        <w:r w:rsidR="004D1D9C">
          <w:rPr>
            <w:webHidden/>
          </w:rPr>
          <w:t>158</w:t>
        </w:r>
        <w:r>
          <w:rPr>
            <w:webHidden/>
          </w:rPr>
          <w:fldChar w:fldCharType="end"/>
        </w:r>
      </w:hyperlink>
    </w:p>
    <w:p w14:paraId="4CB75DA6" w14:textId="6B11113F" w:rsidR="00A06BF6" w:rsidRPr="00A06BF6" w:rsidRDefault="000B12EE" w:rsidP="00EA6B24">
      <w:pPr>
        <w:pStyle w:val="TOC2"/>
      </w:pPr>
      <w:hyperlink w:anchor="_Toc190942418" w:history="1">
        <w:r w:rsidRPr="00047099">
          <w:rPr>
            <w:rStyle w:val="Hyperlink"/>
          </w:rPr>
          <w:t>14 Appendix B: Item-level differences by age (between young respondents and those</w:t>
        </w:r>
        <w:r w:rsidR="00A06BF6">
          <w:rPr>
            <w:rStyle w:val="Hyperlink"/>
          </w:rPr>
          <w:br/>
        </w:r>
        <w:r w:rsidRPr="00047099">
          <w:rPr>
            <w:rStyle w:val="Hyperlink"/>
          </w:rPr>
          <w:t>aged 25 years or older)</w:t>
        </w:r>
        <w:r>
          <w:rPr>
            <w:webHidden/>
          </w:rPr>
          <w:tab/>
        </w:r>
        <w:r>
          <w:rPr>
            <w:webHidden/>
          </w:rPr>
          <w:fldChar w:fldCharType="begin"/>
        </w:r>
        <w:r>
          <w:rPr>
            <w:webHidden/>
          </w:rPr>
          <w:instrText xml:space="preserve"> PAGEREF _Toc190942418 \h </w:instrText>
        </w:r>
        <w:r>
          <w:rPr>
            <w:webHidden/>
          </w:rPr>
        </w:r>
        <w:r>
          <w:rPr>
            <w:webHidden/>
          </w:rPr>
          <w:fldChar w:fldCharType="separate"/>
        </w:r>
        <w:r w:rsidR="004D1D9C">
          <w:rPr>
            <w:webHidden/>
          </w:rPr>
          <w:t>174</w:t>
        </w:r>
        <w:r>
          <w:rPr>
            <w:webHidden/>
          </w:rPr>
          <w:fldChar w:fldCharType="end"/>
        </w:r>
      </w:hyperlink>
    </w:p>
    <w:p w14:paraId="036F8DFE" w14:textId="1EC8975A" w:rsidR="000B12EE" w:rsidRDefault="000B12EE" w:rsidP="00EA6B24">
      <w:pPr>
        <w:pStyle w:val="TOC2"/>
        <w:rPr>
          <w:rFonts w:asciiTheme="minorHAnsi" w:eastAsiaTheme="minorEastAsia" w:hAnsiTheme="minorHAnsi"/>
          <w:bCs/>
          <w:sz w:val="24"/>
          <w:szCs w:val="24"/>
          <w:lang w:val="en-AU" w:eastAsia="en-AU"/>
        </w:rPr>
      </w:pPr>
      <w:hyperlink w:anchor="_Toc190942419" w:history="1">
        <w:r w:rsidRPr="00047099">
          <w:rPr>
            <w:rStyle w:val="Hyperlink"/>
          </w:rPr>
          <w:t>15 Appendix C: Item-level differences by gender</w:t>
        </w:r>
        <w:r>
          <w:rPr>
            <w:webHidden/>
          </w:rPr>
          <w:tab/>
        </w:r>
        <w:r>
          <w:rPr>
            <w:webHidden/>
          </w:rPr>
          <w:fldChar w:fldCharType="begin"/>
        </w:r>
        <w:r>
          <w:rPr>
            <w:webHidden/>
          </w:rPr>
          <w:instrText xml:space="preserve"> PAGEREF _Toc190942419 \h </w:instrText>
        </w:r>
        <w:r>
          <w:rPr>
            <w:webHidden/>
          </w:rPr>
        </w:r>
        <w:r>
          <w:rPr>
            <w:webHidden/>
          </w:rPr>
          <w:fldChar w:fldCharType="separate"/>
        </w:r>
        <w:r w:rsidR="004D1D9C">
          <w:rPr>
            <w:webHidden/>
          </w:rPr>
          <w:t>191</w:t>
        </w:r>
        <w:r>
          <w:rPr>
            <w:webHidden/>
          </w:rPr>
          <w:fldChar w:fldCharType="end"/>
        </w:r>
      </w:hyperlink>
    </w:p>
    <w:p w14:paraId="78681105" w14:textId="69A6ED29" w:rsidR="000B12EE" w:rsidRPr="000B12EE" w:rsidRDefault="000B12EE" w:rsidP="000B12EE">
      <w:pPr>
        <w:spacing w:after="0"/>
      </w:pPr>
      <w:r>
        <w:fldChar w:fldCharType="end"/>
      </w:r>
    </w:p>
    <w:bookmarkStart w:id="9" w:name="_Toc190941646"/>
    <w:bookmarkStart w:id="10" w:name="_Toc190942346"/>
    <w:p w14:paraId="65D6128D" w14:textId="787CD53A" w:rsidR="009D4096" w:rsidRPr="00131F56" w:rsidRDefault="009D4096" w:rsidP="008C29F3">
      <w:pPr>
        <w:pStyle w:val="H2SectionTitle"/>
        <w:rPr>
          <w:rStyle w:val="RunningHeader"/>
        </w:rPr>
      </w:pPr>
      <w:r>
        <w:rPr>
          <w:noProof/>
        </w:rPr>
        <w:lastRenderedPageBreak/>
        <mc:AlternateContent>
          <mc:Choice Requires="wps">
            <w:drawing>
              <wp:anchor distT="0" distB="0" distL="114300" distR="114300" simplePos="0" relativeHeight="251658241" behindDoc="0" locked="0" layoutInCell="1" allowOverlap="1" wp14:anchorId="60E8B5D7" wp14:editId="13763B65">
                <wp:simplePos x="0" y="0"/>
                <wp:positionH relativeFrom="column">
                  <wp:posOffset>5124</wp:posOffset>
                </wp:positionH>
                <wp:positionV relativeFrom="paragraph">
                  <wp:posOffset>109</wp:posOffset>
                </wp:positionV>
                <wp:extent cx="382138" cy="382138"/>
                <wp:effectExtent l="0" t="0" r="0" b="0"/>
                <wp:wrapSquare wrapText="bothSides"/>
                <wp:docPr id="196214837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CDB6D" id="Rectangle 2" o:spid="_x0000_s1026" alt="&quot;&quot;" style="position:absolute;margin-left:.4pt;margin-top:0;width:30.1pt;height:3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Pr="009D4096">
        <w:t>Figures</w:t>
      </w:r>
      <w:bookmarkEnd w:id="9"/>
      <w:bookmarkEnd w:id="10"/>
    </w:p>
    <w:p w14:paraId="4904EC5A" w14:textId="21AF1661" w:rsidR="00ED1C8F" w:rsidRDefault="009D4096" w:rsidP="002A2C0C">
      <w:pPr>
        <w:pStyle w:val="TableofFigures"/>
        <w:rPr>
          <w:rFonts w:asciiTheme="minorHAnsi" w:eastAsiaTheme="minorEastAsia" w:hAnsiTheme="minorHAnsi" w:cstheme="minorBidi"/>
          <w:sz w:val="24"/>
          <w:szCs w:val="24"/>
          <w:lang w:val="en-AU" w:eastAsia="en-AU"/>
        </w:rPr>
      </w:pPr>
      <w:r>
        <w:rPr>
          <w:rFonts w:ascii="Hind SemiBold" w:hAnsi="Hind SemiBold"/>
        </w:rPr>
        <w:fldChar w:fldCharType="begin"/>
      </w:r>
      <w:r>
        <w:instrText xml:space="preserve"> TOC \h \z \c "Figure" </w:instrText>
      </w:r>
      <w:r>
        <w:rPr>
          <w:rFonts w:ascii="Hind SemiBold" w:hAnsi="Hind SemiBold"/>
        </w:rPr>
        <w:fldChar w:fldCharType="separate"/>
      </w:r>
      <w:hyperlink w:anchor="_Toc187401231" w:history="1">
        <w:r w:rsidR="00ED1C8F" w:rsidRPr="00DF1D70">
          <w:rPr>
            <w:rStyle w:val="Hyperlink"/>
          </w:rPr>
          <w:t>Figure 1</w:t>
        </w:r>
        <w:r w:rsidR="00ED1C8F" w:rsidRPr="00DF1D70">
          <w:rPr>
            <w:rStyle w:val="Hyperlink"/>
          </w:rPr>
          <w:noBreakHyphen/>
          <w:t>1: The socioecological model of violence against women</w:t>
        </w:r>
        <w:r w:rsidR="00ED1C8F">
          <w:rPr>
            <w:webHidden/>
          </w:rPr>
          <w:tab/>
        </w:r>
        <w:r w:rsidR="00ED1C8F">
          <w:rPr>
            <w:webHidden/>
          </w:rPr>
          <w:fldChar w:fldCharType="begin"/>
        </w:r>
        <w:r w:rsidR="00ED1C8F">
          <w:rPr>
            <w:webHidden/>
          </w:rPr>
          <w:instrText xml:space="preserve"> PAGEREF _Toc187401231 \h </w:instrText>
        </w:r>
        <w:r w:rsidR="00ED1C8F">
          <w:rPr>
            <w:webHidden/>
          </w:rPr>
        </w:r>
        <w:r w:rsidR="00ED1C8F">
          <w:rPr>
            <w:webHidden/>
          </w:rPr>
          <w:fldChar w:fldCharType="separate"/>
        </w:r>
        <w:r w:rsidR="002A2C0C">
          <w:rPr>
            <w:webHidden/>
          </w:rPr>
          <w:t>40</w:t>
        </w:r>
        <w:r w:rsidR="00ED1C8F">
          <w:rPr>
            <w:webHidden/>
          </w:rPr>
          <w:fldChar w:fldCharType="end"/>
        </w:r>
      </w:hyperlink>
    </w:p>
    <w:p w14:paraId="5CEC106F" w14:textId="54FA47A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2" w:history="1">
        <w:r w:rsidRPr="00DF1D70">
          <w:rPr>
            <w:rStyle w:val="Hyperlink"/>
          </w:rPr>
          <w:t>Figure 2</w:t>
        </w:r>
        <w:r w:rsidRPr="00DF1D70">
          <w:rPr>
            <w:rStyle w:val="Hyperlink"/>
          </w:rPr>
          <w:noBreakHyphen/>
          <w:t>1: Components of the NCAS instrument, 2021</w:t>
        </w:r>
        <w:r>
          <w:rPr>
            <w:webHidden/>
          </w:rPr>
          <w:tab/>
        </w:r>
        <w:r>
          <w:rPr>
            <w:webHidden/>
          </w:rPr>
          <w:fldChar w:fldCharType="begin"/>
        </w:r>
        <w:r>
          <w:rPr>
            <w:webHidden/>
          </w:rPr>
          <w:instrText xml:space="preserve"> PAGEREF _Toc187401232 \h </w:instrText>
        </w:r>
        <w:r>
          <w:rPr>
            <w:webHidden/>
          </w:rPr>
        </w:r>
        <w:r>
          <w:rPr>
            <w:webHidden/>
          </w:rPr>
          <w:fldChar w:fldCharType="separate"/>
        </w:r>
        <w:r w:rsidR="002A2C0C">
          <w:rPr>
            <w:webHidden/>
          </w:rPr>
          <w:t>53</w:t>
        </w:r>
        <w:r>
          <w:rPr>
            <w:webHidden/>
          </w:rPr>
          <w:fldChar w:fldCharType="end"/>
        </w:r>
      </w:hyperlink>
    </w:p>
    <w:p w14:paraId="673F670F" w14:textId="6821A780"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3" w:history="1">
        <w:r w:rsidRPr="00DF1D70">
          <w:rPr>
            <w:rStyle w:val="Hyperlink"/>
          </w:rPr>
          <w:t>Figure 3</w:t>
        </w:r>
        <w:r w:rsidRPr="00DF1D70">
          <w:rPr>
            <w:rStyle w:val="Hyperlink"/>
          </w:rPr>
          <w:noBreakHyphen/>
          <w:t>1: Perception of violence against women as a problem, 16- to 24-year-olds, 2021</w:t>
        </w:r>
        <w:r>
          <w:rPr>
            <w:webHidden/>
          </w:rPr>
          <w:tab/>
        </w:r>
        <w:r>
          <w:rPr>
            <w:webHidden/>
          </w:rPr>
          <w:fldChar w:fldCharType="begin"/>
        </w:r>
        <w:r>
          <w:rPr>
            <w:webHidden/>
          </w:rPr>
          <w:instrText xml:space="preserve"> PAGEREF _Toc187401233 \h </w:instrText>
        </w:r>
        <w:r>
          <w:rPr>
            <w:webHidden/>
          </w:rPr>
        </w:r>
        <w:r>
          <w:rPr>
            <w:webHidden/>
          </w:rPr>
          <w:fldChar w:fldCharType="separate"/>
        </w:r>
        <w:r w:rsidR="002A2C0C">
          <w:rPr>
            <w:webHidden/>
          </w:rPr>
          <w:t>60</w:t>
        </w:r>
        <w:r>
          <w:rPr>
            <w:webHidden/>
          </w:rPr>
          <w:fldChar w:fldCharType="end"/>
        </w:r>
      </w:hyperlink>
    </w:p>
    <w:p w14:paraId="0661AA81" w14:textId="209C99C8"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4" w:history="1">
        <w:r w:rsidRPr="00DF1D70">
          <w:rPr>
            <w:rStyle w:val="Hyperlink"/>
          </w:rPr>
          <w:t>Figure 3</w:t>
        </w:r>
        <w:r w:rsidRPr="00DF1D70">
          <w:rPr>
            <w:rStyle w:val="Hyperlink"/>
          </w:rPr>
          <w:noBreakHyphen/>
          <w:t>2: Understanding and rejection of gendered violence and inequality over time</w:t>
        </w:r>
        <w:r w:rsidR="002A2C0C">
          <w:rPr>
            <w:rStyle w:val="Hyperlink"/>
          </w:rPr>
          <w:br/>
        </w:r>
        <w:r w:rsidRPr="00DF1D70">
          <w:rPr>
            <w:rStyle w:val="Hyperlink"/>
          </w:rPr>
          <w:t>(GVIS</w:t>
        </w:r>
        <w:r w:rsidR="00BB482B">
          <w:rPr>
            <w:rStyle w:val="Hyperlink"/>
          </w:rPr>
          <w:t> </w:t>
        </w:r>
        <w:r w:rsidRPr="00DF1D70">
          <w:rPr>
            <w:rStyle w:val="Hyperlink"/>
          </w:rPr>
          <w:t>scores),</w:t>
        </w:r>
        <w:r w:rsidR="00BB482B">
          <w:rPr>
            <w:rStyle w:val="Hyperlink"/>
          </w:rPr>
          <w:t> </w:t>
        </w:r>
        <w:r w:rsidRPr="00DF1D70">
          <w:rPr>
            <w:rStyle w:val="Hyperlink"/>
          </w:rPr>
          <w:t>16-</w:t>
        </w:r>
        <w:r w:rsidR="00BB482B">
          <w:rPr>
            <w:rStyle w:val="Hyperlink"/>
          </w:rPr>
          <w:t> </w:t>
        </w:r>
        <w:r w:rsidRPr="00DF1D70">
          <w:rPr>
            <w:rStyle w:val="Hyperlink"/>
          </w:rPr>
          <w:t>to 24-year-olds, 2009 to 2021</w:t>
        </w:r>
        <w:r>
          <w:rPr>
            <w:webHidden/>
          </w:rPr>
          <w:tab/>
        </w:r>
        <w:r>
          <w:rPr>
            <w:webHidden/>
          </w:rPr>
          <w:fldChar w:fldCharType="begin"/>
        </w:r>
        <w:r>
          <w:rPr>
            <w:webHidden/>
          </w:rPr>
          <w:instrText xml:space="preserve"> PAGEREF _Toc187401234 \h </w:instrText>
        </w:r>
        <w:r>
          <w:rPr>
            <w:webHidden/>
          </w:rPr>
        </w:r>
        <w:r>
          <w:rPr>
            <w:webHidden/>
          </w:rPr>
          <w:fldChar w:fldCharType="separate"/>
        </w:r>
        <w:r w:rsidR="002A2C0C">
          <w:rPr>
            <w:webHidden/>
          </w:rPr>
          <w:t>61</w:t>
        </w:r>
        <w:r>
          <w:rPr>
            <w:webHidden/>
          </w:rPr>
          <w:fldChar w:fldCharType="end"/>
        </w:r>
      </w:hyperlink>
    </w:p>
    <w:p w14:paraId="6BD6DA99" w14:textId="32C450A5"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5" w:history="1">
        <w:r w:rsidRPr="00DF1D70">
          <w:rPr>
            <w:rStyle w:val="Hyperlink"/>
          </w:rPr>
          <w:t>Figure 3</w:t>
        </w:r>
        <w:r w:rsidRPr="00DF1D70">
          <w:rPr>
            <w:rStyle w:val="Hyperlink"/>
          </w:rPr>
          <w:noBreakHyphen/>
          <w:t>3: Understanding (UVAWS) and attitudes (AGIS, AVAWS) over time,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w:t>
        </w:r>
        <w:r w:rsidR="00BB482B">
          <w:rPr>
            <w:rStyle w:val="Hyperlink"/>
          </w:rPr>
          <w:t> </w:t>
        </w:r>
        <w:r w:rsidRPr="00DF1D70">
          <w:rPr>
            <w:rStyle w:val="Hyperlink"/>
          </w:rPr>
          <w:t>2009 to 2021</w:t>
        </w:r>
        <w:r>
          <w:rPr>
            <w:webHidden/>
          </w:rPr>
          <w:tab/>
        </w:r>
        <w:r>
          <w:rPr>
            <w:webHidden/>
          </w:rPr>
          <w:fldChar w:fldCharType="begin"/>
        </w:r>
        <w:r>
          <w:rPr>
            <w:webHidden/>
          </w:rPr>
          <w:instrText xml:space="preserve"> PAGEREF _Toc187401235 \h </w:instrText>
        </w:r>
        <w:r>
          <w:rPr>
            <w:webHidden/>
          </w:rPr>
        </w:r>
        <w:r>
          <w:rPr>
            <w:webHidden/>
          </w:rPr>
          <w:fldChar w:fldCharType="separate"/>
        </w:r>
        <w:r w:rsidR="002A2C0C">
          <w:rPr>
            <w:webHidden/>
          </w:rPr>
          <w:t>62</w:t>
        </w:r>
        <w:r>
          <w:rPr>
            <w:webHidden/>
          </w:rPr>
          <w:fldChar w:fldCharType="end"/>
        </w:r>
      </w:hyperlink>
    </w:p>
    <w:p w14:paraId="2C8D0137" w14:textId="30568C41"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6" w:history="1">
        <w:r w:rsidRPr="00DF1D70">
          <w:rPr>
            <w:rStyle w:val="Hyperlink"/>
          </w:rPr>
          <w:t>Figure 3</w:t>
        </w:r>
        <w:r w:rsidRPr="00DF1D70">
          <w:rPr>
            <w:rStyle w:val="Hyperlink"/>
          </w:rPr>
          <w:noBreakHyphen/>
          <w:t>4: Understanding (TFAS) and attitudes (DVS, SVS, TFAS) regarding types of</w:t>
        </w:r>
        <w:r w:rsidR="002A2C0C">
          <w:rPr>
            <w:rStyle w:val="Hyperlink"/>
          </w:rPr>
          <w:br/>
        </w:r>
        <w:r w:rsidRPr="00DF1D70">
          <w:rPr>
            <w:rStyle w:val="Hyperlink"/>
          </w:rPr>
          <w:t>violence</w:t>
        </w:r>
        <w:r w:rsidR="00BB482B">
          <w:rPr>
            <w:rStyle w:val="Hyperlink"/>
          </w:rPr>
          <w:t> </w:t>
        </w:r>
        <w:r w:rsidRPr="00DF1D70">
          <w:rPr>
            <w:rStyle w:val="Hyperlink"/>
          </w:rPr>
          <w:t>over</w:t>
        </w:r>
        <w:r w:rsidR="00BB482B">
          <w:rPr>
            <w:rStyle w:val="Hyperlink"/>
          </w:rPr>
          <w:t> </w:t>
        </w:r>
        <w:r w:rsidRPr="00DF1D70">
          <w:rPr>
            <w:rStyle w:val="Hyperlink"/>
          </w:rPr>
          <w:t>time,</w:t>
        </w:r>
        <w:r w:rsidR="00BB482B">
          <w:rPr>
            <w:rStyle w:val="Hyperlink"/>
          </w:rPr>
          <w:t> </w:t>
        </w:r>
        <w:r w:rsidRPr="00DF1D70">
          <w:rPr>
            <w:rStyle w:val="Hyperlink"/>
          </w:rPr>
          <w:t>16- to 24-year-olds, 2009 to 2021</w:t>
        </w:r>
        <w:r>
          <w:rPr>
            <w:webHidden/>
          </w:rPr>
          <w:tab/>
        </w:r>
        <w:r>
          <w:rPr>
            <w:webHidden/>
          </w:rPr>
          <w:fldChar w:fldCharType="begin"/>
        </w:r>
        <w:r>
          <w:rPr>
            <w:webHidden/>
          </w:rPr>
          <w:instrText xml:space="preserve"> PAGEREF _Toc187401236 \h </w:instrText>
        </w:r>
        <w:r>
          <w:rPr>
            <w:webHidden/>
          </w:rPr>
        </w:r>
        <w:r>
          <w:rPr>
            <w:webHidden/>
          </w:rPr>
          <w:fldChar w:fldCharType="separate"/>
        </w:r>
        <w:r w:rsidR="002A2C0C">
          <w:rPr>
            <w:webHidden/>
          </w:rPr>
          <w:t>63</w:t>
        </w:r>
        <w:r>
          <w:rPr>
            <w:webHidden/>
          </w:rPr>
          <w:fldChar w:fldCharType="end"/>
        </w:r>
      </w:hyperlink>
    </w:p>
    <w:p w14:paraId="38746888" w14:textId="034F69F1"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7" w:history="1">
        <w:r w:rsidRPr="00DF1D70">
          <w:rPr>
            <w:rStyle w:val="Hyperlink"/>
          </w:rPr>
          <w:t>Figure 3</w:t>
        </w:r>
        <w:r w:rsidRPr="00DF1D70">
          <w:rPr>
            <w:rStyle w:val="Hyperlink"/>
          </w:rPr>
          <w:noBreakHyphen/>
          <w:t>5: Rejection of sexual assault (SAS) and sexual harassment (SHS) over time,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w:t>
        </w:r>
        <w:r w:rsidR="00BB482B">
          <w:rPr>
            <w:rStyle w:val="Hyperlink"/>
          </w:rPr>
          <w:t> </w:t>
        </w:r>
        <w:r w:rsidRPr="00DF1D70">
          <w:rPr>
            <w:rStyle w:val="Hyperlink"/>
          </w:rPr>
          <w:t>2017 to 2021</w:t>
        </w:r>
        <w:r>
          <w:rPr>
            <w:webHidden/>
          </w:rPr>
          <w:tab/>
        </w:r>
        <w:r>
          <w:rPr>
            <w:webHidden/>
          </w:rPr>
          <w:fldChar w:fldCharType="begin"/>
        </w:r>
        <w:r>
          <w:rPr>
            <w:webHidden/>
          </w:rPr>
          <w:instrText xml:space="preserve"> PAGEREF _Toc187401237 \h </w:instrText>
        </w:r>
        <w:r>
          <w:rPr>
            <w:webHidden/>
          </w:rPr>
        </w:r>
        <w:r>
          <w:rPr>
            <w:webHidden/>
          </w:rPr>
          <w:fldChar w:fldCharType="separate"/>
        </w:r>
        <w:r w:rsidR="002A2C0C">
          <w:rPr>
            <w:webHidden/>
          </w:rPr>
          <w:t>64</w:t>
        </w:r>
        <w:r>
          <w:rPr>
            <w:webHidden/>
          </w:rPr>
          <w:fldChar w:fldCharType="end"/>
        </w:r>
      </w:hyperlink>
    </w:p>
    <w:p w14:paraId="64DB032B" w14:textId="189FEB3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8" w:history="1">
        <w:r w:rsidRPr="00DF1D70">
          <w:rPr>
            <w:rStyle w:val="Hyperlink"/>
          </w:rPr>
          <w:t>Figure 3</w:t>
        </w:r>
        <w:r w:rsidRPr="00DF1D70">
          <w:rPr>
            <w:rStyle w:val="Hyperlink"/>
          </w:rPr>
          <w:noBreakHyphen/>
          <w:t xml:space="preserve">6: “Advanced” understanding of violence against women and rejection of </w:t>
        </w:r>
        <w:r w:rsidR="002A2C0C">
          <w:rPr>
            <w:rStyle w:val="Hyperlink"/>
          </w:rPr>
          <w:br/>
        </w:r>
        <w:r w:rsidRPr="00DF1D70">
          <w:rPr>
            <w:rStyle w:val="Hyperlink"/>
          </w:rPr>
          <w:t>problematic attitudes, 16- to 24</w:t>
        </w:r>
        <w:r w:rsidRPr="00DF1D70">
          <w:rPr>
            <w:rStyle w:val="Hyperlink"/>
          </w:rPr>
          <w:noBreakHyphen/>
          <w:t>year olds, 2021</w:t>
        </w:r>
        <w:r>
          <w:rPr>
            <w:webHidden/>
          </w:rPr>
          <w:tab/>
        </w:r>
        <w:r>
          <w:rPr>
            <w:webHidden/>
          </w:rPr>
          <w:fldChar w:fldCharType="begin"/>
        </w:r>
        <w:r>
          <w:rPr>
            <w:webHidden/>
          </w:rPr>
          <w:instrText xml:space="preserve"> PAGEREF _Toc187401238 \h </w:instrText>
        </w:r>
        <w:r>
          <w:rPr>
            <w:webHidden/>
          </w:rPr>
        </w:r>
        <w:r>
          <w:rPr>
            <w:webHidden/>
          </w:rPr>
          <w:fldChar w:fldCharType="separate"/>
        </w:r>
        <w:r w:rsidR="002A2C0C">
          <w:rPr>
            <w:webHidden/>
          </w:rPr>
          <w:t>65</w:t>
        </w:r>
        <w:r>
          <w:rPr>
            <w:webHidden/>
          </w:rPr>
          <w:fldChar w:fldCharType="end"/>
        </w:r>
      </w:hyperlink>
    </w:p>
    <w:p w14:paraId="411579B0" w14:textId="7CAAC745"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39" w:history="1">
        <w:r w:rsidRPr="00DF1D70">
          <w:rPr>
            <w:rStyle w:val="Hyperlink"/>
          </w:rPr>
          <w:t>Figure 4</w:t>
        </w:r>
        <w:r w:rsidRPr="00DF1D70">
          <w:rPr>
            <w:rStyle w:val="Hyperlink"/>
          </w:rPr>
          <w:noBreakHyphen/>
          <w:t>1: Understanding of different aspects of violence against women (UVAWS subscales)</w:t>
        </w:r>
        <w:r w:rsidR="002A2C0C">
          <w:rPr>
            <w:rStyle w:val="Hyperlink"/>
          </w:rPr>
          <w:br/>
        </w:r>
        <w:r w:rsidRPr="00DF1D70">
          <w:rPr>
            <w:rStyle w:val="Hyperlink"/>
          </w:rPr>
          <w:t>over</w:t>
        </w:r>
        <w:r w:rsidR="00BB482B">
          <w:rPr>
            <w:rStyle w:val="Hyperlink"/>
          </w:rPr>
          <w:t> </w:t>
        </w:r>
        <w:r w:rsidRPr="00DF1D70">
          <w:rPr>
            <w:rStyle w:val="Hyperlink"/>
          </w:rPr>
          <w:t>time,</w:t>
        </w:r>
        <w:r w:rsidR="00BB482B">
          <w:rPr>
            <w:rStyle w:val="Hyperlink"/>
          </w:rPr>
          <w:t> </w:t>
        </w:r>
        <w:r w:rsidRPr="00DF1D70">
          <w:rPr>
            <w:rStyle w:val="Hyperlink"/>
          </w:rPr>
          <w:t>16-</w:t>
        </w:r>
        <w:r w:rsidR="00BB482B">
          <w:rPr>
            <w:rStyle w:val="Hyperlink"/>
          </w:rPr>
          <w:t> </w:t>
        </w:r>
        <w:r w:rsidRPr="00DF1D70">
          <w:rPr>
            <w:rStyle w:val="Hyperlink"/>
          </w:rPr>
          <w:t>to 24-year-olds, 2009 to 2021</w:t>
        </w:r>
        <w:r>
          <w:rPr>
            <w:webHidden/>
          </w:rPr>
          <w:tab/>
        </w:r>
        <w:r>
          <w:rPr>
            <w:webHidden/>
          </w:rPr>
          <w:fldChar w:fldCharType="begin"/>
        </w:r>
        <w:r>
          <w:rPr>
            <w:webHidden/>
          </w:rPr>
          <w:instrText xml:space="preserve"> PAGEREF _Toc187401239 \h </w:instrText>
        </w:r>
        <w:r>
          <w:rPr>
            <w:webHidden/>
          </w:rPr>
        </w:r>
        <w:r>
          <w:rPr>
            <w:webHidden/>
          </w:rPr>
          <w:fldChar w:fldCharType="separate"/>
        </w:r>
        <w:r w:rsidR="002A2C0C">
          <w:rPr>
            <w:webHidden/>
          </w:rPr>
          <w:t>70</w:t>
        </w:r>
        <w:r>
          <w:rPr>
            <w:webHidden/>
          </w:rPr>
          <w:fldChar w:fldCharType="end"/>
        </w:r>
      </w:hyperlink>
    </w:p>
    <w:p w14:paraId="6FEA3272" w14:textId="22C17FF9"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0" w:history="1">
        <w:r w:rsidRPr="00DF1D70">
          <w:rPr>
            <w:rStyle w:val="Hyperlink"/>
          </w:rPr>
          <w:t>Figure 4</w:t>
        </w:r>
        <w:r w:rsidRPr="00DF1D70">
          <w:rPr>
            <w:rStyle w:val="Hyperlink"/>
          </w:rPr>
          <w:noBreakHyphen/>
          <w:t>2: Recognising domestic violence (UVAWS subscale items), 16- to 24-year-olds, 2021</w:t>
        </w:r>
        <w:r>
          <w:rPr>
            <w:webHidden/>
          </w:rPr>
          <w:tab/>
        </w:r>
        <w:r>
          <w:rPr>
            <w:webHidden/>
          </w:rPr>
          <w:fldChar w:fldCharType="begin"/>
        </w:r>
        <w:r>
          <w:rPr>
            <w:webHidden/>
          </w:rPr>
          <w:instrText xml:space="preserve"> PAGEREF _Toc187401240 \h </w:instrText>
        </w:r>
        <w:r>
          <w:rPr>
            <w:webHidden/>
          </w:rPr>
        </w:r>
        <w:r>
          <w:rPr>
            <w:webHidden/>
          </w:rPr>
          <w:fldChar w:fldCharType="separate"/>
        </w:r>
        <w:r w:rsidR="002A2C0C">
          <w:rPr>
            <w:webHidden/>
          </w:rPr>
          <w:t>73</w:t>
        </w:r>
        <w:r>
          <w:rPr>
            <w:webHidden/>
          </w:rPr>
          <w:fldChar w:fldCharType="end"/>
        </w:r>
      </w:hyperlink>
    </w:p>
    <w:p w14:paraId="069E33A2" w14:textId="4A104ED7"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1" w:history="1">
        <w:r w:rsidRPr="00DF1D70">
          <w:rPr>
            <w:rStyle w:val="Hyperlink"/>
          </w:rPr>
          <w:t>Figure 4</w:t>
        </w:r>
        <w:r w:rsidRPr="00DF1D70">
          <w:rPr>
            <w:rStyle w:val="Hyperlink"/>
          </w:rPr>
          <w:noBreakHyphen/>
          <w:t>3: Recognising violence against women (UVAWS subscale items), 16- to 24-year-olds, 2021</w:t>
        </w:r>
        <w:r>
          <w:rPr>
            <w:webHidden/>
          </w:rPr>
          <w:tab/>
        </w:r>
        <w:r>
          <w:rPr>
            <w:webHidden/>
          </w:rPr>
          <w:fldChar w:fldCharType="begin"/>
        </w:r>
        <w:r>
          <w:rPr>
            <w:webHidden/>
          </w:rPr>
          <w:instrText xml:space="preserve"> PAGEREF _Toc187401241 \h </w:instrText>
        </w:r>
        <w:r>
          <w:rPr>
            <w:webHidden/>
          </w:rPr>
        </w:r>
        <w:r>
          <w:rPr>
            <w:webHidden/>
          </w:rPr>
          <w:fldChar w:fldCharType="separate"/>
        </w:r>
        <w:r w:rsidR="002A2C0C">
          <w:rPr>
            <w:webHidden/>
          </w:rPr>
          <w:t>75</w:t>
        </w:r>
        <w:r>
          <w:rPr>
            <w:webHidden/>
          </w:rPr>
          <w:fldChar w:fldCharType="end"/>
        </w:r>
      </w:hyperlink>
    </w:p>
    <w:p w14:paraId="7E2F76D5" w14:textId="08E1EC2A"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2" w:history="1">
        <w:r w:rsidRPr="00DF1D70">
          <w:rPr>
            <w:rStyle w:val="Hyperlink"/>
          </w:rPr>
          <w:t>Figure 4</w:t>
        </w:r>
        <w:r w:rsidRPr="00DF1D70">
          <w:rPr>
            <w:rStyle w:val="Hyperlink"/>
          </w:rPr>
          <w:noBreakHyphen/>
          <w:t>4: Understanding the gendered nature of domestic violence perpetration (UVAWS</w:t>
        </w:r>
        <w:r w:rsidR="00BB482B">
          <w:rPr>
            <w:rStyle w:val="Hyperlink"/>
          </w:rPr>
          <w:t> </w:t>
        </w:r>
        <w:r w:rsidRPr="00DF1D70">
          <w:rPr>
            <w:rStyle w:val="Hyperlink"/>
          </w:rPr>
          <w:t>subscale</w:t>
        </w:r>
        <w:r w:rsidR="00BB482B">
          <w:rPr>
            <w:rStyle w:val="Hyperlink"/>
          </w:rPr>
          <w:t> </w:t>
        </w:r>
        <w:r w:rsidRPr="00DF1D70">
          <w:rPr>
            <w:rStyle w:val="Hyperlink"/>
          </w:rPr>
          <w:t>items),</w:t>
        </w:r>
        <w:r w:rsidR="00BB482B">
          <w:rPr>
            <w:rStyle w:val="Hyperlink"/>
          </w:rPr>
          <w:t> </w:t>
        </w:r>
        <w:r w:rsidRPr="00DF1D70">
          <w:rPr>
            <w:rStyle w:val="Hyperlink"/>
          </w:rPr>
          <w:t>16- to 24</w:t>
        </w:r>
        <w:r w:rsidRPr="00DF1D70">
          <w:rPr>
            <w:rStyle w:val="Hyperlink"/>
          </w:rPr>
          <w:noBreakHyphen/>
          <w:t>year-olds, 2021</w:t>
        </w:r>
        <w:r>
          <w:rPr>
            <w:webHidden/>
          </w:rPr>
          <w:tab/>
        </w:r>
        <w:r>
          <w:rPr>
            <w:webHidden/>
          </w:rPr>
          <w:fldChar w:fldCharType="begin"/>
        </w:r>
        <w:r>
          <w:rPr>
            <w:webHidden/>
          </w:rPr>
          <w:instrText xml:space="preserve"> PAGEREF _Toc187401242 \h </w:instrText>
        </w:r>
        <w:r>
          <w:rPr>
            <w:webHidden/>
          </w:rPr>
        </w:r>
        <w:r>
          <w:rPr>
            <w:webHidden/>
          </w:rPr>
          <w:fldChar w:fldCharType="separate"/>
        </w:r>
        <w:r w:rsidR="002A2C0C">
          <w:rPr>
            <w:webHidden/>
          </w:rPr>
          <w:t>76</w:t>
        </w:r>
        <w:r>
          <w:rPr>
            <w:webHidden/>
          </w:rPr>
          <w:fldChar w:fldCharType="end"/>
        </w:r>
      </w:hyperlink>
    </w:p>
    <w:p w14:paraId="7DEED74A" w14:textId="6EAD6A1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3" w:history="1">
        <w:r w:rsidRPr="00DF1D70">
          <w:rPr>
            <w:rStyle w:val="Hyperlink"/>
          </w:rPr>
          <w:t>Figure 4</w:t>
        </w:r>
        <w:r w:rsidRPr="00DF1D70">
          <w:rPr>
            <w:rStyle w:val="Hyperlink"/>
          </w:rPr>
          <w:noBreakHyphen/>
          <w:t>5: Understanding the gendered nature of domestic violence impacts (UVAWS</w:t>
        </w:r>
        <w:r w:rsidR="00BB482B">
          <w:rPr>
            <w:rStyle w:val="Hyperlink"/>
          </w:rPr>
          <w:t> </w:t>
        </w:r>
        <w:r w:rsidRPr="00DF1D70">
          <w:rPr>
            <w:rStyle w:val="Hyperlink"/>
          </w:rPr>
          <w:t>subscale</w:t>
        </w:r>
        <w:r w:rsidR="00BB482B">
          <w:rPr>
            <w:rStyle w:val="Hyperlink"/>
          </w:rPr>
          <w:t> </w:t>
        </w:r>
        <w:r w:rsidRPr="00DF1D70">
          <w:rPr>
            <w:rStyle w:val="Hyperlink"/>
          </w:rPr>
          <w:t>items),</w:t>
        </w:r>
        <w:r w:rsidR="00BB482B">
          <w:rPr>
            <w:rStyle w:val="Hyperlink"/>
          </w:rPr>
          <w:t> </w:t>
        </w:r>
        <w:r w:rsidRPr="00DF1D70">
          <w:rPr>
            <w:rStyle w:val="Hyperlink"/>
          </w:rPr>
          <w:t>16- to 24</w:t>
        </w:r>
        <w:r w:rsidRPr="00DF1D70">
          <w:rPr>
            <w:rStyle w:val="Hyperlink"/>
          </w:rPr>
          <w:noBreakHyphen/>
          <w:t>year</w:t>
        </w:r>
        <w:r w:rsidRPr="00DF1D70">
          <w:rPr>
            <w:rStyle w:val="Hyperlink"/>
          </w:rPr>
          <w:noBreakHyphen/>
          <w:t>olds, 2021</w:t>
        </w:r>
        <w:r>
          <w:rPr>
            <w:webHidden/>
          </w:rPr>
          <w:tab/>
        </w:r>
        <w:r>
          <w:rPr>
            <w:webHidden/>
          </w:rPr>
          <w:fldChar w:fldCharType="begin"/>
        </w:r>
        <w:r>
          <w:rPr>
            <w:webHidden/>
          </w:rPr>
          <w:instrText xml:space="preserve"> PAGEREF _Toc187401243 \h </w:instrText>
        </w:r>
        <w:r>
          <w:rPr>
            <w:webHidden/>
          </w:rPr>
        </w:r>
        <w:r>
          <w:rPr>
            <w:webHidden/>
          </w:rPr>
          <w:fldChar w:fldCharType="separate"/>
        </w:r>
        <w:r w:rsidR="002A2C0C">
          <w:rPr>
            <w:webHidden/>
          </w:rPr>
          <w:t>77</w:t>
        </w:r>
        <w:r>
          <w:rPr>
            <w:webHidden/>
          </w:rPr>
          <w:fldChar w:fldCharType="end"/>
        </w:r>
      </w:hyperlink>
    </w:p>
    <w:p w14:paraId="4EC63349" w14:textId="7F115E6E"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4" w:history="1">
        <w:r w:rsidRPr="00DF1D70">
          <w:rPr>
            <w:rStyle w:val="Hyperlink"/>
          </w:rPr>
          <w:t>Figure 4</w:t>
        </w:r>
        <w:r w:rsidRPr="00DF1D70">
          <w:rPr>
            <w:rStyle w:val="Hyperlink"/>
          </w:rPr>
          <w:noBreakHyphen/>
          <w:t>6: Understanding of different aspects of violence against women</w:t>
        </w:r>
        <w:r w:rsidR="002A2C0C">
          <w:rPr>
            <w:rStyle w:val="Hyperlink"/>
          </w:rPr>
          <w:br/>
        </w:r>
        <w:r w:rsidRPr="00DF1D70">
          <w:rPr>
            <w:rStyle w:val="Hyperlink"/>
          </w:rPr>
          <w:t>(UVAWS and subscales) by</w:t>
        </w:r>
        <w:r w:rsidR="00BB482B">
          <w:rPr>
            <w:rStyle w:val="Hyperlink"/>
          </w:rPr>
          <w:t> </w:t>
        </w:r>
        <w:r w:rsidRPr="00DF1D70">
          <w:rPr>
            <w:rStyle w:val="Hyperlink"/>
          </w:rPr>
          <w:t>gender, 16- to 24</w:t>
        </w:r>
        <w:r w:rsidRPr="00DF1D70">
          <w:rPr>
            <w:rStyle w:val="Hyperlink"/>
          </w:rPr>
          <w:noBreakHyphen/>
          <w:t>year-olds, 2021</w:t>
        </w:r>
        <w:r>
          <w:rPr>
            <w:webHidden/>
          </w:rPr>
          <w:tab/>
        </w:r>
        <w:r>
          <w:rPr>
            <w:webHidden/>
          </w:rPr>
          <w:fldChar w:fldCharType="begin"/>
        </w:r>
        <w:r>
          <w:rPr>
            <w:webHidden/>
          </w:rPr>
          <w:instrText xml:space="preserve"> PAGEREF _Toc187401244 \h </w:instrText>
        </w:r>
        <w:r>
          <w:rPr>
            <w:webHidden/>
          </w:rPr>
        </w:r>
        <w:r>
          <w:rPr>
            <w:webHidden/>
          </w:rPr>
          <w:fldChar w:fldCharType="separate"/>
        </w:r>
        <w:r w:rsidR="002A2C0C">
          <w:rPr>
            <w:webHidden/>
          </w:rPr>
          <w:t>79</w:t>
        </w:r>
        <w:r>
          <w:rPr>
            <w:webHidden/>
          </w:rPr>
          <w:fldChar w:fldCharType="end"/>
        </w:r>
      </w:hyperlink>
    </w:p>
    <w:p w14:paraId="24AA45AC" w14:textId="6527C341"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5" w:history="1">
        <w:r w:rsidRPr="00DF1D70">
          <w:rPr>
            <w:rStyle w:val="Hyperlink"/>
          </w:rPr>
          <w:t>Figure 5</w:t>
        </w:r>
        <w:r w:rsidRPr="00DF1D70">
          <w:rPr>
            <w:rStyle w:val="Hyperlink"/>
          </w:rPr>
          <w:noBreakHyphen/>
          <w:t>1: Rejection of different aspects of gender inequality (AGIS subscales) over time,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w:t>
        </w:r>
        <w:r w:rsidR="00BB482B">
          <w:rPr>
            <w:rStyle w:val="Hyperlink"/>
          </w:rPr>
          <w:t> </w:t>
        </w:r>
        <w:r w:rsidRPr="00DF1D70">
          <w:rPr>
            <w:rStyle w:val="Hyperlink"/>
          </w:rPr>
          <w:t>2009 to 2021</w:t>
        </w:r>
        <w:r>
          <w:rPr>
            <w:webHidden/>
          </w:rPr>
          <w:tab/>
        </w:r>
        <w:r>
          <w:rPr>
            <w:webHidden/>
          </w:rPr>
          <w:fldChar w:fldCharType="begin"/>
        </w:r>
        <w:r>
          <w:rPr>
            <w:webHidden/>
          </w:rPr>
          <w:instrText xml:space="preserve"> PAGEREF _Toc187401245 \h </w:instrText>
        </w:r>
        <w:r>
          <w:rPr>
            <w:webHidden/>
          </w:rPr>
        </w:r>
        <w:r>
          <w:rPr>
            <w:webHidden/>
          </w:rPr>
          <w:fldChar w:fldCharType="separate"/>
        </w:r>
        <w:r w:rsidR="002A2C0C">
          <w:rPr>
            <w:webHidden/>
          </w:rPr>
          <w:t>85</w:t>
        </w:r>
        <w:r>
          <w:rPr>
            <w:webHidden/>
          </w:rPr>
          <w:fldChar w:fldCharType="end"/>
        </w:r>
      </w:hyperlink>
    </w:p>
    <w:p w14:paraId="333F9C45" w14:textId="0DCCDCD7"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6" w:history="1">
        <w:r w:rsidRPr="00DF1D70">
          <w:rPr>
            <w:rStyle w:val="Hyperlink"/>
          </w:rPr>
          <w:t>Figure 5</w:t>
        </w:r>
        <w:r w:rsidRPr="00DF1D70">
          <w:rPr>
            <w:rStyle w:val="Hyperlink"/>
          </w:rPr>
          <w:noBreakHyphen/>
          <w:t>2: Denying gender inequality experiences (AGIS subscale items), 16- to 24-year-olds, 2021</w:t>
        </w:r>
        <w:r>
          <w:rPr>
            <w:webHidden/>
          </w:rPr>
          <w:tab/>
        </w:r>
        <w:r>
          <w:rPr>
            <w:webHidden/>
          </w:rPr>
          <w:fldChar w:fldCharType="begin"/>
        </w:r>
        <w:r>
          <w:rPr>
            <w:webHidden/>
          </w:rPr>
          <w:instrText xml:space="preserve"> PAGEREF _Toc187401246 \h </w:instrText>
        </w:r>
        <w:r>
          <w:rPr>
            <w:webHidden/>
          </w:rPr>
        </w:r>
        <w:r>
          <w:rPr>
            <w:webHidden/>
          </w:rPr>
          <w:fldChar w:fldCharType="separate"/>
        </w:r>
        <w:r w:rsidR="002A2C0C">
          <w:rPr>
            <w:webHidden/>
          </w:rPr>
          <w:t>87</w:t>
        </w:r>
        <w:r>
          <w:rPr>
            <w:webHidden/>
          </w:rPr>
          <w:fldChar w:fldCharType="end"/>
        </w:r>
      </w:hyperlink>
    </w:p>
    <w:p w14:paraId="2A5AD32B" w14:textId="716427EA"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7" w:history="1">
        <w:r w:rsidRPr="00DF1D70">
          <w:rPr>
            <w:rStyle w:val="Hyperlink"/>
          </w:rPr>
          <w:t>Figure 5</w:t>
        </w:r>
        <w:r w:rsidRPr="00DF1D70">
          <w:rPr>
            <w:rStyle w:val="Hyperlink"/>
          </w:rPr>
          <w:noBreakHyphen/>
          <w:t>3: Limiting women’s personal autonomy in relationships (AGIS subscale items),</w:t>
        </w:r>
        <w:r w:rsidR="002A2C0C">
          <w:rPr>
            <w:rStyle w:val="Hyperlink"/>
          </w:rPr>
          <w:br/>
        </w:r>
        <w:r w:rsidRPr="00DF1D70">
          <w:rPr>
            <w:rStyle w:val="Hyperlink"/>
          </w:rPr>
          <w:t>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w:t>
        </w:r>
        <w:r w:rsidR="00BB482B">
          <w:rPr>
            <w:rStyle w:val="Hyperlink"/>
          </w:rPr>
          <w:t> </w:t>
        </w:r>
        <w:r w:rsidRPr="00DF1D70">
          <w:rPr>
            <w:rStyle w:val="Hyperlink"/>
          </w:rPr>
          <w:t>2021</w:t>
        </w:r>
        <w:r>
          <w:rPr>
            <w:webHidden/>
          </w:rPr>
          <w:tab/>
        </w:r>
        <w:r>
          <w:rPr>
            <w:webHidden/>
          </w:rPr>
          <w:fldChar w:fldCharType="begin"/>
        </w:r>
        <w:r>
          <w:rPr>
            <w:webHidden/>
          </w:rPr>
          <w:instrText xml:space="preserve"> PAGEREF _Toc187401247 \h </w:instrText>
        </w:r>
        <w:r>
          <w:rPr>
            <w:webHidden/>
          </w:rPr>
        </w:r>
        <w:r>
          <w:rPr>
            <w:webHidden/>
          </w:rPr>
          <w:fldChar w:fldCharType="separate"/>
        </w:r>
        <w:r w:rsidR="002A2C0C">
          <w:rPr>
            <w:webHidden/>
          </w:rPr>
          <w:t>88</w:t>
        </w:r>
        <w:r>
          <w:rPr>
            <w:webHidden/>
          </w:rPr>
          <w:fldChar w:fldCharType="end"/>
        </w:r>
      </w:hyperlink>
    </w:p>
    <w:p w14:paraId="7963D2C3" w14:textId="169EE386"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8" w:history="1">
        <w:r w:rsidRPr="00DF1D70">
          <w:rPr>
            <w:rStyle w:val="Hyperlink"/>
          </w:rPr>
          <w:t>Figure 5</w:t>
        </w:r>
        <w:r w:rsidRPr="00DF1D70">
          <w:rPr>
            <w:rStyle w:val="Hyperlink"/>
          </w:rPr>
          <w:noBreakHyphen/>
          <w:t>4: Normalising sexism (AGIS subscale items), 16- to 24-year-olds, 2021</w:t>
        </w:r>
        <w:r>
          <w:rPr>
            <w:webHidden/>
          </w:rPr>
          <w:tab/>
        </w:r>
        <w:r>
          <w:rPr>
            <w:webHidden/>
          </w:rPr>
          <w:fldChar w:fldCharType="begin"/>
        </w:r>
        <w:r>
          <w:rPr>
            <w:webHidden/>
          </w:rPr>
          <w:instrText xml:space="preserve"> PAGEREF _Toc187401248 \h </w:instrText>
        </w:r>
        <w:r>
          <w:rPr>
            <w:webHidden/>
          </w:rPr>
        </w:r>
        <w:r>
          <w:rPr>
            <w:webHidden/>
          </w:rPr>
          <w:fldChar w:fldCharType="separate"/>
        </w:r>
        <w:r w:rsidR="002A2C0C">
          <w:rPr>
            <w:webHidden/>
          </w:rPr>
          <w:t>89</w:t>
        </w:r>
        <w:r>
          <w:rPr>
            <w:webHidden/>
          </w:rPr>
          <w:fldChar w:fldCharType="end"/>
        </w:r>
      </w:hyperlink>
    </w:p>
    <w:p w14:paraId="0599813F" w14:textId="155D666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49" w:history="1">
        <w:r w:rsidRPr="00DF1D70">
          <w:rPr>
            <w:rStyle w:val="Hyperlink"/>
          </w:rPr>
          <w:t>Figure 5</w:t>
        </w:r>
        <w:r w:rsidRPr="00DF1D70">
          <w:rPr>
            <w:rStyle w:val="Hyperlink"/>
          </w:rPr>
          <w:noBreakHyphen/>
          <w:t>5: Reinforcing rigid gender roles (AGIS subscale items), 16- to 24-year-olds, 2021</w:t>
        </w:r>
        <w:r>
          <w:rPr>
            <w:webHidden/>
          </w:rPr>
          <w:tab/>
        </w:r>
        <w:r>
          <w:rPr>
            <w:webHidden/>
          </w:rPr>
          <w:fldChar w:fldCharType="begin"/>
        </w:r>
        <w:r>
          <w:rPr>
            <w:webHidden/>
          </w:rPr>
          <w:instrText xml:space="preserve"> PAGEREF _Toc187401249 \h </w:instrText>
        </w:r>
        <w:r>
          <w:rPr>
            <w:webHidden/>
          </w:rPr>
        </w:r>
        <w:r>
          <w:rPr>
            <w:webHidden/>
          </w:rPr>
          <w:fldChar w:fldCharType="separate"/>
        </w:r>
        <w:r w:rsidR="002A2C0C">
          <w:rPr>
            <w:webHidden/>
          </w:rPr>
          <w:t>91</w:t>
        </w:r>
        <w:r>
          <w:rPr>
            <w:webHidden/>
          </w:rPr>
          <w:fldChar w:fldCharType="end"/>
        </w:r>
      </w:hyperlink>
    </w:p>
    <w:p w14:paraId="6D0011D8" w14:textId="680E69D8"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0" w:history="1">
        <w:r w:rsidRPr="00DF1D70">
          <w:rPr>
            <w:rStyle w:val="Hyperlink"/>
          </w:rPr>
          <w:t>Figure 5</w:t>
        </w:r>
        <w:r w:rsidRPr="00DF1D70">
          <w:rPr>
            <w:rStyle w:val="Hyperlink"/>
          </w:rPr>
          <w:noBreakHyphen/>
          <w:t>6: Undermining women’s leadership in public life (AGIS subscale items), 16- to 24-year-olds, 2021</w:t>
        </w:r>
        <w:r>
          <w:rPr>
            <w:webHidden/>
          </w:rPr>
          <w:tab/>
        </w:r>
        <w:r>
          <w:rPr>
            <w:webHidden/>
          </w:rPr>
          <w:fldChar w:fldCharType="begin"/>
        </w:r>
        <w:r>
          <w:rPr>
            <w:webHidden/>
          </w:rPr>
          <w:instrText xml:space="preserve"> PAGEREF _Toc187401250 \h </w:instrText>
        </w:r>
        <w:r>
          <w:rPr>
            <w:webHidden/>
          </w:rPr>
        </w:r>
        <w:r>
          <w:rPr>
            <w:webHidden/>
          </w:rPr>
          <w:fldChar w:fldCharType="separate"/>
        </w:r>
        <w:r w:rsidR="002A2C0C">
          <w:rPr>
            <w:webHidden/>
          </w:rPr>
          <w:t>92</w:t>
        </w:r>
        <w:r>
          <w:rPr>
            <w:webHidden/>
          </w:rPr>
          <w:fldChar w:fldCharType="end"/>
        </w:r>
      </w:hyperlink>
    </w:p>
    <w:p w14:paraId="36B98202" w14:textId="3FF41DB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1" w:history="1">
        <w:r w:rsidRPr="00DF1D70">
          <w:rPr>
            <w:rStyle w:val="Hyperlink"/>
          </w:rPr>
          <w:t>Figure 5</w:t>
        </w:r>
        <w:r w:rsidRPr="00DF1D70">
          <w:rPr>
            <w:rStyle w:val="Hyperlink"/>
          </w:rPr>
          <w:noBreakHyphen/>
          <w:t>7: Rejection of different aspects of gender inequality (AGIS and subscales) by gender,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 2021</w:t>
        </w:r>
        <w:r>
          <w:rPr>
            <w:webHidden/>
          </w:rPr>
          <w:tab/>
        </w:r>
        <w:r>
          <w:rPr>
            <w:webHidden/>
          </w:rPr>
          <w:fldChar w:fldCharType="begin"/>
        </w:r>
        <w:r>
          <w:rPr>
            <w:webHidden/>
          </w:rPr>
          <w:instrText xml:space="preserve"> PAGEREF _Toc187401251 \h </w:instrText>
        </w:r>
        <w:r>
          <w:rPr>
            <w:webHidden/>
          </w:rPr>
        </w:r>
        <w:r>
          <w:rPr>
            <w:webHidden/>
          </w:rPr>
          <w:fldChar w:fldCharType="separate"/>
        </w:r>
        <w:r w:rsidR="002A2C0C">
          <w:rPr>
            <w:webHidden/>
          </w:rPr>
          <w:t>94</w:t>
        </w:r>
        <w:r>
          <w:rPr>
            <w:webHidden/>
          </w:rPr>
          <w:fldChar w:fldCharType="end"/>
        </w:r>
      </w:hyperlink>
    </w:p>
    <w:p w14:paraId="05BD47FE" w14:textId="1CA204AB"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2" w:history="1">
        <w:r w:rsidRPr="00DF1D70">
          <w:rPr>
            <w:rStyle w:val="Hyperlink"/>
          </w:rPr>
          <w:t>Figure 6</w:t>
        </w:r>
        <w:r w:rsidRPr="00DF1D70">
          <w:rPr>
            <w:rStyle w:val="Hyperlink"/>
          </w:rPr>
          <w:noBreakHyphen/>
          <w:t>1: Rejection of different aspects of violence against women (AVAWS subscales) over time,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year-olds, 2009 to 2021</w:t>
        </w:r>
        <w:r>
          <w:rPr>
            <w:webHidden/>
          </w:rPr>
          <w:tab/>
        </w:r>
        <w:r>
          <w:rPr>
            <w:webHidden/>
          </w:rPr>
          <w:fldChar w:fldCharType="begin"/>
        </w:r>
        <w:r>
          <w:rPr>
            <w:webHidden/>
          </w:rPr>
          <w:instrText xml:space="preserve"> PAGEREF _Toc187401252 \h </w:instrText>
        </w:r>
        <w:r>
          <w:rPr>
            <w:webHidden/>
          </w:rPr>
        </w:r>
        <w:r>
          <w:rPr>
            <w:webHidden/>
          </w:rPr>
          <w:fldChar w:fldCharType="separate"/>
        </w:r>
        <w:r w:rsidR="002A2C0C">
          <w:rPr>
            <w:webHidden/>
          </w:rPr>
          <w:t>99</w:t>
        </w:r>
        <w:r>
          <w:rPr>
            <w:webHidden/>
          </w:rPr>
          <w:fldChar w:fldCharType="end"/>
        </w:r>
      </w:hyperlink>
    </w:p>
    <w:p w14:paraId="497F96C4" w14:textId="0740D2CA"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3" w:history="1">
        <w:r w:rsidRPr="00DF1D70">
          <w:rPr>
            <w:rStyle w:val="Hyperlink"/>
          </w:rPr>
          <w:t>Figure 6</w:t>
        </w:r>
        <w:r w:rsidRPr="00DF1D70">
          <w:rPr>
            <w:rStyle w:val="Hyperlink"/>
          </w:rPr>
          <w:noBreakHyphen/>
          <w:t>2: Minimising violence against women and shifting blame (AVAWS subscale items),</w:t>
        </w:r>
        <w:r w:rsidR="002A2C0C">
          <w:rPr>
            <w:rStyle w:val="Hyperlink"/>
          </w:rPr>
          <w:br/>
        </w:r>
        <w:r w:rsidRPr="00DF1D70">
          <w:rPr>
            <w:rStyle w:val="Hyperlink"/>
          </w:rPr>
          <w:t>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year-olds, 2021</w:t>
        </w:r>
        <w:r>
          <w:rPr>
            <w:webHidden/>
          </w:rPr>
          <w:tab/>
        </w:r>
        <w:r>
          <w:rPr>
            <w:webHidden/>
          </w:rPr>
          <w:fldChar w:fldCharType="begin"/>
        </w:r>
        <w:r>
          <w:rPr>
            <w:webHidden/>
          </w:rPr>
          <w:instrText xml:space="preserve"> PAGEREF _Toc187401253 \h </w:instrText>
        </w:r>
        <w:r>
          <w:rPr>
            <w:webHidden/>
          </w:rPr>
        </w:r>
        <w:r>
          <w:rPr>
            <w:webHidden/>
          </w:rPr>
          <w:fldChar w:fldCharType="separate"/>
        </w:r>
        <w:r w:rsidR="002A2C0C">
          <w:rPr>
            <w:webHidden/>
          </w:rPr>
          <w:t>102</w:t>
        </w:r>
        <w:r>
          <w:rPr>
            <w:webHidden/>
          </w:rPr>
          <w:fldChar w:fldCharType="end"/>
        </w:r>
      </w:hyperlink>
    </w:p>
    <w:p w14:paraId="3EC7BF96" w14:textId="5CE34913"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4" w:history="1">
        <w:r w:rsidRPr="00DF1D70">
          <w:rPr>
            <w:rStyle w:val="Hyperlink"/>
          </w:rPr>
          <w:t>Figure 6</w:t>
        </w:r>
        <w:r w:rsidRPr="00DF1D70">
          <w:rPr>
            <w:rStyle w:val="Hyperlink"/>
          </w:rPr>
          <w:noBreakHyphen/>
          <w:t xml:space="preserve">3: Mistrusting women’s reports of violence (AVAWS subscale items), </w:t>
        </w:r>
        <w:r w:rsidR="00BB7D7D">
          <w:rPr>
            <w:rStyle w:val="Hyperlink"/>
          </w:rPr>
          <w:br/>
        </w:r>
        <w:r w:rsidRPr="00DF1D70">
          <w:rPr>
            <w:rStyle w:val="Hyperlink"/>
          </w:rPr>
          <w:t>16- to 24-year-olds, 2021</w:t>
        </w:r>
        <w:r>
          <w:rPr>
            <w:webHidden/>
          </w:rPr>
          <w:tab/>
        </w:r>
        <w:r>
          <w:rPr>
            <w:webHidden/>
          </w:rPr>
          <w:fldChar w:fldCharType="begin"/>
        </w:r>
        <w:r>
          <w:rPr>
            <w:webHidden/>
          </w:rPr>
          <w:instrText xml:space="preserve"> PAGEREF _Toc187401254 \h </w:instrText>
        </w:r>
        <w:r>
          <w:rPr>
            <w:webHidden/>
          </w:rPr>
        </w:r>
        <w:r>
          <w:rPr>
            <w:webHidden/>
          </w:rPr>
          <w:fldChar w:fldCharType="separate"/>
        </w:r>
        <w:r w:rsidR="002A2C0C">
          <w:rPr>
            <w:webHidden/>
          </w:rPr>
          <w:t>105</w:t>
        </w:r>
        <w:r>
          <w:rPr>
            <w:webHidden/>
          </w:rPr>
          <w:fldChar w:fldCharType="end"/>
        </w:r>
      </w:hyperlink>
    </w:p>
    <w:p w14:paraId="100DA3EE" w14:textId="167758DD"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5" w:history="1">
        <w:r w:rsidRPr="00DF1D70">
          <w:rPr>
            <w:rStyle w:val="Hyperlink"/>
          </w:rPr>
          <w:t>Figure 6</w:t>
        </w:r>
        <w:r w:rsidRPr="00DF1D70">
          <w:rPr>
            <w:rStyle w:val="Hyperlink"/>
          </w:rPr>
          <w:noBreakHyphen/>
          <w:t>4: Objectifying women and disregarding consent (AVAWS subscale items), 16-</w:t>
        </w:r>
        <w:r w:rsidR="00BB482B">
          <w:rPr>
            <w:rStyle w:val="Hyperlink"/>
          </w:rPr>
          <w:t> </w:t>
        </w:r>
        <w:r w:rsidRPr="00DF1D70">
          <w:rPr>
            <w:rStyle w:val="Hyperlink"/>
          </w:rPr>
          <w:t>to</w:t>
        </w:r>
        <w:r w:rsidR="00BB482B">
          <w:rPr>
            <w:rStyle w:val="Hyperlink"/>
          </w:rPr>
          <w:t> </w:t>
        </w:r>
        <w:r w:rsidRPr="00DF1D70">
          <w:rPr>
            <w:rStyle w:val="Hyperlink"/>
          </w:rPr>
          <w:t>24</w:t>
        </w:r>
        <w:r w:rsidR="00BB482B">
          <w:rPr>
            <w:rStyle w:val="Hyperlink"/>
          </w:rPr>
          <w:noBreakHyphen/>
        </w:r>
        <w:r w:rsidRPr="00DF1D70">
          <w:rPr>
            <w:rStyle w:val="Hyperlink"/>
          </w:rPr>
          <w:t>year</w:t>
        </w:r>
        <w:r w:rsidR="00BB482B">
          <w:rPr>
            <w:rStyle w:val="Hyperlink"/>
          </w:rPr>
          <w:noBreakHyphen/>
        </w:r>
        <w:r w:rsidRPr="00DF1D70">
          <w:rPr>
            <w:rStyle w:val="Hyperlink"/>
          </w:rPr>
          <w:t>olds,</w:t>
        </w:r>
        <w:r w:rsidR="00BB482B">
          <w:rPr>
            <w:rStyle w:val="Hyperlink"/>
          </w:rPr>
          <w:t> </w:t>
        </w:r>
        <w:r w:rsidRPr="00DF1D70">
          <w:rPr>
            <w:rStyle w:val="Hyperlink"/>
          </w:rPr>
          <w:t>2021</w:t>
        </w:r>
        <w:r>
          <w:rPr>
            <w:webHidden/>
          </w:rPr>
          <w:tab/>
        </w:r>
        <w:r>
          <w:rPr>
            <w:webHidden/>
          </w:rPr>
          <w:fldChar w:fldCharType="begin"/>
        </w:r>
        <w:r>
          <w:rPr>
            <w:webHidden/>
          </w:rPr>
          <w:instrText xml:space="preserve"> PAGEREF _Toc187401255 \h </w:instrText>
        </w:r>
        <w:r>
          <w:rPr>
            <w:webHidden/>
          </w:rPr>
        </w:r>
        <w:r>
          <w:rPr>
            <w:webHidden/>
          </w:rPr>
          <w:fldChar w:fldCharType="separate"/>
        </w:r>
        <w:r w:rsidR="002A2C0C">
          <w:rPr>
            <w:webHidden/>
          </w:rPr>
          <w:t>108</w:t>
        </w:r>
        <w:r>
          <w:rPr>
            <w:webHidden/>
          </w:rPr>
          <w:fldChar w:fldCharType="end"/>
        </w:r>
      </w:hyperlink>
    </w:p>
    <w:p w14:paraId="76568B0B" w14:textId="7B98CC88"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6" w:history="1">
        <w:r w:rsidRPr="00DF1D70">
          <w:rPr>
            <w:rStyle w:val="Hyperlink"/>
          </w:rPr>
          <w:t>Figure 6</w:t>
        </w:r>
        <w:r w:rsidRPr="00DF1D70">
          <w:rPr>
            <w:rStyle w:val="Hyperlink"/>
          </w:rPr>
          <w:noBreakHyphen/>
          <w:t>5: Rejection of different aspects of violence against women (AVAWS and subscales) by</w:t>
        </w:r>
        <w:r w:rsidR="00BB482B">
          <w:rPr>
            <w:rStyle w:val="Hyperlink"/>
          </w:rPr>
          <w:t> </w:t>
        </w:r>
        <w:r w:rsidRPr="00DF1D70">
          <w:rPr>
            <w:rStyle w:val="Hyperlink"/>
          </w:rPr>
          <w:t>gender,</w:t>
        </w:r>
        <w:r w:rsidR="00BB482B">
          <w:rPr>
            <w:rStyle w:val="Hyperlink"/>
          </w:rPr>
          <w:t> </w:t>
        </w:r>
        <w:r w:rsidRPr="00DF1D70">
          <w:rPr>
            <w:rStyle w:val="Hyperlink"/>
          </w:rPr>
          <w:t>16</w:t>
        </w:r>
        <w:r w:rsidRPr="00DF1D70">
          <w:rPr>
            <w:rStyle w:val="Hyperlink"/>
          </w:rPr>
          <w:noBreakHyphen/>
          <w:t>to 24</w:t>
        </w:r>
        <w:r w:rsidRPr="00DF1D70">
          <w:rPr>
            <w:rStyle w:val="Hyperlink"/>
          </w:rPr>
          <w:noBreakHyphen/>
          <w:t>year</w:t>
        </w:r>
        <w:r w:rsidRPr="00DF1D70">
          <w:rPr>
            <w:rStyle w:val="Hyperlink"/>
          </w:rPr>
          <w:noBreakHyphen/>
          <w:t>olds, 2021</w:t>
        </w:r>
        <w:r>
          <w:rPr>
            <w:webHidden/>
          </w:rPr>
          <w:tab/>
        </w:r>
        <w:r>
          <w:rPr>
            <w:webHidden/>
          </w:rPr>
          <w:fldChar w:fldCharType="begin"/>
        </w:r>
        <w:r>
          <w:rPr>
            <w:webHidden/>
          </w:rPr>
          <w:instrText xml:space="preserve"> PAGEREF _Toc187401256 \h </w:instrText>
        </w:r>
        <w:r>
          <w:rPr>
            <w:webHidden/>
          </w:rPr>
        </w:r>
        <w:r>
          <w:rPr>
            <w:webHidden/>
          </w:rPr>
          <w:fldChar w:fldCharType="separate"/>
        </w:r>
        <w:r w:rsidR="002A2C0C">
          <w:rPr>
            <w:webHidden/>
          </w:rPr>
          <w:t>110</w:t>
        </w:r>
        <w:r>
          <w:rPr>
            <w:webHidden/>
          </w:rPr>
          <w:fldChar w:fldCharType="end"/>
        </w:r>
      </w:hyperlink>
    </w:p>
    <w:p w14:paraId="71211DED" w14:textId="2FEB6ABA"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7" w:history="1">
        <w:r w:rsidRPr="00DF1D70">
          <w:rPr>
            <w:rStyle w:val="Hyperlink"/>
          </w:rPr>
          <w:t>Figure 7-1:</w:t>
        </w:r>
        <w:r w:rsidR="00DF236A">
          <w:rPr>
            <w:rFonts w:asciiTheme="minorHAnsi" w:eastAsiaTheme="minorEastAsia" w:hAnsiTheme="minorHAnsi" w:cstheme="minorBidi"/>
            <w:sz w:val="24"/>
            <w:szCs w:val="24"/>
            <w:lang w:val="en-AU" w:eastAsia="en-AU"/>
          </w:rPr>
          <w:t xml:space="preserve"> </w:t>
        </w:r>
        <w:r w:rsidRPr="00DF1D70">
          <w:rPr>
            <w:rStyle w:val="Hyperlink"/>
          </w:rPr>
          <w:t>Knowledge of domestic violence services, 16- to 24-year-olds, 2021</w:t>
        </w:r>
        <w:r>
          <w:rPr>
            <w:webHidden/>
          </w:rPr>
          <w:tab/>
        </w:r>
        <w:r>
          <w:rPr>
            <w:webHidden/>
          </w:rPr>
          <w:fldChar w:fldCharType="begin"/>
        </w:r>
        <w:r>
          <w:rPr>
            <w:webHidden/>
          </w:rPr>
          <w:instrText xml:space="preserve"> PAGEREF _Toc187401257 \h </w:instrText>
        </w:r>
        <w:r>
          <w:rPr>
            <w:webHidden/>
          </w:rPr>
        </w:r>
        <w:r>
          <w:rPr>
            <w:webHidden/>
          </w:rPr>
          <w:fldChar w:fldCharType="separate"/>
        </w:r>
        <w:r w:rsidR="002A2C0C">
          <w:rPr>
            <w:webHidden/>
          </w:rPr>
          <w:t>116</w:t>
        </w:r>
        <w:r>
          <w:rPr>
            <w:webHidden/>
          </w:rPr>
          <w:fldChar w:fldCharType="end"/>
        </w:r>
      </w:hyperlink>
    </w:p>
    <w:p w14:paraId="1E8613E5" w14:textId="078CFBC9"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58" w:history="1">
        <w:r w:rsidRPr="00DF1D70">
          <w:rPr>
            <w:rStyle w:val="Hyperlink"/>
          </w:rPr>
          <w:t>Figure 7</w:t>
        </w:r>
        <w:r w:rsidRPr="00DF1D70">
          <w:rPr>
            <w:rStyle w:val="Hyperlink"/>
          </w:rPr>
          <w:noBreakHyphen/>
          <w:t>2:</w:t>
        </w:r>
        <w:r w:rsidR="00DF236A">
          <w:rPr>
            <w:rStyle w:val="Hyperlink"/>
          </w:rPr>
          <w:t xml:space="preserve"> </w:t>
        </w:r>
        <w:r w:rsidRPr="00DF1D70">
          <w:rPr>
            <w:rStyle w:val="Hyperlink"/>
          </w:rPr>
          <w:t>Sexual consent scenario (AVAWS Objectify Women Subscale items), married</w:t>
        </w:r>
        <w:r w:rsidR="00BB482B">
          <w:rPr>
            <w:rStyle w:val="Hyperlink"/>
          </w:rPr>
          <w:t> </w:t>
        </w:r>
        <w:r w:rsidRPr="00DF1D70">
          <w:rPr>
            <w:rStyle w:val="Hyperlink"/>
          </w:rPr>
          <w:t>couple</w:t>
        </w:r>
        <w:r w:rsidR="00BB482B">
          <w:rPr>
            <w:rStyle w:val="Hyperlink"/>
          </w:rPr>
          <w:t> </w:t>
        </w:r>
        <w:r w:rsidRPr="00DF1D70">
          <w:rPr>
            <w:rStyle w:val="Hyperlink"/>
          </w:rPr>
          <w:t>variation,</w:t>
        </w:r>
        <w:r w:rsidR="00BB482B">
          <w:rPr>
            <w:rStyle w:val="Hyperlink"/>
          </w:rPr>
          <w:t> </w:t>
        </w:r>
        <w:r w:rsidRPr="00DF1D70">
          <w:rPr>
            <w:rStyle w:val="Hyperlink"/>
          </w:rPr>
          <w:t>16- to 24</w:t>
        </w:r>
        <w:r w:rsidRPr="00DF1D70">
          <w:rPr>
            <w:rStyle w:val="Hyperlink"/>
          </w:rPr>
          <w:noBreakHyphen/>
          <w:t>year</w:t>
        </w:r>
        <w:r w:rsidRPr="00DF1D70">
          <w:rPr>
            <w:rStyle w:val="Hyperlink"/>
          </w:rPr>
          <w:noBreakHyphen/>
          <w:t>olds, 2021</w:t>
        </w:r>
        <w:r>
          <w:rPr>
            <w:webHidden/>
          </w:rPr>
          <w:tab/>
        </w:r>
        <w:r>
          <w:rPr>
            <w:webHidden/>
          </w:rPr>
          <w:fldChar w:fldCharType="begin"/>
        </w:r>
        <w:r>
          <w:rPr>
            <w:webHidden/>
          </w:rPr>
          <w:instrText xml:space="preserve"> PAGEREF _Toc187401258 \h </w:instrText>
        </w:r>
        <w:r>
          <w:rPr>
            <w:webHidden/>
          </w:rPr>
        </w:r>
        <w:r>
          <w:rPr>
            <w:webHidden/>
          </w:rPr>
          <w:fldChar w:fldCharType="separate"/>
        </w:r>
        <w:r w:rsidR="002A2C0C">
          <w:rPr>
            <w:webHidden/>
          </w:rPr>
          <w:t>119</w:t>
        </w:r>
        <w:r>
          <w:rPr>
            <w:webHidden/>
          </w:rPr>
          <w:fldChar w:fldCharType="end"/>
        </w:r>
      </w:hyperlink>
    </w:p>
    <w:p w14:paraId="18B60957" w14:textId="46A40671" w:rsidR="00ED1C8F" w:rsidRPr="002A2C0C" w:rsidRDefault="00ED1C8F" w:rsidP="002A2C0C">
      <w:pPr>
        <w:pStyle w:val="TableofFigures"/>
      </w:pPr>
      <w:hyperlink w:anchor="_Toc187401259" w:history="1">
        <w:r w:rsidRPr="002A2C0C">
          <w:rPr>
            <w:rStyle w:val="Hyperlink"/>
            <w:color w:val="auto"/>
            <w:u w:val="none"/>
          </w:rPr>
          <w:t>Figure 7</w:t>
        </w:r>
        <w:r w:rsidRPr="002A2C0C">
          <w:rPr>
            <w:rStyle w:val="Hyperlink"/>
            <w:color w:val="auto"/>
            <w:u w:val="none"/>
          </w:rPr>
          <w:noBreakHyphen/>
          <w:t>3: Sexual consent scenario (AVAWS Objectify Women Subscale items), acquaintance</w:t>
        </w:r>
        <w:r w:rsidR="00BB482B" w:rsidRPr="002A2C0C">
          <w:rPr>
            <w:rStyle w:val="Hyperlink"/>
            <w:color w:val="auto"/>
            <w:u w:val="none"/>
          </w:rPr>
          <w:t> </w:t>
        </w:r>
        <w:r w:rsidRPr="002A2C0C">
          <w:rPr>
            <w:rStyle w:val="Hyperlink"/>
            <w:color w:val="auto"/>
            <w:u w:val="none"/>
          </w:rPr>
          <w:t>variation,</w:t>
        </w:r>
        <w:r w:rsidR="00BB482B" w:rsidRPr="002A2C0C">
          <w:rPr>
            <w:rStyle w:val="Hyperlink"/>
            <w:color w:val="auto"/>
            <w:u w:val="none"/>
          </w:rPr>
          <w:t> </w:t>
        </w:r>
        <w:r w:rsidRPr="002A2C0C">
          <w:rPr>
            <w:rStyle w:val="Hyperlink"/>
            <w:color w:val="auto"/>
            <w:u w:val="none"/>
          </w:rPr>
          <w:t>16- to 24</w:t>
        </w:r>
        <w:r w:rsidRPr="002A2C0C">
          <w:rPr>
            <w:rStyle w:val="Hyperlink"/>
            <w:color w:val="auto"/>
            <w:u w:val="none"/>
          </w:rPr>
          <w:noBreakHyphen/>
          <w:t>year</w:t>
        </w:r>
        <w:r w:rsidRPr="002A2C0C">
          <w:rPr>
            <w:rStyle w:val="Hyperlink"/>
            <w:color w:val="auto"/>
            <w:u w:val="none"/>
          </w:rPr>
          <w:noBreakHyphen/>
          <w:t>olds, 2021</w:t>
        </w:r>
        <w:r w:rsidRPr="002A2C0C">
          <w:rPr>
            <w:webHidden/>
          </w:rPr>
          <w:tab/>
        </w:r>
        <w:r w:rsidRPr="002A2C0C">
          <w:rPr>
            <w:webHidden/>
          </w:rPr>
          <w:fldChar w:fldCharType="begin"/>
        </w:r>
        <w:r w:rsidRPr="002A2C0C">
          <w:rPr>
            <w:webHidden/>
          </w:rPr>
          <w:instrText xml:space="preserve"> PAGEREF _Toc187401259 \h </w:instrText>
        </w:r>
        <w:r w:rsidRPr="002A2C0C">
          <w:rPr>
            <w:webHidden/>
          </w:rPr>
        </w:r>
        <w:r w:rsidRPr="002A2C0C">
          <w:rPr>
            <w:webHidden/>
          </w:rPr>
          <w:fldChar w:fldCharType="separate"/>
        </w:r>
        <w:r w:rsidR="002A2C0C" w:rsidRPr="002A2C0C">
          <w:rPr>
            <w:webHidden/>
          </w:rPr>
          <w:t>120</w:t>
        </w:r>
        <w:r w:rsidRPr="002A2C0C">
          <w:rPr>
            <w:webHidden/>
          </w:rPr>
          <w:fldChar w:fldCharType="end"/>
        </w:r>
      </w:hyperlink>
    </w:p>
    <w:p w14:paraId="1A911D95" w14:textId="1D97EE47" w:rsidR="00ED1C8F" w:rsidRPr="002A2C0C" w:rsidRDefault="00ED1C8F" w:rsidP="002A2C0C">
      <w:pPr>
        <w:pStyle w:val="TableofFigures"/>
      </w:pPr>
      <w:hyperlink w:anchor="_Toc187401260" w:history="1">
        <w:r w:rsidRPr="002A2C0C">
          <w:rPr>
            <w:rStyle w:val="Hyperlink"/>
            <w:color w:val="auto"/>
            <w:u w:val="none"/>
          </w:rPr>
          <w:t>Figure 7</w:t>
        </w:r>
        <w:r w:rsidRPr="002A2C0C">
          <w:rPr>
            <w:rStyle w:val="Hyperlink"/>
            <w:color w:val="auto"/>
            <w:u w:val="none"/>
          </w:rPr>
          <w:noBreakHyphen/>
          <w:t>4: Stranger rape myth, 16- to 24-year-olds, 2021</w:t>
        </w:r>
        <w:r w:rsidRPr="002A2C0C">
          <w:rPr>
            <w:webHidden/>
          </w:rPr>
          <w:tab/>
        </w:r>
        <w:r w:rsidRPr="002A2C0C">
          <w:rPr>
            <w:webHidden/>
          </w:rPr>
          <w:fldChar w:fldCharType="begin"/>
        </w:r>
        <w:r w:rsidRPr="002A2C0C">
          <w:rPr>
            <w:webHidden/>
          </w:rPr>
          <w:instrText xml:space="preserve"> PAGEREF _Toc187401260 \h </w:instrText>
        </w:r>
        <w:r w:rsidRPr="002A2C0C">
          <w:rPr>
            <w:webHidden/>
          </w:rPr>
        </w:r>
        <w:r w:rsidRPr="002A2C0C">
          <w:rPr>
            <w:webHidden/>
          </w:rPr>
          <w:fldChar w:fldCharType="separate"/>
        </w:r>
        <w:r w:rsidR="002A2C0C" w:rsidRPr="002A2C0C">
          <w:rPr>
            <w:webHidden/>
          </w:rPr>
          <w:t>121</w:t>
        </w:r>
        <w:r w:rsidRPr="002A2C0C">
          <w:rPr>
            <w:webHidden/>
          </w:rPr>
          <w:fldChar w:fldCharType="end"/>
        </w:r>
      </w:hyperlink>
    </w:p>
    <w:p w14:paraId="4C28A1D6" w14:textId="689CC95F" w:rsidR="00ED1C8F" w:rsidRPr="002A2C0C" w:rsidRDefault="00ED1C8F" w:rsidP="002A2C0C">
      <w:pPr>
        <w:pStyle w:val="TableofFigures"/>
      </w:pPr>
      <w:hyperlink w:anchor="_Toc187401261" w:history="1">
        <w:r w:rsidRPr="002A2C0C">
          <w:rPr>
            <w:rStyle w:val="Hyperlink"/>
            <w:color w:val="auto"/>
            <w:u w:val="none"/>
          </w:rPr>
          <w:t>Figure 7</w:t>
        </w:r>
        <w:r w:rsidRPr="002A2C0C">
          <w:rPr>
            <w:rStyle w:val="Hyperlink"/>
            <w:color w:val="auto"/>
            <w:u w:val="none"/>
          </w:rPr>
          <w:noBreakHyphen/>
          <w:t>5: Understanding of sexual consent in marriage, 16- to 24-year-olds, 2021</w:t>
        </w:r>
        <w:r w:rsidRPr="002A2C0C">
          <w:rPr>
            <w:webHidden/>
          </w:rPr>
          <w:tab/>
        </w:r>
        <w:r w:rsidRPr="002A2C0C">
          <w:rPr>
            <w:webHidden/>
          </w:rPr>
          <w:fldChar w:fldCharType="begin"/>
        </w:r>
        <w:r w:rsidRPr="002A2C0C">
          <w:rPr>
            <w:webHidden/>
          </w:rPr>
          <w:instrText xml:space="preserve"> PAGEREF _Toc187401261 \h </w:instrText>
        </w:r>
        <w:r w:rsidRPr="002A2C0C">
          <w:rPr>
            <w:webHidden/>
          </w:rPr>
        </w:r>
        <w:r w:rsidRPr="002A2C0C">
          <w:rPr>
            <w:webHidden/>
          </w:rPr>
          <w:fldChar w:fldCharType="separate"/>
        </w:r>
        <w:r w:rsidR="002A2C0C" w:rsidRPr="002A2C0C">
          <w:rPr>
            <w:webHidden/>
          </w:rPr>
          <w:t>122</w:t>
        </w:r>
        <w:r w:rsidRPr="002A2C0C">
          <w:rPr>
            <w:webHidden/>
          </w:rPr>
          <w:fldChar w:fldCharType="end"/>
        </w:r>
      </w:hyperlink>
    </w:p>
    <w:p w14:paraId="4DD57E3C" w14:textId="61E62876"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62" w:history="1">
        <w:r w:rsidRPr="00DF1D70">
          <w:rPr>
            <w:rStyle w:val="Hyperlink"/>
          </w:rPr>
          <w:t>Figure 7</w:t>
        </w:r>
        <w:r w:rsidRPr="00DF1D70">
          <w:rPr>
            <w:rStyle w:val="Hyperlink"/>
          </w:rPr>
          <w:noBreakHyphen/>
          <w:t>6: Sharing sexual images online, 16- to 24-year-olds, 2021</w:t>
        </w:r>
        <w:r>
          <w:rPr>
            <w:webHidden/>
          </w:rPr>
          <w:tab/>
        </w:r>
        <w:r>
          <w:rPr>
            <w:webHidden/>
          </w:rPr>
          <w:fldChar w:fldCharType="begin"/>
        </w:r>
        <w:r>
          <w:rPr>
            <w:webHidden/>
          </w:rPr>
          <w:instrText xml:space="preserve"> PAGEREF _Toc187401262 \h </w:instrText>
        </w:r>
        <w:r>
          <w:rPr>
            <w:webHidden/>
          </w:rPr>
        </w:r>
        <w:r>
          <w:rPr>
            <w:webHidden/>
          </w:rPr>
          <w:fldChar w:fldCharType="separate"/>
        </w:r>
        <w:r w:rsidR="002A2C0C">
          <w:rPr>
            <w:webHidden/>
          </w:rPr>
          <w:t>127</w:t>
        </w:r>
        <w:r>
          <w:rPr>
            <w:webHidden/>
          </w:rPr>
          <w:fldChar w:fldCharType="end"/>
        </w:r>
      </w:hyperlink>
    </w:p>
    <w:p w14:paraId="1258A86E" w14:textId="55AB26BC" w:rsidR="00ED1C8F" w:rsidRDefault="00ED1C8F" w:rsidP="002A2C0C">
      <w:pPr>
        <w:pStyle w:val="TableofFigures"/>
        <w:rPr>
          <w:rFonts w:asciiTheme="minorHAnsi" w:eastAsiaTheme="minorEastAsia" w:hAnsiTheme="minorHAnsi" w:cstheme="minorBidi"/>
          <w:sz w:val="24"/>
          <w:szCs w:val="24"/>
          <w:lang w:val="en-AU" w:eastAsia="en-AU"/>
        </w:rPr>
      </w:pPr>
      <w:hyperlink w:anchor="_Toc187401263" w:history="1">
        <w:r w:rsidRPr="00DF1D70">
          <w:rPr>
            <w:rStyle w:val="Hyperlink"/>
          </w:rPr>
          <w:t>Figure 8</w:t>
        </w:r>
        <w:r w:rsidRPr="00DF1D70">
          <w:rPr>
            <w:rStyle w:val="Hyperlink"/>
          </w:rPr>
          <w:noBreakHyphen/>
          <w:t>1: Bystander intention to intervene if bothered by scenario, 16- to 24-year-olds, 2021</w:t>
        </w:r>
        <w:r>
          <w:rPr>
            <w:webHidden/>
          </w:rPr>
          <w:tab/>
        </w:r>
        <w:r>
          <w:rPr>
            <w:webHidden/>
          </w:rPr>
          <w:fldChar w:fldCharType="begin"/>
        </w:r>
        <w:r>
          <w:rPr>
            <w:webHidden/>
          </w:rPr>
          <w:instrText xml:space="preserve"> PAGEREF _Toc187401263 \h </w:instrText>
        </w:r>
        <w:r>
          <w:rPr>
            <w:webHidden/>
          </w:rPr>
        </w:r>
        <w:r>
          <w:rPr>
            <w:webHidden/>
          </w:rPr>
          <w:fldChar w:fldCharType="separate"/>
        </w:r>
        <w:r w:rsidR="002A2C0C">
          <w:rPr>
            <w:webHidden/>
          </w:rPr>
          <w:t>133</w:t>
        </w:r>
        <w:r>
          <w:rPr>
            <w:webHidden/>
          </w:rPr>
          <w:fldChar w:fldCharType="end"/>
        </w:r>
      </w:hyperlink>
    </w:p>
    <w:p w14:paraId="1AC3477D" w14:textId="74CFB8D9" w:rsidR="009D4096" w:rsidRPr="00A35248" w:rsidRDefault="009D4096" w:rsidP="002A2C0C">
      <w:pPr>
        <w:pStyle w:val="H2SectionTitle"/>
        <w:rPr>
          <w:rStyle w:val="RunningHeader"/>
        </w:rPr>
      </w:pPr>
      <w:r>
        <w:lastRenderedPageBreak/>
        <w:fldChar w:fldCharType="end"/>
      </w:r>
      <w:bookmarkStart w:id="11" w:name="_Toc152532361"/>
      <w:bookmarkStart w:id="12" w:name="_Toc190941647"/>
      <w:bookmarkStart w:id="13" w:name="_Toc190942347"/>
      <w:r w:rsidRPr="00A35248">
        <w:rPr>
          <w:noProof/>
        </w:rPr>
        <mc:AlternateContent>
          <mc:Choice Requires="wps">
            <w:drawing>
              <wp:anchor distT="0" distB="0" distL="114300" distR="114300" simplePos="0" relativeHeight="251658242" behindDoc="0" locked="0" layoutInCell="1" allowOverlap="1" wp14:anchorId="29C3B806" wp14:editId="6AC9D2F9">
                <wp:simplePos x="0" y="0"/>
                <wp:positionH relativeFrom="column">
                  <wp:posOffset>5124</wp:posOffset>
                </wp:positionH>
                <wp:positionV relativeFrom="paragraph">
                  <wp:posOffset>109</wp:posOffset>
                </wp:positionV>
                <wp:extent cx="382138" cy="382138"/>
                <wp:effectExtent l="0" t="0" r="0" b="0"/>
                <wp:wrapSquare wrapText="bothSides"/>
                <wp:docPr id="7930797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3C70A" id="Rectangle 2" o:spid="_x0000_s1026" alt="&quot;&quot;" style="position:absolute;margin-left:.4pt;margin-top:0;width:30.1pt;height:30.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Pr="00A35248">
        <w:rPr>
          <w:rStyle w:val="RunningHeader"/>
        </w:rPr>
        <w:t>Tables</w:t>
      </w:r>
      <w:bookmarkEnd w:id="11"/>
      <w:bookmarkEnd w:id="12"/>
      <w:bookmarkEnd w:id="13"/>
    </w:p>
    <w:p w14:paraId="72DB0F74" w14:textId="36A0FEA6" w:rsidR="00C63768" w:rsidRDefault="009D4096" w:rsidP="002A2C0C">
      <w:pPr>
        <w:pStyle w:val="TableofFigures"/>
        <w:rPr>
          <w:rFonts w:asciiTheme="minorHAnsi" w:eastAsiaTheme="minorEastAsia" w:hAnsiTheme="minorHAnsi" w:cstheme="minorBidi"/>
          <w:sz w:val="24"/>
          <w:szCs w:val="24"/>
          <w:lang w:val="en-AU" w:eastAsia="en-AU"/>
        </w:rPr>
      </w:pPr>
      <w:r>
        <w:rPr>
          <w:rFonts w:ascii="Hind SemiBold" w:hAnsi="Hind SemiBold"/>
          <w:lang w:val="en-GB"/>
        </w:rPr>
        <w:fldChar w:fldCharType="begin"/>
      </w:r>
      <w:r>
        <w:rPr>
          <w:lang w:val="en-GB"/>
        </w:rPr>
        <w:instrText xml:space="preserve"> TOC \h \z \c "Table" </w:instrText>
      </w:r>
      <w:r>
        <w:rPr>
          <w:rFonts w:ascii="Hind SemiBold" w:hAnsi="Hind SemiBold"/>
          <w:lang w:val="en-GB"/>
        </w:rPr>
        <w:fldChar w:fldCharType="separate"/>
      </w:r>
      <w:hyperlink w:anchor="_Toc187402240" w:history="1">
        <w:r w:rsidR="00C63768" w:rsidRPr="00970759">
          <w:rPr>
            <w:rStyle w:val="Hyperlink"/>
          </w:rPr>
          <w:t>Table 1</w:t>
        </w:r>
        <w:r w:rsidR="00C63768" w:rsidRPr="00970759">
          <w:rPr>
            <w:rStyle w:val="Hyperlink"/>
          </w:rPr>
          <w:noBreakHyphen/>
          <w:t>1: Socioecological factors that contribute to or facilitate violence against women</w:t>
        </w:r>
        <w:r w:rsidR="00C63768">
          <w:rPr>
            <w:webHidden/>
          </w:rPr>
          <w:tab/>
        </w:r>
        <w:r w:rsidR="00C63768">
          <w:rPr>
            <w:webHidden/>
          </w:rPr>
          <w:fldChar w:fldCharType="begin"/>
        </w:r>
        <w:r w:rsidR="00C63768">
          <w:rPr>
            <w:webHidden/>
          </w:rPr>
          <w:instrText xml:space="preserve"> PAGEREF _Toc187402240 \h </w:instrText>
        </w:r>
        <w:r w:rsidR="00C63768">
          <w:rPr>
            <w:webHidden/>
          </w:rPr>
        </w:r>
        <w:r w:rsidR="00C63768">
          <w:rPr>
            <w:webHidden/>
          </w:rPr>
          <w:fldChar w:fldCharType="separate"/>
        </w:r>
        <w:r w:rsidR="00C63768">
          <w:rPr>
            <w:webHidden/>
          </w:rPr>
          <w:t>41</w:t>
        </w:r>
        <w:r w:rsidR="00C63768">
          <w:rPr>
            <w:webHidden/>
          </w:rPr>
          <w:fldChar w:fldCharType="end"/>
        </w:r>
      </w:hyperlink>
    </w:p>
    <w:p w14:paraId="58ECC0A9" w14:textId="5955E6D1"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1" w:history="1">
        <w:r w:rsidRPr="00970759">
          <w:rPr>
            <w:rStyle w:val="Hyperlink"/>
          </w:rPr>
          <w:t>Table 2</w:t>
        </w:r>
        <w:r w:rsidRPr="00970759">
          <w:rPr>
            <w:rStyle w:val="Hyperlink"/>
          </w:rPr>
          <w:noBreakHyphen/>
          <w:t>1: Youth multiple regression models, 2021</w:t>
        </w:r>
        <w:r>
          <w:rPr>
            <w:webHidden/>
          </w:rPr>
          <w:tab/>
        </w:r>
        <w:r>
          <w:rPr>
            <w:webHidden/>
          </w:rPr>
          <w:fldChar w:fldCharType="begin"/>
        </w:r>
        <w:r>
          <w:rPr>
            <w:webHidden/>
          </w:rPr>
          <w:instrText xml:space="preserve"> PAGEREF _Toc187402241 \h </w:instrText>
        </w:r>
        <w:r>
          <w:rPr>
            <w:webHidden/>
          </w:rPr>
        </w:r>
        <w:r>
          <w:rPr>
            <w:webHidden/>
          </w:rPr>
          <w:fldChar w:fldCharType="separate"/>
        </w:r>
        <w:r>
          <w:rPr>
            <w:webHidden/>
          </w:rPr>
          <w:t>57</w:t>
        </w:r>
        <w:r>
          <w:rPr>
            <w:webHidden/>
          </w:rPr>
          <w:fldChar w:fldCharType="end"/>
        </w:r>
      </w:hyperlink>
    </w:p>
    <w:p w14:paraId="0DA8066A" w14:textId="4F84C8D3"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2" w:history="1">
        <w:r w:rsidRPr="00970759">
          <w:rPr>
            <w:rStyle w:val="Hyperlink"/>
          </w:rPr>
          <w:t>Table 13-1: Recognising domestic violence and violence against women by age, youth groups (UVAWS subscale items), 2021</w:t>
        </w:r>
        <w:r>
          <w:rPr>
            <w:webHidden/>
          </w:rPr>
          <w:tab/>
        </w:r>
        <w:r>
          <w:rPr>
            <w:webHidden/>
          </w:rPr>
          <w:fldChar w:fldCharType="begin"/>
        </w:r>
        <w:r>
          <w:rPr>
            <w:webHidden/>
          </w:rPr>
          <w:instrText xml:space="preserve"> PAGEREF _Toc187402242 \h </w:instrText>
        </w:r>
        <w:r>
          <w:rPr>
            <w:webHidden/>
          </w:rPr>
        </w:r>
        <w:r>
          <w:rPr>
            <w:webHidden/>
          </w:rPr>
          <w:fldChar w:fldCharType="separate"/>
        </w:r>
        <w:r>
          <w:rPr>
            <w:webHidden/>
          </w:rPr>
          <w:t>184</w:t>
        </w:r>
        <w:r>
          <w:rPr>
            <w:webHidden/>
          </w:rPr>
          <w:fldChar w:fldCharType="end"/>
        </w:r>
      </w:hyperlink>
    </w:p>
    <w:p w14:paraId="020ABD05" w14:textId="44B53FCA"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3" w:history="1">
        <w:r w:rsidRPr="00970759">
          <w:rPr>
            <w:rStyle w:val="Hyperlink"/>
          </w:rPr>
          <w:t>Table 13-2:</w:t>
        </w:r>
        <w:r w:rsidR="00172286">
          <w:rPr>
            <w:rStyle w:val="Hyperlink"/>
          </w:rPr>
          <w:t xml:space="preserve"> </w:t>
        </w:r>
        <w:r w:rsidRPr="00970759">
          <w:rPr>
            <w:rStyle w:val="Hyperlink"/>
          </w:rPr>
          <w:t>Understanding of gendered nature of domestic violence by age, youth groups (UVAWS subscale items), 2021</w:t>
        </w:r>
        <w:r>
          <w:rPr>
            <w:webHidden/>
          </w:rPr>
          <w:tab/>
        </w:r>
        <w:r>
          <w:rPr>
            <w:webHidden/>
          </w:rPr>
          <w:fldChar w:fldCharType="begin"/>
        </w:r>
        <w:r>
          <w:rPr>
            <w:webHidden/>
          </w:rPr>
          <w:instrText xml:space="preserve"> PAGEREF _Toc187402243 \h </w:instrText>
        </w:r>
        <w:r>
          <w:rPr>
            <w:webHidden/>
          </w:rPr>
        </w:r>
        <w:r>
          <w:rPr>
            <w:webHidden/>
          </w:rPr>
          <w:fldChar w:fldCharType="separate"/>
        </w:r>
        <w:r>
          <w:rPr>
            <w:webHidden/>
          </w:rPr>
          <w:t>188</w:t>
        </w:r>
        <w:r>
          <w:rPr>
            <w:webHidden/>
          </w:rPr>
          <w:fldChar w:fldCharType="end"/>
        </w:r>
      </w:hyperlink>
    </w:p>
    <w:p w14:paraId="7102183E" w14:textId="785CF52E"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4" w:history="1">
        <w:r w:rsidRPr="00970759">
          <w:rPr>
            <w:rStyle w:val="Hyperlink"/>
          </w:rPr>
          <w:t>Table 13-3: Additional knowledge items by age, youth groups (not part of any scale), 2021</w:t>
        </w:r>
        <w:r>
          <w:rPr>
            <w:webHidden/>
          </w:rPr>
          <w:tab/>
        </w:r>
        <w:r>
          <w:rPr>
            <w:webHidden/>
          </w:rPr>
          <w:fldChar w:fldCharType="begin"/>
        </w:r>
        <w:r>
          <w:rPr>
            <w:webHidden/>
          </w:rPr>
          <w:instrText xml:space="preserve"> PAGEREF _Toc187402244 \h </w:instrText>
        </w:r>
        <w:r>
          <w:rPr>
            <w:webHidden/>
          </w:rPr>
        </w:r>
        <w:r>
          <w:rPr>
            <w:webHidden/>
          </w:rPr>
          <w:fldChar w:fldCharType="separate"/>
        </w:r>
        <w:r>
          <w:rPr>
            <w:webHidden/>
          </w:rPr>
          <w:t>189</w:t>
        </w:r>
        <w:r>
          <w:rPr>
            <w:webHidden/>
          </w:rPr>
          <w:fldChar w:fldCharType="end"/>
        </w:r>
      </w:hyperlink>
    </w:p>
    <w:p w14:paraId="786901E7" w14:textId="2136ECE2"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5" w:history="1">
        <w:r w:rsidRPr="00970759">
          <w:rPr>
            <w:rStyle w:val="Hyperlink"/>
          </w:rPr>
          <w:t>Table 13-4: Criminal offence understanding items by age, youth groups (not part of any scale), 2021</w:t>
        </w:r>
        <w:r>
          <w:rPr>
            <w:webHidden/>
          </w:rPr>
          <w:tab/>
        </w:r>
        <w:r>
          <w:rPr>
            <w:webHidden/>
          </w:rPr>
          <w:fldChar w:fldCharType="begin"/>
        </w:r>
        <w:r>
          <w:rPr>
            <w:webHidden/>
          </w:rPr>
          <w:instrText xml:space="preserve"> PAGEREF _Toc187402245 \h </w:instrText>
        </w:r>
        <w:r>
          <w:rPr>
            <w:webHidden/>
          </w:rPr>
        </w:r>
        <w:r>
          <w:rPr>
            <w:webHidden/>
          </w:rPr>
          <w:fldChar w:fldCharType="separate"/>
        </w:r>
        <w:r>
          <w:rPr>
            <w:webHidden/>
          </w:rPr>
          <w:t>190</w:t>
        </w:r>
        <w:r>
          <w:rPr>
            <w:webHidden/>
          </w:rPr>
          <w:fldChar w:fldCharType="end"/>
        </w:r>
      </w:hyperlink>
    </w:p>
    <w:p w14:paraId="6F7AE3BD" w14:textId="1B292B67"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6" w:history="1">
        <w:r w:rsidRPr="00970759">
          <w:rPr>
            <w:rStyle w:val="Hyperlink"/>
          </w:rPr>
          <w:t>Table 13-5: Awareness of violence against women as a problem in Australia and locally by age,</w:t>
        </w:r>
        <w:r w:rsidR="002A2C0C">
          <w:rPr>
            <w:rStyle w:val="Hyperlink"/>
          </w:rPr>
          <w:br/>
        </w:r>
        <w:r w:rsidRPr="00970759">
          <w:rPr>
            <w:rStyle w:val="Hyperlink"/>
          </w:rPr>
          <w:t>youth</w:t>
        </w:r>
        <w:r>
          <w:rPr>
            <w:rStyle w:val="Hyperlink"/>
          </w:rPr>
          <w:t> </w:t>
        </w:r>
        <w:r w:rsidRPr="00970759">
          <w:rPr>
            <w:rStyle w:val="Hyperlink"/>
          </w:rPr>
          <w:t>groups</w:t>
        </w:r>
        <w:r>
          <w:rPr>
            <w:rStyle w:val="Hyperlink"/>
          </w:rPr>
          <w:t> </w:t>
        </w:r>
        <w:r w:rsidRPr="00970759">
          <w:rPr>
            <w:rStyle w:val="Hyperlink"/>
          </w:rPr>
          <w:t>(not part of any scale), 2021</w:t>
        </w:r>
        <w:r>
          <w:rPr>
            <w:webHidden/>
          </w:rPr>
          <w:tab/>
        </w:r>
        <w:r>
          <w:rPr>
            <w:webHidden/>
          </w:rPr>
          <w:fldChar w:fldCharType="begin"/>
        </w:r>
        <w:r>
          <w:rPr>
            <w:webHidden/>
          </w:rPr>
          <w:instrText xml:space="preserve"> PAGEREF _Toc187402246 \h </w:instrText>
        </w:r>
        <w:r>
          <w:rPr>
            <w:webHidden/>
          </w:rPr>
        </w:r>
        <w:r>
          <w:rPr>
            <w:webHidden/>
          </w:rPr>
          <w:fldChar w:fldCharType="separate"/>
        </w:r>
        <w:r>
          <w:rPr>
            <w:webHidden/>
          </w:rPr>
          <w:t>191</w:t>
        </w:r>
        <w:r>
          <w:rPr>
            <w:webHidden/>
          </w:rPr>
          <w:fldChar w:fldCharType="end"/>
        </w:r>
      </w:hyperlink>
    </w:p>
    <w:p w14:paraId="587FCE5B" w14:textId="532A67A7"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7" w:history="1">
        <w:r w:rsidRPr="00970759">
          <w:rPr>
            <w:rStyle w:val="Hyperlink"/>
          </w:rPr>
          <w:t>Table 13-6: Attitudes towards Gender Inequality Scale (AGIS) items by age, youth groups, 2021</w:t>
        </w:r>
        <w:r>
          <w:rPr>
            <w:webHidden/>
          </w:rPr>
          <w:tab/>
        </w:r>
        <w:r>
          <w:rPr>
            <w:webHidden/>
          </w:rPr>
          <w:fldChar w:fldCharType="begin"/>
        </w:r>
        <w:r>
          <w:rPr>
            <w:webHidden/>
          </w:rPr>
          <w:instrText xml:space="preserve"> PAGEREF _Toc187402247 \h </w:instrText>
        </w:r>
        <w:r>
          <w:rPr>
            <w:webHidden/>
          </w:rPr>
        </w:r>
        <w:r>
          <w:rPr>
            <w:webHidden/>
          </w:rPr>
          <w:fldChar w:fldCharType="separate"/>
        </w:r>
        <w:r>
          <w:rPr>
            <w:webHidden/>
          </w:rPr>
          <w:t>192</w:t>
        </w:r>
        <w:r>
          <w:rPr>
            <w:webHidden/>
          </w:rPr>
          <w:fldChar w:fldCharType="end"/>
        </w:r>
      </w:hyperlink>
    </w:p>
    <w:p w14:paraId="3A1C6D46" w14:textId="1CD74B6F"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8" w:history="1">
        <w:r w:rsidRPr="00970759">
          <w:rPr>
            <w:rStyle w:val="Hyperlink"/>
          </w:rPr>
          <w:t>Table 13-7: Attitudes towards Violence against Women (AVAWS) items by age, youth groups, 2021</w:t>
        </w:r>
        <w:r>
          <w:rPr>
            <w:webHidden/>
          </w:rPr>
          <w:tab/>
        </w:r>
        <w:r>
          <w:rPr>
            <w:webHidden/>
          </w:rPr>
          <w:fldChar w:fldCharType="begin"/>
        </w:r>
        <w:r>
          <w:rPr>
            <w:webHidden/>
          </w:rPr>
          <w:instrText xml:space="preserve"> PAGEREF _Toc187402248 \h </w:instrText>
        </w:r>
        <w:r>
          <w:rPr>
            <w:webHidden/>
          </w:rPr>
        </w:r>
        <w:r>
          <w:rPr>
            <w:webHidden/>
          </w:rPr>
          <w:fldChar w:fldCharType="separate"/>
        </w:r>
        <w:r>
          <w:rPr>
            <w:webHidden/>
          </w:rPr>
          <w:t>197</w:t>
        </w:r>
        <w:r>
          <w:rPr>
            <w:webHidden/>
          </w:rPr>
          <w:fldChar w:fldCharType="end"/>
        </w:r>
      </w:hyperlink>
    </w:p>
    <w:p w14:paraId="6F98E5B4" w14:textId="0A75AC08"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49" w:history="1">
        <w:r w:rsidRPr="00970759">
          <w:rPr>
            <w:rStyle w:val="Hyperlink"/>
          </w:rPr>
          <w:t>Table 14-1: Recognising domestic violence and violence against women by age, all ages (UVAWS</w:t>
        </w:r>
        <w:r>
          <w:rPr>
            <w:rStyle w:val="Hyperlink"/>
          </w:rPr>
          <w:t> </w:t>
        </w:r>
        <w:r w:rsidRPr="00970759">
          <w:rPr>
            <w:rStyle w:val="Hyperlink"/>
          </w:rPr>
          <w:t>subscale</w:t>
        </w:r>
        <w:r>
          <w:rPr>
            <w:rStyle w:val="Hyperlink"/>
          </w:rPr>
          <w:t> </w:t>
        </w:r>
        <w:r w:rsidRPr="00970759">
          <w:rPr>
            <w:rStyle w:val="Hyperlink"/>
          </w:rPr>
          <w:t>items), 2021</w:t>
        </w:r>
        <w:r>
          <w:rPr>
            <w:webHidden/>
          </w:rPr>
          <w:tab/>
        </w:r>
        <w:r>
          <w:rPr>
            <w:webHidden/>
          </w:rPr>
          <w:fldChar w:fldCharType="begin"/>
        </w:r>
        <w:r>
          <w:rPr>
            <w:webHidden/>
          </w:rPr>
          <w:instrText xml:space="preserve"> PAGEREF _Toc187402249 \h </w:instrText>
        </w:r>
        <w:r>
          <w:rPr>
            <w:webHidden/>
          </w:rPr>
        </w:r>
        <w:r>
          <w:rPr>
            <w:webHidden/>
          </w:rPr>
          <w:fldChar w:fldCharType="separate"/>
        </w:r>
        <w:r>
          <w:rPr>
            <w:webHidden/>
          </w:rPr>
          <w:t>211</w:t>
        </w:r>
        <w:r>
          <w:rPr>
            <w:webHidden/>
          </w:rPr>
          <w:fldChar w:fldCharType="end"/>
        </w:r>
      </w:hyperlink>
    </w:p>
    <w:p w14:paraId="57B10AF9" w14:textId="5F55660D"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0" w:history="1">
        <w:r w:rsidRPr="00970759">
          <w:rPr>
            <w:rStyle w:val="Hyperlink"/>
            <w:spacing w:val="-6"/>
          </w:rPr>
          <w:t>Table 14-2: Understanding of gendered nature of domestic violence by age, all ages</w:t>
        </w:r>
        <w:r w:rsidR="002A2C0C">
          <w:rPr>
            <w:rStyle w:val="Hyperlink"/>
            <w:spacing w:val="-6"/>
          </w:rPr>
          <w:br/>
          <w:t>(</w:t>
        </w:r>
        <w:r w:rsidRPr="00970759">
          <w:rPr>
            <w:rStyle w:val="Hyperlink"/>
            <w:spacing w:val="-6"/>
          </w:rPr>
          <w:t>UVAWS</w:t>
        </w:r>
        <w:r>
          <w:rPr>
            <w:rStyle w:val="Hyperlink"/>
            <w:spacing w:val="-6"/>
          </w:rPr>
          <w:t> </w:t>
        </w:r>
        <w:r w:rsidRPr="00970759">
          <w:rPr>
            <w:rStyle w:val="Hyperlink"/>
            <w:spacing w:val="-6"/>
          </w:rPr>
          <w:t>subscale</w:t>
        </w:r>
        <w:r>
          <w:rPr>
            <w:rStyle w:val="Hyperlink"/>
            <w:spacing w:val="-6"/>
          </w:rPr>
          <w:t> </w:t>
        </w:r>
        <w:r w:rsidRPr="00970759">
          <w:rPr>
            <w:rStyle w:val="Hyperlink"/>
            <w:spacing w:val="-6"/>
          </w:rPr>
          <w:t>items),</w:t>
        </w:r>
        <w:r>
          <w:rPr>
            <w:rStyle w:val="Hyperlink"/>
            <w:spacing w:val="-6"/>
          </w:rPr>
          <w:t> </w:t>
        </w:r>
        <w:r w:rsidRPr="00970759">
          <w:rPr>
            <w:rStyle w:val="Hyperlink"/>
            <w:spacing w:val="-6"/>
          </w:rPr>
          <w:t>2021</w:t>
        </w:r>
        <w:r>
          <w:rPr>
            <w:webHidden/>
          </w:rPr>
          <w:tab/>
        </w:r>
        <w:r>
          <w:rPr>
            <w:webHidden/>
          </w:rPr>
          <w:fldChar w:fldCharType="begin"/>
        </w:r>
        <w:r>
          <w:rPr>
            <w:webHidden/>
          </w:rPr>
          <w:instrText xml:space="preserve"> PAGEREF _Toc187402250 \h </w:instrText>
        </w:r>
        <w:r>
          <w:rPr>
            <w:webHidden/>
          </w:rPr>
        </w:r>
        <w:r>
          <w:rPr>
            <w:webHidden/>
          </w:rPr>
          <w:fldChar w:fldCharType="separate"/>
        </w:r>
        <w:r>
          <w:rPr>
            <w:webHidden/>
          </w:rPr>
          <w:t>215</w:t>
        </w:r>
        <w:r>
          <w:rPr>
            <w:webHidden/>
          </w:rPr>
          <w:fldChar w:fldCharType="end"/>
        </w:r>
      </w:hyperlink>
    </w:p>
    <w:p w14:paraId="3DFED18B" w14:textId="6A38F4EF"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1" w:history="1">
        <w:r w:rsidRPr="00970759">
          <w:rPr>
            <w:rStyle w:val="Hyperlink"/>
          </w:rPr>
          <w:t>Table 14-3: Additional knowledge items by age, all ages (not part of any scale), 2021</w:t>
        </w:r>
        <w:r>
          <w:rPr>
            <w:webHidden/>
          </w:rPr>
          <w:tab/>
        </w:r>
        <w:r>
          <w:rPr>
            <w:webHidden/>
          </w:rPr>
          <w:fldChar w:fldCharType="begin"/>
        </w:r>
        <w:r>
          <w:rPr>
            <w:webHidden/>
          </w:rPr>
          <w:instrText xml:space="preserve"> PAGEREF _Toc187402251 \h </w:instrText>
        </w:r>
        <w:r>
          <w:rPr>
            <w:webHidden/>
          </w:rPr>
        </w:r>
        <w:r>
          <w:rPr>
            <w:webHidden/>
          </w:rPr>
          <w:fldChar w:fldCharType="separate"/>
        </w:r>
        <w:r>
          <w:rPr>
            <w:webHidden/>
          </w:rPr>
          <w:t>216</w:t>
        </w:r>
        <w:r>
          <w:rPr>
            <w:webHidden/>
          </w:rPr>
          <w:fldChar w:fldCharType="end"/>
        </w:r>
      </w:hyperlink>
    </w:p>
    <w:p w14:paraId="73B9883A" w14:textId="26196A77"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2" w:history="1">
        <w:r w:rsidRPr="00970759">
          <w:rPr>
            <w:rStyle w:val="Hyperlink"/>
          </w:rPr>
          <w:t>Table 14-4: Criminal offence understanding items by age, all ages (not part of any scale), 2021</w:t>
        </w:r>
        <w:r>
          <w:rPr>
            <w:webHidden/>
          </w:rPr>
          <w:tab/>
        </w:r>
        <w:r>
          <w:rPr>
            <w:webHidden/>
          </w:rPr>
          <w:fldChar w:fldCharType="begin"/>
        </w:r>
        <w:r>
          <w:rPr>
            <w:webHidden/>
          </w:rPr>
          <w:instrText xml:space="preserve"> PAGEREF _Toc187402252 \h </w:instrText>
        </w:r>
        <w:r>
          <w:rPr>
            <w:webHidden/>
          </w:rPr>
        </w:r>
        <w:r>
          <w:rPr>
            <w:webHidden/>
          </w:rPr>
          <w:fldChar w:fldCharType="separate"/>
        </w:r>
        <w:r>
          <w:rPr>
            <w:webHidden/>
          </w:rPr>
          <w:t>217</w:t>
        </w:r>
        <w:r>
          <w:rPr>
            <w:webHidden/>
          </w:rPr>
          <w:fldChar w:fldCharType="end"/>
        </w:r>
      </w:hyperlink>
    </w:p>
    <w:p w14:paraId="2FAC04E5" w14:textId="38161173"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3" w:history="1">
        <w:r w:rsidRPr="00970759">
          <w:rPr>
            <w:rStyle w:val="Hyperlink"/>
          </w:rPr>
          <w:t>Table 14-5: Awareness of violence against women as a problem in Australia and locally by age, all</w:t>
        </w:r>
        <w:r>
          <w:rPr>
            <w:rStyle w:val="Hyperlink"/>
          </w:rPr>
          <w:t> </w:t>
        </w:r>
        <w:r w:rsidRPr="00970759">
          <w:rPr>
            <w:rStyle w:val="Hyperlink"/>
          </w:rPr>
          <w:t>ages</w:t>
        </w:r>
        <w:r>
          <w:rPr>
            <w:rStyle w:val="Hyperlink"/>
          </w:rPr>
          <w:t> </w:t>
        </w:r>
        <w:r w:rsidRPr="00970759">
          <w:rPr>
            <w:rStyle w:val="Hyperlink"/>
          </w:rPr>
          <w:t>(not part of any scale), 2021</w:t>
        </w:r>
        <w:r>
          <w:rPr>
            <w:webHidden/>
          </w:rPr>
          <w:tab/>
        </w:r>
        <w:r>
          <w:rPr>
            <w:webHidden/>
          </w:rPr>
          <w:fldChar w:fldCharType="begin"/>
        </w:r>
        <w:r>
          <w:rPr>
            <w:webHidden/>
          </w:rPr>
          <w:instrText xml:space="preserve"> PAGEREF _Toc187402253 \h </w:instrText>
        </w:r>
        <w:r>
          <w:rPr>
            <w:webHidden/>
          </w:rPr>
        </w:r>
        <w:r>
          <w:rPr>
            <w:webHidden/>
          </w:rPr>
          <w:fldChar w:fldCharType="separate"/>
        </w:r>
        <w:r>
          <w:rPr>
            <w:webHidden/>
          </w:rPr>
          <w:t>218</w:t>
        </w:r>
        <w:r>
          <w:rPr>
            <w:webHidden/>
          </w:rPr>
          <w:fldChar w:fldCharType="end"/>
        </w:r>
      </w:hyperlink>
    </w:p>
    <w:p w14:paraId="7544875A" w14:textId="41A847C9"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4" w:history="1">
        <w:r w:rsidRPr="00970759">
          <w:rPr>
            <w:rStyle w:val="Hyperlink"/>
          </w:rPr>
          <w:t>Table 14-6: Attitudes towards Gender Inequality Scale (AGIS) items by age, all ages, 2021</w:t>
        </w:r>
        <w:r>
          <w:rPr>
            <w:webHidden/>
          </w:rPr>
          <w:tab/>
        </w:r>
        <w:r>
          <w:rPr>
            <w:webHidden/>
          </w:rPr>
          <w:fldChar w:fldCharType="begin"/>
        </w:r>
        <w:r>
          <w:rPr>
            <w:webHidden/>
          </w:rPr>
          <w:instrText xml:space="preserve"> PAGEREF _Toc187402254 \h </w:instrText>
        </w:r>
        <w:r>
          <w:rPr>
            <w:webHidden/>
          </w:rPr>
        </w:r>
        <w:r>
          <w:rPr>
            <w:webHidden/>
          </w:rPr>
          <w:fldChar w:fldCharType="separate"/>
        </w:r>
        <w:r>
          <w:rPr>
            <w:webHidden/>
          </w:rPr>
          <w:t>219</w:t>
        </w:r>
        <w:r>
          <w:rPr>
            <w:webHidden/>
          </w:rPr>
          <w:fldChar w:fldCharType="end"/>
        </w:r>
      </w:hyperlink>
    </w:p>
    <w:p w14:paraId="61097072" w14:textId="6FD6D025"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5" w:history="1">
        <w:r w:rsidRPr="00970759">
          <w:rPr>
            <w:rStyle w:val="Hyperlink"/>
          </w:rPr>
          <w:t>Table 14-7: Attitudes towards Violence against Women Scale (AVAWS) items by age, all ages, 2021</w:t>
        </w:r>
        <w:r>
          <w:rPr>
            <w:webHidden/>
          </w:rPr>
          <w:tab/>
        </w:r>
        <w:r>
          <w:rPr>
            <w:webHidden/>
          </w:rPr>
          <w:fldChar w:fldCharType="begin"/>
        </w:r>
        <w:r>
          <w:rPr>
            <w:webHidden/>
          </w:rPr>
          <w:instrText xml:space="preserve"> PAGEREF _Toc187402255 \h </w:instrText>
        </w:r>
        <w:r>
          <w:rPr>
            <w:webHidden/>
          </w:rPr>
        </w:r>
        <w:r>
          <w:rPr>
            <w:webHidden/>
          </w:rPr>
          <w:fldChar w:fldCharType="separate"/>
        </w:r>
        <w:r>
          <w:rPr>
            <w:webHidden/>
          </w:rPr>
          <w:t>224</w:t>
        </w:r>
        <w:r>
          <w:rPr>
            <w:webHidden/>
          </w:rPr>
          <w:fldChar w:fldCharType="end"/>
        </w:r>
      </w:hyperlink>
    </w:p>
    <w:p w14:paraId="422B9CDB" w14:textId="1EFC0B63"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6" w:history="1">
        <w:r w:rsidRPr="00970759">
          <w:rPr>
            <w:rStyle w:val="Hyperlink"/>
          </w:rPr>
          <w:t>Table 15</w:t>
        </w:r>
        <w:r w:rsidRPr="00970759">
          <w:rPr>
            <w:rStyle w:val="Hyperlink"/>
          </w:rPr>
          <w:noBreakHyphen/>
          <w:t>1: Recognising domestic violence and violence against women by gender,</w:t>
        </w:r>
        <w:r w:rsidR="002A2C0C">
          <w:rPr>
            <w:rStyle w:val="Hyperlink"/>
          </w:rPr>
          <w:br/>
        </w:r>
        <w:r w:rsidRPr="00970759">
          <w:rPr>
            <w:rStyle w:val="Hyperlink"/>
          </w:rPr>
          <w:t>young men and</w:t>
        </w:r>
        <w:r>
          <w:rPr>
            <w:rStyle w:val="Hyperlink"/>
          </w:rPr>
          <w:t> </w:t>
        </w:r>
        <w:r w:rsidRPr="00970759">
          <w:rPr>
            <w:rStyle w:val="Hyperlink"/>
          </w:rPr>
          <w:t>women (UVAWS subscale items), 2021</w:t>
        </w:r>
        <w:r>
          <w:rPr>
            <w:webHidden/>
          </w:rPr>
          <w:tab/>
        </w:r>
        <w:r>
          <w:rPr>
            <w:webHidden/>
          </w:rPr>
          <w:fldChar w:fldCharType="begin"/>
        </w:r>
        <w:r>
          <w:rPr>
            <w:webHidden/>
          </w:rPr>
          <w:instrText xml:space="preserve"> PAGEREF _Toc187402256 \h </w:instrText>
        </w:r>
        <w:r>
          <w:rPr>
            <w:webHidden/>
          </w:rPr>
        </w:r>
        <w:r>
          <w:rPr>
            <w:webHidden/>
          </w:rPr>
          <w:fldChar w:fldCharType="separate"/>
        </w:r>
        <w:r>
          <w:rPr>
            <w:webHidden/>
          </w:rPr>
          <w:t>238</w:t>
        </w:r>
        <w:r>
          <w:rPr>
            <w:webHidden/>
          </w:rPr>
          <w:fldChar w:fldCharType="end"/>
        </w:r>
      </w:hyperlink>
    </w:p>
    <w:p w14:paraId="1E2D566D" w14:textId="464D96AD"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7" w:history="1">
        <w:r w:rsidRPr="00970759">
          <w:rPr>
            <w:rStyle w:val="Hyperlink"/>
          </w:rPr>
          <w:t>Table 15-2: Understanding of gendered nature of domestic violence by gender, young men and</w:t>
        </w:r>
        <w:r>
          <w:rPr>
            <w:rStyle w:val="Hyperlink"/>
          </w:rPr>
          <w:t> </w:t>
        </w:r>
        <w:r w:rsidRPr="00970759">
          <w:rPr>
            <w:rStyle w:val="Hyperlink"/>
          </w:rPr>
          <w:t>women</w:t>
        </w:r>
        <w:r>
          <w:rPr>
            <w:rStyle w:val="Hyperlink"/>
          </w:rPr>
          <w:t> </w:t>
        </w:r>
        <w:r w:rsidRPr="00970759">
          <w:rPr>
            <w:rStyle w:val="Hyperlink"/>
          </w:rPr>
          <w:t>(UVAWS subscale items), 2021</w:t>
        </w:r>
        <w:r>
          <w:rPr>
            <w:webHidden/>
          </w:rPr>
          <w:tab/>
        </w:r>
        <w:r>
          <w:rPr>
            <w:webHidden/>
          </w:rPr>
          <w:fldChar w:fldCharType="begin"/>
        </w:r>
        <w:r>
          <w:rPr>
            <w:webHidden/>
          </w:rPr>
          <w:instrText xml:space="preserve"> PAGEREF _Toc187402257 \h </w:instrText>
        </w:r>
        <w:r>
          <w:rPr>
            <w:webHidden/>
          </w:rPr>
        </w:r>
        <w:r>
          <w:rPr>
            <w:webHidden/>
          </w:rPr>
          <w:fldChar w:fldCharType="separate"/>
        </w:r>
        <w:r>
          <w:rPr>
            <w:webHidden/>
          </w:rPr>
          <w:t>242</w:t>
        </w:r>
        <w:r>
          <w:rPr>
            <w:webHidden/>
          </w:rPr>
          <w:fldChar w:fldCharType="end"/>
        </w:r>
      </w:hyperlink>
    </w:p>
    <w:p w14:paraId="4C595768" w14:textId="299A5027"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8" w:history="1">
        <w:r w:rsidRPr="00970759">
          <w:rPr>
            <w:rStyle w:val="Hyperlink"/>
          </w:rPr>
          <w:t xml:space="preserve">Table 15-3: Additional knowledge items by gender, young men and women </w:t>
        </w:r>
        <w:r>
          <w:rPr>
            <w:rStyle w:val="Hyperlink"/>
          </w:rPr>
          <w:br/>
        </w:r>
        <w:r w:rsidRPr="00970759">
          <w:rPr>
            <w:rStyle w:val="Hyperlink"/>
          </w:rPr>
          <w:t>(not part of any</w:t>
        </w:r>
        <w:r w:rsidRPr="00970759">
          <w:rPr>
            <w:rStyle w:val="Hyperlink"/>
          </w:rPr>
          <w:t xml:space="preserve"> </w:t>
        </w:r>
        <w:r w:rsidRPr="00970759">
          <w:rPr>
            <w:rStyle w:val="Hyperlink"/>
          </w:rPr>
          <w:t>scale), 2021</w:t>
        </w:r>
        <w:r>
          <w:rPr>
            <w:webHidden/>
          </w:rPr>
          <w:tab/>
        </w:r>
        <w:r>
          <w:rPr>
            <w:webHidden/>
          </w:rPr>
          <w:fldChar w:fldCharType="begin"/>
        </w:r>
        <w:r>
          <w:rPr>
            <w:webHidden/>
          </w:rPr>
          <w:instrText xml:space="preserve"> PAGEREF _Toc187402258 \h </w:instrText>
        </w:r>
        <w:r>
          <w:rPr>
            <w:webHidden/>
          </w:rPr>
        </w:r>
        <w:r>
          <w:rPr>
            <w:webHidden/>
          </w:rPr>
          <w:fldChar w:fldCharType="separate"/>
        </w:r>
        <w:r>
          <w:rPr>
            <w:webHidden/>
          </w:rPr>
          <w:t>243</w:t>
        </w:r>
        <w:r>
          <w:rPr>
            <w:webHidden/>
          </w:rPr>
          <w:fldChar w:fldCharType="end"/>
        </w:r>
      </w:hyperlink>
    </w:p>
    <w:p w14:paraId="1A7B1962" w14:textId="2001B1D3"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59" w:history="1">
        <w:r w:rsidRPr="00970759">
          <w:rPr>
            <w:rStyle w:val="Hyperlink"/>
          </w:rPr>
          <w:t>Table 15-5: Awareness of violence against women as a problem in Australia and locally by gender, young</w:t>
        </w:r>
        <w:r>
          <w:rPr>
            <w:rStyle w:val="Hyperlink"/>
          </w:rPr>
          <w:t> </w:t>
        </w:r>
        <w:r w:rsidRPr="00970759">
          <w:rPr>
            <w:rStyle w:val="Hyperlink"/>
          </w:rPr>
          <w:t>men and women (not part of any scale), 2021</w:t>
        </w:r>
        <w:r>
          <w:rPr>
            <w:webHidden/>
          </w:rPr>
          <w:tab/>
        </w:r>
        <w:r>
          <w:rPr>
            <w:webHidden/>
          </w:rPr>
          <w:fldChar w:fldCharType="begin"/>
        </w:r>
        <w:r>
          <w:rPr>
            <w:webHidden/>
          </w:rPr>
          <w:instrText xml:space="preserve"> PAGEREF _Toc187402259 \h </w:instrText>
        </w:r>
        <w:r>
          <w:rPr>
            <w:webHidden/>
          </w:rPr>
        </w:r>
        <w:r>
          <w:rPr>
            <w:webHidden/>
          </w:rPr>
          <w:fldChar w:fldCharType="separate"/>
        </w:r>
        <w:r>
          <w:rPr>
            <w:webHidden/>
          </w:rPr>
          <w:t>245</w:t>
        </w:r>
        <w:r>
          <w:rPr>
            <w:webHidden/>
          </w:rPr>
          <w:fldChar w:fldCharType="end"/>
        </w:r>
      </w:hyperlink>
    </w:p>
    <w:p w14:paraId="7F898DF4" w14:textId="7C0FB454"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60" w:history="1">
        <w:r w:rsidRPr="00970759">
          <w:rPr>
            <w:rStyle w:val="Hyperlink"/>
          </w:rPr>
          <w:t>Table 15-6: Attitudes towards Gender Inequality Scale (AGIS) items by gender, young men and</w:t>
        </w:r>
        <w:r>
          <w:rPr>
            <w:rStyle w:val="Hyperlink"/>
          </w:rPr>
          <w:t> </w:t>
        </w:r>
        <w:r w:rsidRPr="00970759">
          <w:rPr>
            <w:rStyle w:val="Hyperlink"/>
          </w:rPr>
          <w:t>women,</w:t>
        </w:r>
        <w:r>
          <w:rPr>
            <w:rStyle w:val="Hyperlink"/>
          </w:rPr>
          <w:t> </w:t>
        </w:r>
        <w:r w:rsidRPr="00970759">
          <w:rPr>
            <w:rStyle w:val="Hyperlink"/>
          </w:rPr>
          <w:t>2021</w:t>
        </w:r>
        <w:r>
          <w:rPr>
            <w:webHidden/>
          </w:rPr>
          <w:tab/>
        </w:r>
        <w:r>
          <w:rPr>
            <w:webHidden/>
          </w:rPr>
          <w:fldChar w:fldCharType="begin"/>
        </w:r>
        <w:r>
          <w:rPr>
            <w:webHidden/>
          </w:rPr>
          <w:instrText xml:space="preserve"> PAGEREF _Toc187402260 \h </w:instrText>
        </w:r>
        <w:r>
          <w:rPr>
            <w:webHidden/>
          </w:rPr>
        </w:r>
        <w:r>
          <w:rPr>
            <w:webHidden/>
          </w:rPr>
          <w:fldChar w:fldCharType="separate"/>
        </w:r>
        <w:r>
          <w:rPr>
            <w:webHidden/>
          </w:rPr>
          <w:t>246</w:t>
        </w:r>
        <w:r>
          <w:rPr>
            <w:webHidden/>
          </w:rPr>
          <w:fldChar w:fldCharType="end"/>
        </w:r>
      </w:hyperlink>
    </w:p>
    <w:p w14:paraId="5B17C32C" w14:textId="01860211" w:rsidR="00C63768" w:rsidRDefault="00C63768" w:rsidP="002A2C0C">
      <w:pPr>
        <w:pStyle w:val="TableofFigures"/>
        <w:rPr>
          <w:rFonts w:asciiTheme="minorHAnsi" w:eastAsiaTheme="minorEastAsia" w:hAnsiTheme="minorHAnsi" w:cstheme="minorBidi"/>
          <w:sz w:val="24"/>
          <w:szCs w:val="24"/>
          <w:lang w:val="en-AU" w:eastAsia="en-AU"/>
        </w:rPr>
      </w:pPr>
      <w:hyperlink w:anchor="_Toc187402261" w:history="1">
        <w:r w:rsidRPr="00970759">
          <w:rPr>
            <w:rStyle w:val="Hyperlink"/>
          </w:rPr>
          <w:t>Table 15-7: Attitudes towards Violence against Women Scale (AVAWS) items by gender, young men and</w:t>
        </w:r>
        <w:r>
          <w:rPr>
            <w:rStyle w:val="Hyperlink"/>
          </w:rPr>
          <w:t> </w:t>
        </w:r>
        <w:r w:rsidRPr="00970759">
          <w:rPr>
            <w:rStyle w:val="Hyperlink"/>
          </w:rPr>
          <w:t>women, 2021</w:t>
        </w:r>
        <w:r>
          <w:rPr>
            <w:webHidden/>
          </w:rPr>
          <w:tab/>
        </w:r>
        <w:r>
          <w:rPr>
            <w:webHidden/>
          </w:rPr>
          <w:fldChar w:fldCharType="begin"/>
        </w:r>
        <w:r>
          <w:rPr>
            <w:webHidden/>
          </w:rPr>
          <w:instrText xml:space="preserve"> PAGEREF _Toc187402261 \h </w:instrText>
        </w:r>
        <w:r>
          <w:rPr>
            <w:webHidden/>
          </w:rPr>
        </w:r>
        <w:r>
          <w:rPr>
            <w:webHidden/>
          </w:rPr>
          <w:fldChar w:fldCharType="separate"/>
        </w:r>
        <w:r>
          <w:rPr>
            <w:webHidden/>
          </w:rPr>
          <w:t>251</w:t>
        </w:r>
        <w:r>
          <w:rPr>
            <w:webHidden/>
          </w:rPr>
          <w:fldChar w:fldCharType="end"/>
        </w:r>
      </w:hyperlink>
    </w:p>
    <w:p w14:paraId="4F06DEC2" w14:textId="39A760CD" w:rsidR="009D4096" w:rsidRDefault="009D4096" w:rsidP="00C63768">
      <w:pPr>
        <w:spacing w:before="160" w:after="160" w:line="240" w:lineRule="auto"/>
        <w:rPr>
          <w:lang w:val="en-GB"/>
        </w:rPr>
      </w:pPr>
      <w:r>
        <w:rPr>
          <w:lang w:val="en-GB"/>
        </w:rPr>
        <w:fldChar w:fldCharType="end"/>
      </w:r>
      <w:r>
        <w:rPr>
          <w:lang w:val="en-GB"/>
        </w:rPr>
        <w:br w:type="page"/>
      </w:r>
    </w:p>
    <w:bookmarkStart w:id="14" w:name="_Toc190941648"/>
    <w:bookmarkStart w:id="15" w:name="_Toc190942348"/>
    <w:p w14:paraId="453EAD2D" w14:textId="74D35BFF" w:rsidR="00EA4738" w:rsidRPr="00EA4738" w:rsidRDefault="00F24C0C" w:rsidP="008C29F3">
      <w:pPr>
        <w:pStyle w:val="H2SectionTitle"/>
      </w:pPr>
      <w:r>
        <w:rPr>
          <w:noProof/>
        </w:rPr>
        <w:lastRenderedPageBreak/>
        <mc:AlternateContent>
          <mc:Choice Requires="wps">
            <w:drawing>
              <wp:anchor distT="0" distB="0" distL="114300" distR="114300" simplePos="0" relativeHeight="251658243" behindDoc="0" locked="0" layoutInCell="1" allowOverlap="1" wp14:anchorId="39367E10" wp14:editId="08671856">
                <wp:simplePos x="0" y="0"/>
                <wp:positionH relativeFrom="column">
                  <wp:posOffset>5124</wp:posOffset>
                </wp:positionH>
                <wp:positionV relativeFrom="paragraph">
                  <wp:posOffset>-460</wp:posOffset>
                </wp:positionV>
                <wp:extent cx="382138" cy="382138"/>
                <wp:effectExtent l="0" t="0" r="0" b="0"/>
                <wp:wrapSquare wrapText="bothSides"/>
                <wp:docPr id="16827154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A65A5" id="Rectangle 2" o:spid="_x0000_s1026" alt="&quot;&quot;" style="position:absolute;margin-left:.4pt;margin-top:-.05pt;width:30.1pt;height:30.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" fillcolor="#ffcd00" stroked="f" strokeweight="1pt">
                <w10:wrap type="square"/>
              </v:rect>
            </w:pict>
          </mc:Fallback>
        </mc:AlternateContent>
      </w:r>
      <w:r w:rsidR="00EA4738" w:rsidRPr="00EA4738">
        <w:t>Shortened forms</w:t>
      </w:r>
      <w:bookmarkEnd w:id="14"/>
      <w:bookmarkEnd w:id="15"/>
    </w:p>
    <w:tbl>
      <w:tblPr>
        <w:tblStyle w:val="Table-SingleHeaderRow"/>
        <w:tblW w:w="9911" w:type="dxa"/>
        <w:tblLayout w:type="fixed"/>
        <w:tblLook w:val="00A0" w:firstRow="1" w:lastRow="0" w:firstColumn="1" w:lastColumn="0" w:noHBand="0" w:noVBand="0"/>
      </w:tblPr>
      <w:tblGrid>
        <w:gridCol w:w="2385"/>
        <w:gridCol w:w="7526"/>
      </w:tblGrid>
      <w:tr w:rsidR="00DC4289" w:rsidRPr="007D5CED" w14:paraId="348EFFEC" w14:textId="77777777" w:rsidTr="00046A90">
        <w:trPr>
          <w:cnfStyle w:val="100000000000" w:firstRow="1" w:lastRow="0" w:firstColumn="0" w:lastColumn="0" w:oddVBand="0" w:evenVBand="0" w:oddHBand="0" w:evenHBand="0" w:firstRowFirstColumn="0" w:firstRowLastColumn="0" w:lastRowFirstColumn="0" w:lastRowLastColumn="0"/>
          <w:trHeight w:val="23"/>
          <w:tblHeader/>
        </w:trPr>
        <w:tc>
          <w:tcPr>
            <w:cnfStyle w:val="001000000000" w:firstRow="0" w:lastRow="0" w:firstColumn="1" w:lastColumn="0" w:oddVBand="0" w:evenVBand="0" w:oddHBand="0" w:evenHBand="0" w:firstRowFirstColumn="0" w:firstRowLastColumn="0" w:lastRowFirstColumn="0" w:lastRowLastColumn="0"/>
            <w:tcW w:w="2385" w:type="dxa"/>
          </w:tcPr>
          <w:p w14:paraId="7B216629" w14:textId="291E8195" w:rsidR="00DC4289" w:rsidRPr="007D5CED" w:rsidRDefault="00DC4289" w:rsidP="00B83062">
            <w:r>
              <w:t>Shortened form</w:t>
            </w:r>
          </w:p>
        </w:tc>
        <w:tc>
          <w:tcPr>
            <w:tcW w:w="7526" w:type="dxa"/>
          </w:tcPr>
          <w:p w14:paraId="4B591BDE" w14:textId="62EC54B9" w:rsidR="00DC4289" w:rsidRPr="00322A16" w:rsidRDefault="00DC4289" w:rsidP="00B83062">
            <w:pPr>
              <w:cnfStyle w:val="100000000000" w:firstRow="1" w:lastRow="0" w:firstColumn="0" w:lastColumn="0" w:oddVBand="0" w:evenVBand="0" w:oddHBand="0" w:evenHBand="0" w:firstRowFirstColumn="0" w:firstRowLastColumn="0" w:lastRowFirstColumn="0" w:lastRowLastColumn="0"/>
            </w:pPr>
            <w:r w:rsidRPr="00322A16">
              <w:t>Definition</w:t>
            </w:r>
          </w:p>
        </w:tc>
      </w:tr>
      <w:tr w:rsidR="007D5CED" w:rsidRPr="007D5CED" w14:paraId="41F1C4A9" w14:textId="77777777" w:rsidTr="008C29F3">
        <w:trPr>
          <w:trHeight w:val="23"/>
        </w:trPr>
        <w:tc>
          <w:tcPr>
            <w:cnfStyle w:val="001000000000" w:firstRow="0" w:lastRow="0" w:firstColumn="1" w:lastColumn="0" w:oddVBand="0" w:evenVBand="0" w:oddHBand="0" w:evenHBand="0" w:firstRowFirstColumn="0" w:firstRowLastColumn="0" w:lastRowFirstColumn="0" w:lastRowLastColumn="0"/>
            <w:tcW w:w="2385" w:type="dxa"/>
          </w:tcPr>
          <w:p w14:paraId="62D069B7" w14:textId="77777777" w:rsidR="007D5CED" w:rsidRPr="007D5CED" w:rsidRDefault="007D5CED" w:rsidP="00B83062">
            <w:pPr>
              <w:rPr>
                <w:rFonts w:ascii="Hind" w:hAnsi="Hind" w:cs="Hind"/>
                <w:lang w:val="en-GB"/>
              </w:rPr>
            </w:pPr>
            <w:r w:rsidRPr="007D5CED">
              <w:t>ABS</w:t>
            </w:r>
          </w:p>
        </w:tc>
        <w:tc>
          <w:tcPr>
            <w:tcW w:w="7526" w:type="dxa"/>
          </w:tcPr>
          <w:p w14:paraId="70748A7D"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t>Australian Bureau of Statistics</w:t>
            </w:r>
          </w:p>
        </w:tc>
      </w:tr>
      <w:tr w:rsidR="007D5CED" w:rsidRPr="00EA1044" w14:paraId="2BB8B814" w14:textId="77777777" w:rsidTr="008C29F3">
        <w:trPr>
          <w:trHeight w:val="87"/>
        </w:trPr>
        <w:tc>
          <w:tcPr>
            <w:cnfStyle w:val="001000000000" w:firstRow="0" w:lastRow="0" w:firstColumn="1" w:lastColumn="0" w:oddVBand="0" w:evenVBand="0" w:oddHBand="0" w:evenHBand="0" w:firstRowFirstColumn="0" w:firstRowLastColumn="0" w:lastRowFirstColumn="0" w:lastRowLastColumn="0"/>
            <w:tcW w:w="2385" w:type="dxa"/>
          </w:tcPr>
          <w:p w14:paraId="73126CEB" w14:textId="77777777" w:rsidR="007D5CED" w:rsidRPr="007D5CED" w:rsidRDefault="007D5CED" w:rsidP="00B83062">
            <w:pPr>
              <w:rPr>
                <w:lang w:val="en-GB"/>
              </w:rPr>
            </w:pPr>
            <w:r w:rsidRPr="007D5CED">
              <w:t>AGIS</w:t>
            </w:r>
          </w:p>
        </w:tc>
        <w:tc>
          <w:tcPr>
            <w:tcW w:w="7526" w:type="dxa"/>
          </w:tcPr>
          <w:p w14:paraId="24E9784C"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Attitudes towards Gender Inequality Scale</w:t>
            </w:r>
          </w:p>
        </w:tc>
      </w:tr>
      <w:tr w:rsidR="007D5CED" w:rsidRPr="00EA1044" w14:paraId="5C796F5C" w14:textId="77777777" w:rsidTr="008C29F3">
        <w:trPr>
          <w:trHeight w:val="39"/>
        </w:trPr>
        <w:tc>
          <w:tcPr>
            <w:cnfStyle w:val="001000000000" w:firstRow="0" w:lastRow="0" w:firstColumn="1" w:lastColumn="0" w:oddVBand="0" w:evenVBand="0" w:oddHBand="0" w:evenHBand="0" w:firstRowFirstColumn="0" w:firstRowLastColumn="0" w:lastRowFirstColumn="0" w:lastRowLastColumn="0"/>
            <w:tcW w:w="2385" w:type="dxa"/>
          </w:tcPr>
          <w:p w14:paraId="687AA125" w14:textId="77777777" w:rsidR="007D5CED" w:rsidRPr="007D5CED" w:rsidRDefault="007D5CED" w:rsidP="00B83062">
            <w:pPr>
              <w:rPr>
                <w:lang w:val="en-GB"/>
              </w:rPr>
            </w:pPr>
            <w:r w:rsidRPr="007D5CED">
              <w:t>AIHW</w:t>
            </w:r>
          </w:p>
        </w:tc>
        <w:tc>
          <w:tcPr>
            <w:tcW w:w="7526" w:type="dxa"/>
          </w:tcPr>
          <w:p w14:paraId="4384E607"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Australian Institute of Health and Welfare</w:t>
            </w:r>
          </w:p>
        </w:tc>
      </w:tr>
      <w:tr w:rsidR="007D5CED" w:rsidRPr="00EA1044" w14:paraId="2F4613EE" w14:textId="77777777" w:rsidTr="008C29F3">
        <w:trPr>
          <w:trHeight w:val="105"/>
        </w:trPr>
        <w:tc>
          <w:tcPr>
            <w:cnfStyle w:val="001000000000" w:firstRow="0" w:lastRow="0" w:firstColumn="1" w:lastColumn="0" w:oddVBand="0" w:evenVBand="0" w:oddHBand="0" w:evenHBand="0" w:firstRowFirstColumn="0" w:firstRowLastColumn="0" w:lastRowFirstColumn="0" w:lastRowLastColumn="0"/>
            <w:tcW w:w="2385" w:type="dxa"/>
          </w:tcPr>
          <w:p w14:paraId="39B20DF0" w14:textId="77777777" w:rsidR="007D5CED" w:rsidRPr="007D5CED" w:rsidRDefault="007D5CED" w:rsidP="00B83062">
            <w:pPr>
              <w:rPr>
                <w:lang w:val="en-GB"/>
              </w:rPr>
            </w:pPr>
            <w:r w:rsidRPr="007D5CED">
              <w:t>ANROWS</w:t>
            </w:r>
          </w:p>
        </w:tc>
        <w:tc>
          <w:tcPr>
            <w:tcW w:w="7526" w:type="dxa"/>
          </w:tcPr>
          <w:p w14:paraId="7ECD9124"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t>Australia’s National Research Organisation for Women’s Safety</w:t>
            </w:r>
          </w:p>
        </w:tc>
      </w:tr>
      <w:tr w:rsidR="007D5CED" w:rsidRPr="00EA1044" w14:paraId="2901255C" w14:textId="77777777" w:rsidTr="008C29F3">
        <w:trPr>
          <w:trHeight w:val="327"/>
        </w:trPr>
        <w:tc>
          <w:tcPr>
            <w:cnfStyle w:val="001000000000" w:firstRow="0" w:lastRow="0" w:firstColumn="1" w:lastColumn="0" w:oddVBand="0" w:evenVBand="0" w:oddHBand="0" w:evenHBand="0" w:firstRowFirstColumn="0" w:firstRowLastColumn="0" w:lastRowFirstColumn="0" w:lastRowLastColumn="0"/>
            <w:tcW w:w="2385" w:type="dxa"/>
          </w:tcPr>
          <w:p w14:paraId="2E77630F" w14:textId="77777777" w:rsidR="007D5CED" w:rsidRPr="007D5CED" w:rsidRDefault="007D5CED" w:rsidP="00B83062">
            <w:pPr>
              <w:rPr>
                <w:lang w:val="en-GB"/>
              </w:rPr>
            </w:pPr>
            <w:r w:rsidRPr="007D5CED">
              <w:t>AVAWS</w:t>
            </w:r>
          </w:p>
        </w:tc>
        <w:tc>
          <w:tcPr>
            <w:tcW w:w="7526" w:type="dxa"/>
          </w:tcPr>
          <w:p w14:paraId="352008DF"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t>Attitudes towards Violence against Women Scale</w:t>
            </w:r>
          </w:p>
        </w:tc>
      </w:tr>
      <w:tr w:rsidR="007D5CED" w:rsidRPr="007D5CED" w14:paraId="741C1794" w14:textId="77777777" w:rsidTr="008C29F3">
        <w:trPr>
          <w:trHeight w:val="223"/>
        </w:trPr>
        <w:tc>
          <w:tcPr>
            <w:cnfStyle w:val="001000000000" w:firstRow="0" w:lastRow="0" w:firstColumn="1" w:lastColumn="0" w:oddVBand="0" w:evenVBand="0" w:oddHBand="0" w:evenHBand="0" w:firstRowFirstColumn="0" w:firstRowLastColumn="0" w:lastRowFirstColumn="0" w:lastRowLastColumn="0"/>
            <w:tcW w:w="2385" w:type="dxa"/>
          </w:tcPr>
          <w:p w14:paraId="2C0305CD" w14:textId="77777777" w:rsidR="007D5CED" w:rsidRPr="007D5CED" w:rsidRDefault="007D5CED" w:rsidP="00B83062">
            <w:pPr>
              <w:rPr>
                <w:lang w:val="en-GB"/>
              </w:rPr>
            </w:pPr>
            <w:r w:rsidRPr="007D5CED">
              <w:t>COAG</w:t>
            </w:r>
          </w:p>
        </w:tc>
        <w:tc>
          <w:tcPr>
            <w:tcW w:w="7526" w:type="dxa"/>
          </w:tcPr>
          <w:p w14:paraId="0B0258FA"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Council of Australian Governments</w:t>
            </w:r>
          </w:p>
        </w:tc>
      </w:tr>
      <w:tr w:rsidR="007D5CED" w:rsidRPr="007D5CED" w14:paraId="128B5A0A" w14:textId="77777777" w:rsidTr="008C29F3">
        <w:trPr>
          <w:trHeight w:val="161"/>
        </w:trPr>
        <w:tc>
          <w:tcPr>
            <w:cnfStyle w:val="001000000000" w:firstRow="0" w:lastRow="0" w:firstColumn="1" w:lastColumn="0" w:oddVBand="0" w:evenVBand="0" w:oddHBand="0" w:evenHBand="0" w:firstRowFirstColumn="0" w:firstRowLastColumn="0" w:lastRowFirstColumn="0" w:lastRowLastColumn="0"/>
            <w:tcW w:w="2385" w:type="dxa"/>
          </w:tcPr>
          <w:p w14:paraId="74C181C6" w14:textId="77777777" w:rsidR="007D5CED" w:rsidRPr="007D5CED" w:rsidRDefault="007D5CED" w:rsidP="00B83062">
            <w:pPr>
              <w:rPr>
                <w:lang w:val="en-GB"/>
              </w:rPr>
            </w:pPr>
            <w:r w:rsidRPr="007D5CED">
              <w:t>DSS</w:t>
            </w:r>
          </w:p>
        </w:tc>
        <w:tc>
          <w:tcPr>
            <w:tcW w:w="7526" w:type="dxa"/>
          </w:tcPr>
          <w:p w14:paraId="3E9C7042"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Department of Social Services</w:t>
            </w:r>
          </w:p>
        </w:tc>
      </w:tr>
      <w:tr w:rsidR="007D5CED" w:rsidRPr="007D5CED" w14:paraId="0941F328" w14:textId="77777777" w:rsidTr="008C29F3">
        <w:trPr>
          <w:trHeight w:val="99"/>
        </w:trPr>
        <w:tc>
          <w:tcPr>
            <w:cnfStyle w:val="001000000000" w:firstRow="0" w:lastRow="0" w:firstColumn="1" w:lastColumn="0" w:oddVBand="0" w:evenVBand="0" w:oddHBand="0" w:evenHBand="0" w:firstRowFirstColumn="0" w:firstRowLastColumn="0" w:lastRowFirstColumn="0" w:lastRowLastColumn="0"/>
            <w:tcW w:w="2385" w:type="dxa"/>
          </w:tcPr>
          <w:p w14:paraId="0709DEBE" w14:textId="77777777" w:rsidR="007D5CED" w:rsidRPr="007D5CED" w:rsidRDefault="007D5CED" w:rsidP="00B83062">
            <w:pPr>
              <w:rPr>
                <w:lang w:val="en-GB"/>
              </w:rPr>
            </w:pPr>
            <w:r w:rsidRPr="007D5CED">
              <w:t>DVS</w:t>
            </w:r>
          </w:p>
        </w:tc>
        <w:tc>
          <w:tcPr>
            <w:tcW w:w="7526" w:type="dxa"/>
          </w:tcPr>
          <w:p w14:paraId="20B2DFD7"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Domestic Violence Scale</w:t>
            </w:r>
          </w:p>
        </w:tc>
      </w:tr>
      <w:tr w:rsidR="007D5CED" w:rsidRPr="00EA1044" w14:paraId="70D968E0" w14:textId="77777777" w:rsidTr="008C29F3">
        <w:trPr>
          <w:trHeight w:val="37"/>
        </w:trPr>
        <w:tc>
          <w:tcPr>
            <w:cnfStyle w:val="001000000000" w:firstRow="0" w:lastRow="0" w:firstColumn="1" w:lastColumn="0" w:oddVBand="0" w:evenVBand="0" w:oddHBand="0" w:evenHBand="0" w:firstRowFirstColumn="0" w:firstRowLastColumn="0" w:lastRowFirstColumn="0" w:lastRowLastColumn="0"/>
            <w:tcW w:w="2385" w:type="dxa"/>
          </w:tcPr>
          <w:p w14:paraId="4219F3E9" w14:textId="77777777" w:rsidR="007D5CED" w:rsidRPr="007D5CED" w:rsidRDefault="007D5CED" w:rsidP="00B83062">
            <w:pPr>
              <w:rPr>
                <w:lang w:val="en-GB"/>
              </w:rPr>
            </w:pPr>
            <w:r w:rsidRPr="007D5CED">
              <w:t>GVIS</w:t>
            </w:r>
          </w:p>
        </w:tc>
        <w:tc>
          <w:tcPr>
            <w:tcW w:w="7526" w:type="dxa"/>
          </w:tcPr>
          <w:p w14:paraId="78AF1C30"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Gendered Violence and Inequality Scale</w:t>
            </w:r>
          </w:p>
        </w:tc>
      </w:tr>
      <w:tr w:rsidR="007D5CED" w:rsidRPr="00EA1044" w14:paraId="16C077FB" w14:textId="77777777" w:rsidTr="008C29F3">
        <w:trPr>
          <w:trHeight w:val="400"/>
        </w:trPr>
        <w:tc>
          <w:tcPr>
            <w:cnfStyle w:val="001000000000" w:firstRow="0" w:lastRow="0" w:firstColumn="1" w:lastColumn="0" w:oddVBand="0" w:evenVBand="0" w:oddHBand="0" w:evenHBand="0" w:firstRowFirstColumn="0" w:firstRowLastColumn="0" w:lastRowFirstColumn="0" w:lastRowLastColumn="0"/>
            <w:tcW w:w="2385" w:type="dxa"/>
          </w:tcPr>
          <w:p w14:paraId="5F995AED" w14:textId="77777777" w:rsidR="007D5CED" w:rsidRPr="007D5CED" w:rsidRDefault="007D5CED" w:rsidP="00B83062">
            <w:pPr>
              <w:rPr>
                <w:lang w:val="en-GB"/>
              </w:rPr>
            </w:pPr>
            <w:r w:rsidRPr="007D5CED">
              <w:t>LGBTQ+</w:t>
            </w:r>
          </w:p>
        </w:tc>
        <w:tc>
          <w:tcPr>
            <w:tcW w:w="7526" w:type="dxa"/>
          </w:tcPr>
          <w:p w14:paraId="19421230"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An evolving acronym that stands for lesbian, gay, bisexual, trans gender, queer/questioning, asexual and other sexuality- or gender-diverse people</w:t>
            </w:r>
          </w:p>
        </w:tc>
      </w:tr>
      <w:tr w:rsidR="007D5CED" w:rsidRPr="007D5CED" w14:paraId="10861EDC" w14:textId="77777777" w:rsidTr="008C29F3">
        <w:trPr>
          <w:trHeight w:val="640"/>
        </w:trPr>
        <w:tc>
          <w:tcPr>
            <w:cnfStyle w:val="001000000000" w:firstRow="0" w:lastRow="0" w:firstColumn="1" w:lastColumn="0" w:oddVBand="0" w:evenVBand="0" w:oddHBand="0" w:evenHBand="0" w:firstRowFirstColumn="0" w:firstRowLastColumn="0" w:lastRowFirstColumn="0" w:lastRowLastColumn="0"/>
            <w:tcW w:w="2385" w:type="dxa"/>
          </w:tcPr>
          <w:p w14:paraId="70C7A907" w14:textId="77777777" w:rsidR="007D5CED" w:rsidRPr="007D5CED" w:rsidRDefault="007D5CED" w:rsidP="00B83062">
            <w:pPr>
              <w:rPr>
                <w:lang w:val="en-GB"/>
              </w:rPr>
            </w:pPr>
            <w:r w:rsidRPr="007D5CED">
              <w:t>Main report</w:t>
            </w:r>
          </w:p>
        </w:tc>
        <w:tc>
          <w:tcPr>
            <w:tcW w:w="7526" w:type="dxa"/>
          </w:tcPr>
          <w:p w14:paraId="36AC715F"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Coumarelos, C., Weeks, N., Bernstein, S., Roberts, N., Honey, N., Minter, K., &amp; Carlisle, E. (2023a). </w:t>
            </w:r>
            <w:r w:rsidRPr="0073256E">
              <w:rPr>
                <w:rStyle w:val="Emphasis"/>
              </w:rPr>
              <w:t xml:space="preserve">Attitudes matter: The 2021 National Community Attitudes towards Violence against Women Survey (NCAS), Findings for Australia. </w:t>
            </w:r>
            <w:r w:rsidRPr="007D5CED">
              <w:rPr>
                <w:lang w:val="en-GB"/>
              </w:rPr>
              <w:t>ANROWS.</w:t>
            </w:r>
          </w:p>
        </w:tc>
      </w:tr>
      <w:tr w:rsidR="007D5CED" w:rsidRPr="00EA1044" w14:paraId="09B57032" w14:textId="77777777" w:rsidTr="008C29F3">
        <w:trPr>
          <w:trHeight w:val="175"/>
        </w:trPr>
        <w:tc>
          <w:tcPr>
            <w:cnfStyle w:val="001000000000" w:firstRow="0" w:lastRow="0" w:firstColumn="1" w:lastColumn="0" w:oddVBand="0" w:evenVBand="0" w:oddHBand="0" w:evenHBand="0" w:firstRowFirstColumn="0" w:firstRowLastColumn="0" w:lastRowFirstColumn="0" w:lastRowLastColumn="0"/>
            <w:tcW w:w="2385" w:type="dxa"/>
          </w:tcPr>
          <w:p w14:paraId="045A8D21" w14:textId="77777777" w:rsidR="007D5CED" w:rsidRPr="007D5CED" w:rsidRDefault="007D5CED" w:rsidP="00B83062">
            <w:pPr>
              <w:rPr>
                <w:lang w:val="en-GB"/>
              </w:rPr>
            </w:pPr>
            <w:r w:rsidRPr="007D5CED">
              <w:t xml:space="preserve">National Plan </w:t>
            </w:r>
            <w:r w:rsidRPr="007D5CED">
              <w:br/>
              <w:t>2010–2022</w:t>
            </w:r>
          </w:p>
        </w:tc>
        <w:tc>
          <w:tcPr>
            <w:tcW w:w="7526" w:type="dxa"/>
          </w:tcPr>
          <w:p w14:paraId="20E4EF1A"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3256E">
              <w:rPr>
                <w:rStyle w:val="Emphasis"/>
              </w:rPr>
              <w:t xml:space="preserve">National Plan to Reduce Violence against Women and their Children </w:t>
            </w:r>
            <w:r w:rsidRPr="0073256E">
              <w:rPr>
                <w:rStyle w:val="Emphasis"/>
              </w:rPr>
              <w:br/>
              <w:t>2010–2022</w:t>
            </w:r>
          </w:p>
        </w:tc>
      </w:tr>
      <w:tr w:rsidR="007D5CED" w:rsidRPr="00EA1044" w14:paraId="028A92C5" w14:textId="77777777" w:rsidTr="008C29F3">
        <w:trPr>
          <w:trHeight w:val="130"/>
        </w:trPr>
        <w:tc>
          <w:tcPr>
            <w:cnfStyle w:val="001000000000" w:firstRow="0" w:lastRow="0" w:firstColumn="1" w:lastColumn="0" w:oddVBand="0" w:evenVBand="0" w:oddHBand="0" w:evenHBand="0" w:firstRowFirstColumn="0" w:firstRowLastColumn="0" w:lastRowFirstColumn="0" w:lastRowLastColumn="0"/>
            <w:tcW w:w="2385" w:type="dxa"/>
          </w:tcPr>
          <w:p w14:paraId="109DE70A" w14:textId="77777777" w:rsidR="007D5CED" w:rsidRPr="007D5CED" w:rsidRDefault="007D5CED" w:rsidP="00B83062">
            <w:pPr>
              <w:rPr>
                <w:lang w:val="en-GB"/>
              </w:rPr>
            </w:pPr>
            <w:r w:rsidRPr="007D5CED">
              <w:t xml:space="preserve">National Plan </w:t>
            </w:r>
            <w:r w:rsidRPr="007D5CED">
              <w:br/>
              <w:t>2022–2032</w:t>
            </w:r>
          </w:p>
        </w:tc>
        <w:tc>
          <w:tcPr>
            <w:tcW w:w="7526" w:type="dxa"/>
          </w:tcPr>
          <w:p w14:paraId="14B518F1"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3256E">
              <w:rPr>
                <w:rStyle w:val="Emphasis"/>
              </w:rPr>
              <w:t>National Plan to End Violence against Women and Children 2022–2032</w:t>
            </w:r>
          </w:p>
        </w:tc>
      </w:tr>
      <w:tr w:rsidR="007D5CED" w:rsidRPr="00EA1044" w14:paraId="0F75321A" w14:textId="77777777" w:rsidTr="008C29F3">
        <w:trPr>
          <w:trHeight w:val="73"/>
        </w:trPr>
        <w:tc>
          <w:tcPr>
            <w:cnfStyle w:val="001000000000" w:firstRow="0" w:lastRow="0" w:firstColumn="1" w:lastColumn="0" w:oddVBand="0" w:evenVBand="0" w:oddHBand="0" w:evenHBand="0" w:firstRowFirstColumn="0" w:firstRowLastColumn="0" w:lastRowFirstColumn="0" w:lastRowLastColumn="0"/>
            <w:tcW w:w="2385" w:type="dxa"/>
          </w:tcPr>
          <w:p w14:paraId="192D5268" w14:textId="77777777" w:rsidR="007D5CED" w:rsidRPr="007D5CED" w:rsidRDefault="007D5CED" w:rsidP="00B83062">
            <w:pPr>
              <w:rPr>
                <w:lang w:val="en-GB"/>
              </w:rPr>
            </w:pPr>
            <w:r w:rsidRPr="007D5CED">
              <w:t>NCAS</w:t>
            </w:r>
          </w:p>
        </w:tc>
        <w:tc>
          <w:tcPr>
            <w:tcW w:w="7526" w:type="dxa"/>
          </w:tcPr>
          <w:p w14:paraId="7ABF1428"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National Community Attitudes towards Violence against Women Survey</w:t>
            </w:r>
          </w:p>
        </w:tc>
      </w:tr>
      <w:tr w:rsidR="007D5CED" w:rsidRPr="007D5CED" w14:paraId="22A74627" w14:textId="77777777" w:rsidTr="008C29F3">
        <w:trPr>
          <w:trHeight w:val="477"/>
        </w:trPr>
        <w:tc>
          <w:tcPr>
            <w:cnfStyle w:val="001000000000" w:firstRow="0" w:lastRow="0" w:firstColumn="1" w:lastColumn="0" w:oddVBand="0" w:evenVBand="0" w:oddHBand="0" w:evenHBand="0" w:firstRowFirstColumn="0" w:firstRowLastColumn="0" w:lastRowFirstColumn="0" w:lastRowLastColumn="0"/>
            <w:tcW w:w="2385" w:type="dxa"/>
          </w:tcPr>
          <w:p w14:paraId="1E0FD4C2" w14:textId="77777777" w:rsidR="007D5CED" w:rsidRPr="007D5CED" w:rsidRDefault="007D5CED" w:rsidP="00B83062">
            <w:pPr>
              <w:rPr>
                <w:lang w:val="en-GB"/>
              </w:rPr>
            </w:pPr>
            <w:r w:rsidRPr="007D5CED">
              <w:t>PSS</w:t>
            </w:r>
          </w:p>
        </w:tc>
        <w:tc>
          <w:tcPr>
            <w:tcW w:w="7526" w:type="dxa"/>
          </w:tcPr>
          <w:p w14:paraId="6061CAA0"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Personal Safety Survey </w:t>
            </w:r>
          </w:p>
        </w:tc>
      </w:tr>
      <w:tr w:rsidR="007D5CED" w:rsidRPr="007D5CED" w14:paraId="7C92ED38" w14:textId="77777777" w:rsidTr="008C29F3">
        <w:trPr>
          <w:trHeight w:val="236"/>
        </w:trPr>
        <w:tc>
          <w:tcPr>
            <w:cnfStyle w:val="001000000000" w:firstRow="0" w:lastRow="0" w:firstColumn="1" w:lastColumn="0" w:oddVBand="0" w:evenVBand="0" w:oddHBand="0" w:evenHBand="0" w:firstRowFirstColumn="0" w:firstRowLastColumn="0" w:lastRowFirstColumn="0" w:lastRowLastColumn="0"/>
            <w:tcW w:w="2385" w:type="dxa"/>
          </w:tcPr>
          <w:p w14:paraId="063AFA79" w14:textId="77777777" w:rsidR="007D5CED" w:rsidRPr="007D5CED" w:rsidRDefault="007D5CED" w:rsidP="00B83062">
            <w:pPr>
              <w:rPr>
                <w:lang w:val="en-GB"/>
              </w:rPr>
            </w:pPr>
            <w:r w:rsidRPr="007D5CED">
              <w:t>Recognise DV Subscale</w:t>
            </w:r>
          </w:p>
        </w:tc>
        <w:tc>
          <w:tcPr>
            <w:tcW w:w="7526" w:type="dxa"/>
          </w:tcPr>
          <w:p w14:paraId="1FA79F31"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Recognise Domestic Violence Subscale</w:t>
            </w:r>
          </w:p>
        </w:tc>
      </w:tr>
      <w:tr w:rsidR="007D5CED" w:rsidRPr="00EA1044" w14:paraId="20D7FE9A" w14:textId="77777777" w:rsidTr="008C29F3">
        <w:trPr>
          <w:trHeight w:val="334"/>
        </w:trPr>
        <w:tc>
          <w:tcPr>
            <w:cnfStyle w:val="001000000000" w:firstRow="0" w:lastRow="0" w:firstColumn="1" w:lastColumn="0" w:oddVBand="0" w:evenVBand="0" w:oddHBand="0" w:evenHBand="0" w:firstRowFirstColumn="0" w:firstRowLastColumn="0" w:lastRowFirstColumn="0" w:lastRowLastColumn="0"/>
            <w:tcW w:w="2385" w:type="dxa"/>
          </w:tcPr>
          <w:p w14:paraId="2BA3760E" w14:textId="77777777" w:rsidR="007D5CED" w:rsidRPr="007D5CED" w:rsidRDefault="007D5CED" w:rsidP="00B83062">
            <w:pPr>
              <w:rPr>
                <w:lang w:val="en-GB"/>
              </w:rPr>
            </w:pPr>
            <w:r w:rsidRPr="007D5CED">
              <w:t>Recognise VAW Subscale</w:t>
            </w:r>
          </w:p>
        </w:tc>
        <w:tc>
          <w:tcPr>
            <w:tcW w:w="7526" w:type="dxa"/>
          </w:tcPr>
          <w:p w14:paraId="38F4C28A"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Recognise Violence Against Women Subscale</w:t>
            </w:r>
          </w:p>
        </w:tc>
      </w:tr>
      <w:tr w:rsidR="007D5CED" w:rsidRPr="007D5CED" w14:paraId="73C0B456" w14:textId="77777777" w:rsidTr="008C29F3">
        <w:trPr>
          <w:trHeight w:val="147"/>
        </w:trPr>
        <w:tc>
          <w:tcPr>
            <w:cnfStyle w:val="001000000000" w:firstRow="0" w:lastRow="0" w:firstColumn="1" w:lastColumn="0" w:oddVBand="0" w:evenVBand="0" w:oddHBand="0" w:evenHBand="0" w:firstRowFirstColumn="0" w:firstRowLastColumn="0" w:lastRowFirstColumn="0" w:lastRowLastColumn="0"/>
            <w:tcW w:w="2385" w:type="dxa"/>
          </w:tcPr>
          <w:p w14:paraId="194F24F4" w14:textId="77777777" w:rsidR="007D5CED" w:rsidRPr="007D5CED" w:rsidRDefault="007D5CED" w:rsidP="00B83062">
            <w:pPr>
              <w:rPr>
                <w:lang w:val="en-GB"/>
              </w:rPr>
            </w:pPr>
            <w:r w:rsidRPr="007D5CED">
              <w:t>RRE</w:t>
            </w:r>
          </w:p>
        </w:tc>
        <w:tc>
          <w:tcPr>
            <w:tcW w:w="7526" w:type="dxa"/>
          </w:tcPr>
          <w:p w14:paraId="0C49514D" w14:textId="0D09E9EC" w:rsidR="007D5CED" w:rsidRPr="007D5CED" w:rsidRDefault="00585B60" w:rsidP="00B83062">
            <w:pPr>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7D5CED" w:rsidRPr="007D5CED">
              <w:rPr>
                <w:lang w:val="en-GB"/>
              </w:rPr>
              <w:t>espectful relationships education</w:t>
            </w:r>
          </w:p>
        </w:tc>
      </w:tr>
      <w:tr w:rsidR="007D5CED" w:rsidRPr="007D5CED" w14:paraId="3242825B" w14:textId="77777777" w:rsidTr="008C29F3">
        <w:trPr>
          <w:trHeight w:val="23"/>
        </w:trPr>
        <w:tc>
          <w:tcPr>
            <w:cnfStyle w:val="001000000000" w:firstRow="0" w:lastRow="0" w:firstColumn="1" w:lastColumn="0" w:oddVBand="0" w:evenVBand="0" w:oddHBand="0" w:evenHBand="0" w:firstRowFirstColumn="0" w:firstRowLastColumn="0" w:lastRowFirstColumn="0" w:lastRowLastColumn="0"/>
            <w:tcW w:w="2385" w:type="dxa"/>
          </w:tcPr>
          <w:p w14:paraId="42D33E61" w14:textId="77777777" w:rsidR="007D5CED" w:rsidRPr="007D5CED" w:rsidRDefault="007D5CED" w:rsidP="00B83062">
            <w:pPr>
              <w:rPr>
                <w:lang w:val="en-GB"/>
              </w:rPr>
            </w:pPr>
            <w:r w:rsidRPr="007D5CED">
              <w:t>SAS</w:t>
            </w:r>
          </w:p>
        </w:tc>
        <w:tc>
          <w:tcPr>
            <w:tcW w:w="7526" w:type="dxa"/>
          </w:tcPr>
          <w:p w14:paraId="3D0CE1E2"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Sexual Assault Scale</w:t>
            </w:r>
          </w:p>
        </w:tc>
      </w:tr>
      <w:tr w:rsidR="007D5CED" w:rsidRPr="007D5CED" w14:paraId="39D4E09A" w14:textId="77777777" w:rsidTr="008C29F3">
        <w:trPr>
          <w:trHeight w:val="164"/>
        </w:trPr>
        <w:tc>
          <w:tcPr>
            <w:cnfStyle w:val="001000000000" w:firstRow="0" w:lastRow="0" w:firstColumn="1" w:lastColumn="0" w:oddVBand="0" w:evenVBand="0" w:oddHBand="0" w:evenHBand="0" w:firstRowFirstColumn="0" w:firstRowLastColumn="0" w:lastRowFirstColumn="0" w:lastRowLastColumn="0"/>
            <w:tcW w:w="2385" w:type="dxa"/>
          </w:tcPr>
          <w:p w14:paraId="3C8F9C13" w14:textId="77777777" w:rsidR="007D5CED" w:rsidRPr="007D5CED" w:rsidRDefault="007D5CED" w:rsidP="00B83062">
            <w:pPr>
              <w:rPr>
                <w:lang w:val="en-GB"/>
              </w:rPr>
            </w:pPr>
            <w:r w:rsidRPr="007D5CED">
              <w:lastRenderedPageBreak/>
              <w:t>SHS</w:t>
            </w:r>
          </w:p>
        </w:tc>
        <w:tc>
          <w:tcPr>
            <w:tcW w:w="7526" w:type="dxa"/>
          </w:tcPr>
          <w:p w14:paraId="6C635586"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Sexual Harassment Scale</w:t>
            </w:r>
          </w:p>
        </w:tc>
      </w:tr>
      <w:tr w:rsidR="007D5CED" w:rsidRPr="007D5CED" w14:paraId="5E520951" w14:textId="77777777" w:rsidTr="008C29F3">
        <w:trPr>
          <w:trHeight w:val="102"/>
        </w:trPr>
        <w:tc>
          <w:tcPr>
            <w:cnfStyle w:val="001000000000" w:firstRow="0" w:lastRow="0" w:firstColumn="1" w:lastColumn="0" w:oddVBand="0" w:evenVBand="0" w:oddHBand="0" w:evenHBand="0" w:firstRowFirstColumn="0" w:firstRowLastColumn="0" w:lastRowFirstColumn="0" w:lastRowLastColumn="0"/>
            <w:tcW w:w="2385" w:type="dxa"/>
          </w:tcPr>
          <w:p w14:paraId="36B95594" w14:textId="77777777" w:rsidR="007D5CED" w:rsidRPr="007D5CED" w:rsidRDefault="007D5CED" w:rsidP="00B83062">
            <w:pPr>
              <w:rPr>
                <w:lang w:val="en-GB"/>
              </w:rPr>
            </w:pPr>
            <w:r w:rsidRPr="007D5CED">
              <w:t>SVS</w:t>
            </w:r>
          </w:p>
        </w:tc>
        <w:tc>
          <w:tcPr>
            <w:tcW w:w="7526" w:type="dxa"/>
          </w:tcPr>
          <w:p w14:paraId="7F14DC3D"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Sexual Violence Scale</w:t>
            </w:r>
          </w:p>
        </w:tc>
      </w:tr>
      <w:tr w:rsidR="007D5CED" w:rsidRPr="007D5CED" w14:paraId="5B782C3F" w14:textId="77777777" w:rsidTr="008C29F3">
        <w:trPr>
          <w:trHeight w:val="750"/>
        </w:trPr>
        <w:tc>
          <w:tcPr>
            <w:cnfStyle w:val="001000000000" w:firstRow="0" w:lastRow="0" w:firstColumn="1" w:lastColumn="0" w:oddVBand="0" w:evenVBand="0" w:oddHBand="0" w:evenHBand="0" w:firstRowFirstColumn="0" w:firstRowLastColumn="0" w:lastRowFirstColumn="0" w:lastRowLastColumn="0"/>
            <w:tcW w:w="2385" w:type="dxa"/>
          </w:tcPr>
          <w:p w14:paraId="0C3C5DB1" w14:textId="77777777" w:rsidR="007D5CED" w:rsidRPr="007D5CED" w:rsidRDefault="007D5CED" w:rsidP="00B83062">
            <w:pPr>
              <w:rPr>
                <w:lang w:val="en-GB"/>
              </w:rPr>
            </w:pPr>
            <w:r w:rsidRPr="007D5CED">
              <w:t>Technical report</w:t>
            </w:r>
          </w:p>
        </w:tc>
        <w:tc>
          <w:tcPr>
            <w:tcW w:w="7526" w:type="dxa"/>
          </w:tcPr>
          <w:p w14:paraId="02E30D0C"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Coumarelos, C., Honey, N., Ward, A., Weeks, N., &amp; Minter, K. (2023). </w:t>
            </w:r>
            <w:r w:rsidRPr="0073256E">
              <w:rPr>
                <w:rStyle w:val="Emphasis"/>
              </w:rPr>
              <w:t>Attitudes matter: The 2021 National Community Attitudes towards Violence against Women Survey (NCAS), Technical report</w:t>
            </w:r>
            <w:r w:rsidRPr="007D5CED">
              <w:rPr>
                <w:lang w:val="en-GB"/>
              </w:rPr>
              <w:t xml:space="preserve">. ANROWS. </w:t>
            </w:r>
          </w:p>
        </w:tc>
      </w:tr>
      <w:tr w:rsidR="007D5CED" w:rsidRPr="007D5CED" w14:paraId="45AD5E03" w14:textId="77777777" w:rsidTr="008C29F3">
        <w:trPr>
          <w:trHeight w:val="285"/>
        </w:trPr>
        <w:tc>
          <w:tcPr>
            <w:cnfStyle w:val="001000000000" w:firstRow="0" w:lastRow="0" w:firstColumn="1" w:lastColumn="0" w:oddVBand="0" w:evenVBand="0" w:oddHBand="0" w:evenHBand="0" w:firstRowFirstColumn="0" w:firstRowLastColumn="0" w:lastRowFirstColumn="0" w:lastRowLastColumn="0"/>
            <w:tcW w:w="2385" w:type="dxa"/>
          </w:tcPr>
          <w:p w14:paraId="2C465125" w14:textId="77777777" w:rsidR="007D5CED" w:rsidRPr="007D5CED" w:rsidRDefault="007D5CED" w:rsidP="00B83062">
            <w:pPr>
              <w:rPr>
                <w:lang w:val="en-GB"/>
              </w:rPr>
            </w:pPr>
            <w:r w:rsidRPr="007D5CED">
              <w:t>TFAS</w:t>
            </w:r>
          </w:p>
        </w:tc>
        <w:tc>
          <w:tcPr>
            <w:tcW w:w="7526" w:type="dxa"/>
          </w:tcPr>
          <w:p w14:paraId="20A3C445"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Technology-Facilitated Abuse Scale</w:t>
            </w:r>
          </w:p>
        </w:tc>
      </w:tr>
      <w:tr w:rsidR="007D5CED" w:rsidRPr="00EA1044" w14:paraId="0530A17B" w14:textId="77777777" w:rsidTr="008C29F3">
        <w:trPr>
          <w:trHeight w:val="803"/>
        </w:trPr>
        <w:tc>
          <w:tcPr>
            <w:cnfStyle w:val="001000000000" w:firstRow="0" w:lastRow="0" w:firstColumn="1" w:lastColumn="0" w:oddVBand="0" w:evenVBand="0" w:oddHBand="0" w:evenHBand="0" w:firstRowFirstColumn="0" w:firstRowLastColumn="0" w:lastRowFirstColumn="0" w:lastRowLastColumn="0"/>
            <w:tcW w:w="2385" w:type="dxa"/>
          </w:tcPr>
          <w:p w14:paraId="26FC75DA" w14:textId="77777777" w:rsidR="007D5CED" w:rsidRPr="007D5CED" w:rsidRDefault="007D5CED" w:rsidP="00B83062">
            <w:pPr>
              <w:rPr>
                <w:lang w:val="en-GB"/>
              </w:rPr>
            </w:pPr>
            <w:r w:rsidRPr="007D5CED">
              <w:t>Understand Gendered DV Subscale</w:t>
            </w:r>
          </w:p>
        </w:tc>
        <w:tc>
          <w:tcPr>
            <w:tcW w:w="7526" w:type="dxa"/>
          </w:tcPr>
          <w:p w14:paraId="3E420117"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Understand Gendered Domestic Violence Subscale</w:t>
            </w:r>
          </w:p>
        </w:tc>
      </w:tr>
      <w:tr w:rsidR="007D5CED" w:rsidRPr="00EA1044" w14:paraId="6CD154B0" w14:textId="77777777" w:rsidTr="008C29F3">
        <w:trPr>
          <w:trHeight w:val="325"/>
        </w:trPr>
        <w:tc>
          <w:tcPr>
            <w:cnfStyle w:val="001000000000" w:firstRow="0" w:lastRow="0" w:firstColumn="1" w:lastColumn="0" w:oddVBand="0" w:evenVBand="0" w:oddHBand="0" w:evenHBand="0" w:firstRowFirstColumn="0" w:firstRowLastColumn="0" w:lastRowFirstColumn="0" w:lastRowLastColumn="0"/>
            <w:tcW w:w="2385" w:type="dxa"/>
          </w:tcPr>
          <w:p w14:paraId="35AFA228" w14:textId="77777777" w:rsidR="007D5CED" w:rsidRPr="007D5CED" w:rsidRDefault="007D5CED" w:rsidP="00B83062">
            <w:pPr>
              <w:rPr>
                <w:lang w:val="en-GB"/>
              </w:rPr>
            </w:pPr>
            <w:r w:rsidRPr="007D5CED">
              <w:t>UVAWS</w:t>
            </w:r>
          </w:p>
        </w:tc>
        <w:tc>
          <w:tcPr>
            <w:tcW w:w="7526" w:type="dxa"/>
          </w:tcPr>
          <w:p w14:paraId="2DECB465"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Understanding of Violence against Women Scale</w:t>
            </w:r>
          </w:p>
        </w:tc>
      </w:tr>
      <w:tr w:rsidR="007D5CED" w:rsidRPr="007D5CED" w14:paraId="70ACDE37" w14:textId="77777777" w:rsidTr="008C29F3">
        <w:trPr>
          <w:trHeight w:val="207"/>
        </w:trPr>
        <w:tc>
          <w:tcPr>
            <w:cnfStyle w:val="001000000000" w:firstRow="0" w:lastRow="0" w:firstColumn="1" w:lastColumn="0" w:oddVBand="0" w:evenVBand="0" w:oddHBand="0" w:evenHBand="0" w:firstRowFirstColumn="0" w:firstRowLastColumn="0" w:lastRowFirstColumn="0" w:lastRowLastColumn="0"/>
            <w:tcW w:w="2385" w:type="dxa"/>
          </w:tcPr>
          <w:p w14:paraId="35AAE783" w14:textId="77777777" w:rsidR="007D5CED" w:rsidRPr="007D5CED" w:rsidRDefault="007D5CED" w:rsidP="00B83062">
            <w:pPr>
              <w:rPr>
                <w:lang w:val="en-GB"/>
              </w:rPr>
            </w:pPr>
            <w:r w:rsidRPr="007D5CED">
              <w:t>WHO</w:t>
            </w:r>
          </w:p>
        </w:tc>
        <w:tc>
          <w:tcPr>
            <w:tcW w:w="7526" w:type="dxa"/>
          </w:tcPr>
          <w:p w14:paraId="788064ED"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World Health Organization</w:t>
            </w:r>
          </w:p>
        </w:tc>
      </w:tr>
      <w:tr w:rsidR="007D5CED" w:rsidRPr="00EA1044" w14:paraId="571D10C6" w14:textId="77777777" w:rsidTr="008C29F3">
        <w:trPr>
          <w:trHeight w:val="570"/>
        </w:trPr>
        <w:tc>
          <w:tcPr>
            <w:cnfStyle w:val="001000000000" w:firstRow="0" w:lastRow="0" w:firstColumn="1" w:lastColumn="0" w:oddVBand="0" w:evenVBand="0" w:oddHBand="0" w:evenHBand="0" w:firstRowFirstColumn="0" w:firstRowLastColumn="0" w:lastRowFirstColumn="0" w:lastRowLastColumn="0"/>
            <w:tcW w:w="2385" w:type="dxa"/>
          </w:tcPr>
          <w:p w14:paraId="32D5E994" w14:textId="77777777" w:rsidR="007D5CED" w:rsidRPr="007D5CED" w:rsidRDefault="007D5CED" w:rsidP="00B83062">
            <w:pPr>
              <w:rPr>
                <w:lang w:val="en-GB"/>
              </w:rPr>
            </w:pPr>
            <w:r w:rsidRPr="007D5CED">
              <w:t>Young Australians/ people/respondents</w:t>
            </w:r>
          </w:p>
        </w:tc>
        <w:tc>
          <w:tcPr>
            <w:tcW w:w="7526" w:type="dxa"/>
          </w:tcPr>
          <w:p w14:paraId="536EA782" w14:textId="77777777" w:rsidR="007D5CED" w:rsidRPr="007D5CED" w:rsidRDefault="007D5CED" w:rsidP="00B83062">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In the discussion of the NCAS sample and results, these terms refer to ages 16 to 24 years</w:t>
            </w:r>
          </w:p>
        </w:tc>
      </w:tr>
    </w:tbl>
    <w:bookmarkStart w:id="16" w:name="_Toc190941649"/>
    <w:bookmarkStart w:id="17" w:name="_Toc190942349"/>
    <w:p w14:paraId="6B486126" w14:textId="6CCB2834" w:rsidR="007D5CED" w:rsidRPr="008C29F3" w:rsidRDefault="00F24C0C" w:rsidP="008C29F3">
      <w:pPr>
        <w:pStyle w:val="H2SectionTitle"/>
        <w:rPr>
          <w:rStyle w:val="RunningHeader"/>
          <w:rFonts w:ascii="Hind" w:hAnsi="Hind"/>
          <w:kern w:val="0"/>
          <w:sz w:val="30"/>
          <w:szCs w:val="26"/>
          <w:lang w:val="en-AU"/>
          <w14:ligatures w14:val="none"/>
        </w:rPr>
      </w:pPr>
      <w:r>
        <w:rPr>
          <w:noProof/>
        </w:rPr>
        <w:lastRenderedPageBreak/>
        <mc:AlternateContent>
          <mc:Choice Requires="wps">
            <w:drawing>
              <wp:anchor distT="0" distB="0" distL="114300" distR="114300" simplePos="0" relativeHeight="251658244" behindDoc="0" locked="0" layoutInCell="1" allowOverlap="1" wp14:anchorId="27484AE1" wp14:editId="70781DE3">
                <wp:simplePos x="0" y="0"/>
                <wp:positionH relativeFrom="column">
                  <wp:posOffset>5124</wp:posOffset>
                </wp:positionH>
                <wp:positionV relativeFrom="paragraph">
                  <wp:posOffset>109</wp:posOffset>
                </wp:positionV>
                <wp:extent cx="382138" cy="382138"/>
                <wp:effectExtent l="0" t="0" r="0" b="0"/>
                <wp:wrapSquare wrapText="bothSides"/>
                <wp:docPr id="78896959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4A257" id="Rectangle 2" o:spid="_x0000_s1026" alt="&quot;&quot;" style="position:absolute;margin-left:.4pt;margin-top:0;width:30.1pt;height:30.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A0503A">
        <w:t>Data symbols and table and</w:t>
      </w:r>
      <w:r w:rsidR="00EA4738">
        <w:t> </w:t>
      </w:r>
      <w:r w:rsidR="00A0503A">
        <w:t>figure notations</w:t>
      </w:r>
      <w:bookmarkEnd w:id="16"/>
      <w:bookmarkEnd w:id="17"/>
    </w:p>
    <w:tbl>
      <w:tblPr>
        <w:tblStyle w:val="Table-SingleHeaderRow"/>
        <w:tblW w:w="5000" w:type="pct"/>
        <w:tblLook w:val="00A0" w:firstRow="1" w:lastRow="0" w:firstColumn="1" w:lastColumn="0" w:noHBand="0" w:noVBand="0"/>
      </w:tblPr>
      <w:tblGrid>
        <w:gridCol w:w="2207"/>
        <w:gridCol w:w="7431"/>
      </w:tblGrid>
      <w:tr w:rsidR="00A0503A" w:rsidRPr="00A0503A" w14:paraId="49DBB061" w14:textId="77777777" w:rsidTr="00046A90">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1145" w:type="pct"/>
          </w:tcPr>
          <w:p w14:paraId="5DCFDE08" w14:textId="7785068E" w:rsidR="00A0503A" w:rsidRPr="0069774C" w:rsidRDefault="00A0503A" w:rsidP="00046A90">
            <w:pPr>
              <w:rPr>
                <w:bCs/>
              </w:rPr>
            </w:pPr>
            <w:r w:rsidRPr="0069774C">
              <w:t>Symbol</w:t>
            </w:r>
          </w:p>
        </w:tc>
        <w:tc>
          <w:tcPr>
            <w:tcW w:w="3855" w:type="pct"/>
          </w:tcPr>
          <w:p w14:paraId="0A85CB7A" w14:textId="149B78A0" w:rsidR="00A0503A" w:rsidRPr="00322A16" w:rsidRDefault="00A0503A" w:rsidP="00046A90">
            <w:pPr>
              <w:cnfStyle w:val="100000000000" w:firstRow="1" w:lastRow="0" w:firstColumn="0" w:lastColumn="0" w:oddVBand="0" w:evenVBand="0" w:oddHBand="0" w:evenHBand="0" w:firstRowFirstColumn="0" w:firstRowLastColumn="0" w:lastRowFirstColumn="0" w:lastRowLastColumn="0"/>
            </w:pPr>
            <w:r w:rsidRPr="00322A16">
              <w:t>Definition</w:t>
            </w:r>
          </w:p>
        </w:tc>
      </w:tr>
      <w:tr w:rsidR="007D5CED" w:rsidRPr="00EA1044" w14:paraId="09A3FC18" w14:textId="77777777" w:rsidTr="00046A90">
        <w:trPr>
          <w:trHeight w:val="831"/>
        </w:trPr>
        <w:tc>
          <w:tcPr>
            <w:cnfStyle w:val="001000000000" w:firstRow="0" w:lastRow="0" w:firstColumn="1" w:lastColumn="0" w:oddVBand="0" w:evenVBand="0" w:oddHBand="0" w:evenHBand="0" w:firstRowFirstColumn="0" w:firstRowLastColumn="0" w:lastRowFirstColumn="0" w:lastRowLastColumn="0"/>
            <w:tcW w:w="1145" w:type="pct"/>
          </w:tcPr>
          <w:p w14:paraId="52C3CEDD" w14:textId="77777777" w:rsidR="007D5CED" w:rsidRPr="007D5CED" w:rsidRDefault="007D5CED" w:rsidP="00046A90">
            <w:pPr>
              <w:rPr>
                <w:rFonts w:ascii="Hind" w:hAnsi="Hind" w:cs="Hind"/>
              </w:rPr>
            </w:pPr>
            <w:r w:rsidRPr="007D5CED">
              <w:rPr>
                <w:rFonts w:ascii="Hind" w:hAnsi="Hind" w:cs="Hind"/>
              </w:rPr>
              <w:t>*</w:t>
            </w:r>
          </w:p>
        </w:tc>
        <w:tc>
          <w:tcPr>
            <w:tcW w:w="3855" w:type="pct"/>
          </w:tcPr>
          <w:p w14:paraId="3CE3C908" w14:textId="1A4CA369"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Indicates a statistically significant result, meaning we can be confident (with</w:t>
            </w:r>
            <w:r w:rsidR="00EA4738">
              <w:t> </w:t>
            </w:r>
            <w:r w:rsidRPr="007D5CED">
              <w:t>95% certainty) that the difference observed in the survey sample is</w:t>
            </w:r>
            <w:r w:rsidR="00EA4738">
              <w:t> </w:t>
            </w:r>
            <w:r w:rsidRPr="007D5CED">
              <w:t>meaningful and likely to represent a true difference in the Australian population (</w:t>
            </w:r>
            <w:r w:rsidRPr="0073256E">
              <w:rPr>
                <w:rStyle w:val="Emphasis"/>
              </w:rPr>
              <w:t>p</w:t>
            </w:r>
            <w:r w:rsidRPr="007D5CED">
              <w:t xml:space="preserve"> &lt; 0.05) that is not</w:t>
            </w:r>
            <w:r w:rsidR="004A6D28">
              <w:t xml:space="preserve"> </w:t>
            </w:r>
            <w:r w:rsidRPr="007D5CED">
              <w:t xml:space="preserve">negligible in size (Cohen’s </w:t>
            </w:r>
            <w:r w:rsidRPr="0073256E">
              <w:rPr>
                <w:rStyle w:val="Emphasis"/>
              </w:rPr>
              <w:t xml:space="preserve">d </w:t>
            </w:r>
            <w:r w:rsidRPr="007D5CED">
              <w:t>≥ 0.2 or</w:t>
            </w:r>
            <w:r w:rsidR="00EA4738">
              <w:t> </w:t>
            </w:r>
            <w:r w:rsidRPr="007D5CED">
              <w:t>equivale</w:t>
            </w:r>
            <w:r w:rsidRPr="007D5CED">
              <w:rPr>
                <w:lang w:val="en-GB"/>
              </w:rPr>
              <w:t>nt)</w:t>
            </w:r>
          </w:p>
        </w:tc>
      </w:tr>
      <w:tr w:rsidR="007D5CED" w:rsidRPr="00EA1044" w14:paraId="0F8541BC" w14:textId="77777777" w:rsidTr="00046A90">
        <w:trPr>
          <w:trHeight w:val="144"/>
        </w:trPr>
        <w:tc>
          <w:tcPr>
            <w:cnfStyle w:val="001000000000" w:firstRow="0" w:lastRow="0" w:firstColumn="1" w:lastColumn="0" w:oddVBand="0" w:evenVBand="0" w:oddHBand="0" w:evenHBand="0" w:firstRowFirstColumn="0" w:firstRowLastColumn="0" w:lastRowFirstColumn="0" w:lastRowLastColumn="0"/>
            <w:tcW w:w="1145" w:type="pct"/>
          </w:tcPr>
          <w:p w14:paraId="730AE36E" w14:textId="77777777" w:rsidR="007D5CED" w:rsidRPr="007D5CED" w:rsidRDefault="007D5CED" w:rsidP="00046A90">
            <w:pPr>
              <w:rPr>
                <w:rFonts w:ascii="Hind" w:hAnsi="Hind" w:cs="Hind"/>
              </w:rPr>
            </w:pPr>
            <w:r w:rsidRPr="007D5CED">
              <w:rPr>
                <w:rFonts w:ascii="Hind" w:hAnsi="Hind" w:cs="Hind"/>
              </w:rPr>
              <w:t>^</w:t>
            </w:r>
          </w:p>
        </w:tc>
        <w:tc>
          <w:tcPr>
            <w:tcW w:w="3855" w:type="pct"/>
          </w:tcPr>
          <w:p w14:paraId="03C3F471"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Indicates an item was asked of one half of the sampl</w:t>
            </w:r>
            <w:r w:rsidRPr="007D5CED">
              <w:rPr>
                <w:lang w:val="en-GB"/>
              </w:rPr>
              <w:t>e</w:t>
            </w:r>
          </w:p>
        </w:tc>
      </w:tr>
      <w:tr w:rsidR="007D5CED" w:rsidRPr="00EA1044" w14:paraId="65120742" w14:textId="77777777" w:rsidTr="00046A90">
        <w:trPr>
          <w:trHeight w:val="22"/>
        </w:trPr>
        <w:tc>
          <w:tcPr>
            <w:cnfStyle w:val="001000000000" w:firstRow="0" w:lastRow="0" w:firstColumn="1" w:lastColumn="0" w:oddVBand="0" w:evenVBand="0" w:oddHBand="0" w:evenHBand="0" w:firstRowFirstColumn="0" w:firstRowLastColumn="0" w:lastRowFirstColumn="0" w:lastRowLastColumn="0"/>
            <w:tcW w:w="1145" w:type="pct"/>
          </w:tcPr>
          <w:p w14:paraId="063782FF" w14:textId="77777777" w:rsidR="007D5CED" w:rsidRPr="007D5CED" w:rsidRDefault="007D5CED" w:rsidP="00046A90">
            <w:pPr>
              <w:rPr>
                <w:rFonts w:ascii="Hind" w:hAnsi="Hind" w:cs="Hind"/>
              </w:rPr>
            </w:pPr>
            <w:r w:rsidRPr="007D5CED">
              <w:rPr>
                <w:rFonts w:ascii="Montserrat" w:hAnsi="Montserrat" w:cs="Montserrat"/>
              </w:rPr>
              <w:t>~</w:t>
            </w:r>
          </w:p>
        </w:tc>
        <w:tc>
          <w:tcPr>
            <w:tcW w:w="3855" w:type="pct"/>
          </w:tcPr>
          <w:p w14:paraId="1AA91EDF"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Indicates an item was asked of one quarter of the sampl</w:t>
            </w:r>
            <w:r w:rsidRPr="007D5CED">
              <w:rPr>
                <w:lang w:val="en-GB"/>
              </w:rPr>
              <w:t>e</w:t>
            </w:r>
          </w:p>
        </w:tc>
      </w:tr>
      <w:tr w:rsidR="007D5CED" w:rsidRPr="00EA1044" w14:paraId="6C1791B1" w14:textId="77777777" w:rsidTr="00046A90">
        <w:trPr>
          <w:trHeight w:val="86"/>
        </w:trPr>
        <w:tc>
          <w:tcPr>
            <w:cnfStyle w:val="001000000000" w:firstRow="0" w:lastRow="0" w:firstColumn="1" w:lastColumn="0" w:oddVBand="0" w:evenVBand="0" w:oddHBand="0" w:evenHBand="0" w:firstRowFirstColumn="0" w:firstRowLastColumn="0" w:lastRowFirstColumn="0" w:lastRowLastColumn="0"/>
            <w:tcW w:w="1145" w:type="pct"/>
          </w:tcPr>
          <w:p w14:paraId="7FAD5C4B" w14:textId="77777777" w:rsidR="007D5CED" w:rsidRPr="007D5CED" w:rsidRDefault="007D5CED" w:rsidP="00046A90">
            <w:pPr>
              <w:rPr>
                <w:rFonts w:ascii="Hind" w:hAnsi="Hind" w:cs="Hind"/>
              </w:rPr>
            </w:pPr>
            <w:r w:rsidRPr="007D5CED">
              <w:rPr>
                <w:rFonts w:ascii="Hind" w:hAnsi="Hind" w:cs="Hind"/>
              </w:rPr>
              <w:t>B</w:t>
            </w:r>
          </w:p>
        </w:tc>
        <w:tc>
          <w:tcPr>
            <w:tcW w:w="3855" w:type="pct"/>
          </w:tcPr>
          <w:p w14:paraId="38BAA9F9"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Bystander response item (used in item codes)</w:t>
            </w:r>
          </w:p>
        </w:tc>
      </w:tr>
      <w:tr w:rsidR="007D5CED" w:rsidRPr="00EA1044" w14:paraId="6FCA2E50" w14:textId="77777777" w:rsidTr="00046A90">
        <w:trPr>
          <w:trHeight w:val="112"/>
        </w:trPr>
        <w:tc>
          <w:tcPr>
            <w:cnfStyle w:val="001000000000" w:firstRow="0" w:lastRow="0" w:firstColumn="1" w:lastColumn="0" w:oddVBand="0" w:evenVBand="0" w:oddHBand="0" w:evenHBand="0" w:firstRowFirstColumn="0" w:firstRowLastColumn="0" w:lastRowFirstColumn="0" w:lastRowLastColumn="0"/>
            <w:tcW w:w="1145" w:type="pct"/>
          </w:tcPr>
          <w:p w14:paraId="5F3D2424" w14:textId="77777777" w:rsidR="007D5CED" w:rsidRPr="007D5CED" w:rsidRDefault="007D5CED" w:rsidP="00046A90">
            <w:pPr>
              <w:rPr>
                <w:rFonts w:ascii="Hind" w:hAnsi="Hind" w:cs="Hind"/>
              </w:rPr>
            </w:pPr>
            <w:r w:rsidRPr="007D5CED">
              <w:rPr>
                <w:rFonts w:ascii="Hind" w:hAnsi="Hind" w:cs="Hind"/>
              </w:rPr>
              <w:t>D</w:t>
            </w:r>
          </w:p>
        </w:tc>
        <w:tc>
          <w:tcPr>
            <w:tcW w:w="3855" w:type="pct"/>
          </w:tcPr>
          <w:p w14:paraId="47A06832"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Domestic violence item (used in item codes)</w:t>
            </w:r>
          </w:p>
        </w:tc>
      </w:tr>
      <w:tr w:rsidR="007D5CED" w:rsidRPr="00EA1044" w14:paraId="50E65A38" w14:textId="77777777" w:rsidTr="00046A90">
        <w:trPr>
          <w:trHeight w:val="22"/>
        </w:trPr>
        <w:tc>
          <w:tcPr>
            <w:cnfStyle w:val="001000000000" w:firstRow="0" w:lastRow="0" w:firstColumn="1" w:lastColumn="0" w:oddVBand="0" w:evenVBand="0" w:oddHBand="0" w:evenHBand="0" w:firstRowFirstColumn="0" w:firstRowLastColumn="0" w:lastRowFirstColumn="0" w:lastRowLastColumn="0"/>
            <w:tcW w:w="1145" w:type="pct"/>
          </w:tcPr>
          <w:p w14:paraId="3A5F9F56" w14:textId="77777777" w:rsidR="007D5CED" w:rsidRPr="007D5CED" w:rsidRDefault="007D5CED" w:rsidP="00046A90">
            <w:pPr>
              <w:rPr>
                <w:rFonts w:ascii="Hind" w:hAnsi="Hind" w:cs="Hind"/>
              </w:rPr>
            </w:pPr>
            <w:r w:rsidRPr="007D5CED">
              <w:rPr>
                <w:rFonts w:ascii="Hind" w:hAnsi="Hind" w:cs="Hind"/>
              </w:rPr>
              <w:t>G</w:t>
            </w:r>
          </w:p>
        </w:tc>
        <w:tc>
          <w:tcPr>
            <w:tcW w:w="3855" w:type="pct"/>
          </w:tcPr>
          <w:p w14:paraId="01706BDB"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Gender inequality item (used in item codes)</w:t>
            </w:r>
          </w:p>
        </w:tc>
      </w:tr>
      <w:tr w:rsidR="007D5CED" w:rsidRPr="007D5CED" w14:paraId="19E9F96E" w14:textId="77777777" w:rsidTr="00046A90">
        <w:trPr>
          <w:trHeight w:val="22"/>
        </w:trPr>
        <w:tc>
          <w:tcPr>
            <w:cnfStyle w:val="001000000000" w:firstRow="0" w:lastRow="0" w:firstColumn="1" w:lastColumn="0" w:oddVBand="0" w:evenVBand="0" w:oddHBand="0" w:evenHBand="0" w:firstRowFirstColumn="0" w:firstRowLastColumn="0" w:lastRowFirstColumn="0" w:lastRowLastColumn="0"/>
            <w:tcW w:w="1098" w:type="pct"/>
          </w:tcPr>
          <w:p w14:paraId="301FEFE3" w14:textId="77777777" w:rsidR="007D5CED" w:rsidRPr="007D5CED" w:rsidRDefault="007D5CED" w:rsidP="00046A90">
            <w:pPr>
              <w:rPr>
                <w:rFonts w:ascii="Hind" w:hAnsi="Hind" w:cs="Hind"/>
              </w:rPr>
            </w:pPr>
            <w:r w:rsidRPr="007D5CED">
              <w:t>ns</w:t>
            </w:r>
          </w:p>
        </w:tc>
        <w:tc>
          <w:tcPr>
            <w:tcW w:w="3902" w:type="pct"/>
          </w:tcPr>
          <w:p w14:paraId="544298BA"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No statistically significant difference</w:t>
            </w:r>
          </w:p>
        </w:tc>
      </w:tr>
      <w:tr w:rsidR="007D5CED" w:rsidRPr="00EA1044" w14:paraId="62C98058" w14:textId="77777777" w:rsidTr="00046A90">
        <w:trPr>
          <w:trHeight w:val="22"/>
        </w:trPr>
        <w:tc>
          <w:tcPr>
            <w:cnfStyle w:val="001000000000" w:firstRow="0" w:lastRow="0" w:firstColumn="1" w:lastColumn="0" w:oddVBand="0" w:evenVBand="0" w:oddHBand="0" w:evenHBand="0" w:firstRowFirstColumn="0" w:firstRowLastColumn="0" w:lastRowFirstColumn="0" w:lastRowLastColumn="0"/>
            <w:tcW w:w="1145" w:type="pct"/>
          </w:tcPr>
          <w:p w14:paraId="4012ACFB" w14:textId="77777777" w:rsidR="007D5CED" w:rsidRPr="007D5CED" w:rsidRDefault="007D5CED" w:rsidP="00046A90">
            <w:pPr>
              <w:rPr>
                <w:rFonts w:ascii="Hind" w:hAnsi="Hind" w:cs="Hind"/>
              </w:rPr>
            </w:pPr>
            <w:r w:rsidRPr="007D5CED">
              <w:rPr>
                <w:rFonts w:ascii="Hind" w:hAnsi="Hind" w:cs="Hind"/>
              </w:rPr>
              <w:t>S</w:t>
            </w:r>
          </w:p>
        </w:tc>
        <w:tc>
          <w:tcPr>
            <w:tcW w:w="3855" w:type="pct"/>
          </w:tcPr>
          <w:p w14:paraId="2782DF9E"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Sexual violence item (used in item codes)</w:t>
            </w:r>
          </w:p>
        </w:tc>
      </w:tr>
      <w:tr w:rsidR="007D5CED" w:rsidRPr="00EA1044" w14:paraId="510A3C07" w14:textId="77777777" w:rsidTr="00046A90">
        <w:trPr>
          <w:trHeight w:val="22"/>
        </w:trPr>
        <w:tc>
          <w:tcPr>
            <w:cnfStyle w:val="001000000000" w:firstRow="0" w:lastRow="0" w:firstColumn="1" w:lastColumn="0" w:oddVBand="0" w:evenVBand="0" w:oddHBand="0" w:evenHBand="0" w:firstRowFirstColumn="0" w:firstRowLastColumn="0" w:lastRowFirstColumn="0" w:lastRowLastColumn="0"/>
            <w:tcW w:w="1145" w:type="pct"/>
          </w:tcPr>
          <w:p w14:paraId="674DA8E7" w14:textId="77777777" w:rsidR="007D5CED" w:rsidRPr="007D5CED" w:rsidRDefault="007D5CED" w:rsidP="00046A90">
            <w:pPr>
              <w:rPr>
                <w:rFonts w:ascii="Hind" w:hAnsi="Hind" w:cs="Hind"/>
              </w:rPr>
            </w:pPr>
            <w:r w:rsidRPr="007D5CED">
              <w:rPr>
                <w:rFonts w:ascii="Hind" w:hAnsi="Hind" w:cs="Hind"/>
              </w:rPr>
              <w:t>V</w:t>
            </w:r>
          </w:p>
        </w:tc>
        <w:tc>
          <w:tcPr>
            <w:tcW w:w="3855" w:type="pct"/>
          </w:tcPr>
          <w:p w14:paraId="29558634"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t>Violence against women item (used in item codes)</w:t>
            </w:r>
          </w:p>
        </w:tc>
      </w:tr>
    </w:tbl>
    <w:bookmarkStart w:id="18" w:name="_Toc190941650"/>
    <w:bookmarkStart w:id="19" w:name="_Toc190942350"/>
    <w:p w14:paraId="19B5832C" w14:textId="19CC7FAA" w:rsidR="003D52C9" w:rsidRPr="008E6594" w:rsidRDefault="00F24C0C" w:rsidP="008C29F3">
      <w:pPr>
        <w:pStyle w:val="H2SectionTitle"/>
        <w:rPr>
          <w:rStyle w:val="RunningHeader"/>
          <w:rFonts w:ascii="Open Sans" w:eastAsiaTheme="minorHAnsi" w:hAnsi="Open Sans" w:cstheme="minorBidi"/>
          <w:spacing w:val="-10"/>
          <w:kern w:val="28"/>
          <w:sz w:val="20"/>
          <w:szCs w:val="56"/>
          <w:lang w:val="it-IT"/>
        </w:rPr>
      </w:pPr>
      <w:r>
        <w:rPr>
          <w:noProof/>
        </w:rPr>
        <w:lastRenderedPageBreak/>
        <mc:AlternateContent>
          <mc:Choice Requires="wps">
            <w:drawing>
              <wp:anchor distT="0" distB="0" distL="114300" distR="114300" simplePos="0" relativeHeight="251658245" behindDoc="0" locked="0" layoutInCell="1" allowOverlap="1" wp14:anchorId="44C29B51" wp14:editId="6197DB7F">
                <wp:simplePos x="0" y="0"/>
                <wp:positionH relativeFrom="column">
                  <wp:posOffset>5124</wp:posOffset>
                </wp:positionH>
                <wp:positionV relativeFrom="paragraph">
                  <wp:posOffset>109</wp:posOffset>
                </wp:positionV>
                <wp:extent cx="382138" cy="382138"/>
                <wp:effectExtent l="0" t="0" r="0" b="0"/>
                <wp:wrapSquare wrapText="bothSides"/>
                <wp:docPr id="18709344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136C5" id="Rectangle 2" o:spid="_x0000_s1026" alt="&quot;&quot;" style="position:absolute;margin-left:.4pt;margin-top:0;width:30.1pt;height:30.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3D52C9">
        <w:t>Key terms</w:t>
      </w:r>
      <w:bookmarkEnd w:id="18"/>
      <w:bookmarkEnd w:id="19"/>
    </w:p>
    <w:tbl>
      <w:tblPr>
        <w:tblStyle w:val="Table-SingleHeaderRow"/>
        <w:tblW w:w="9901" w:type="dxa"/>
        <w:tblLayout w:type="fixed"/>
        <w:tblLook w:val="00A0" w:firstRow="1" w:lastRow="0" w:firstColumn="1" w:lastColumn="0" w:noHBand="0" w:noVBand="0"/>
      </w:tblPr>
      <w:tblGrid>
        <w:gridCol w:w="2385"/>
        <w:gridCol w:w="7516"/>
      </w:tblGrid>
      <w:tr w:rsidR="003D52C9" w:rsidRPr="003D52C9" w14:paraId="4B6E1CE3" w14:textId="77777777" w:rsidTr="00046A90">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2385" w:type="dxa"/>
          </w:tcPr>
          <w:p w14:paraId="0F4B8115" w14:textId="3870ED23" w:rsidR="003D52C9" w:rsidRPr="003D52C9" w:rsidRDefault="003D52C9" w:rsidP="00046A90">
            <w:r w:rsidRPr="003D52C9">
              <w:t>Key term</w:t>
            </w:r>
          </w:p>
        </w:tc>
        <w:tc>
          <w:tcPr>
            <w:tcW w:w="7516" w:type="dxa"/>
          </w:tcPr>
          <w:p w14:paraId="5EA3C29E" w14:textId="26D3AE33" w:rsidR="003D52C9" w:rsidRPr="00322A16" w:rsidRDefault="003D52C9" w:rsidP="00046A90">
            <w:pPr>
              <w:cnfStyle w:val="100000000000" w:firstRow="1" w:lastRow="0" w:firstColumn="0" w:lastColumn="0" w:oddVBand="0" w:evenVBand="0" w:oddHBand="0" w:evenHBand="0" w:firstRowFirstColumn="0" w:firstRowLastColumn="0" w:lastRowFirstColumn="0" w:lastRowLastColumn="0"/>
            </w:pPr>
            <w:r w:rsidRPr="00322A16">
              <w:t>Definition</w:t>
            </w:r>
          </w:p>
        </w:tc>
      </w:tr>
      <w:tr w:rsidR="007D5CED" w:rsidRPr="00EA1044" w14:paraId="38EB0799" w14:textId="77777777" w:rsidTr="00046A90">
        <w:trPr>
          <w:trHeight w:val="717"/>
        </w:trPr>
        <w:tc>
          <w:tcPr>
            <w:cnfStyle w:val="001000000000" w:firstRow="0" w:lastRow="0" w:firstColumn="1" w:lastColumn="0" w:oddVBand="0" w:evenVBand="0" w:oddHBand="0" w:evenHBand="0" w:firstRowFirstColumn="0" w:firstRowLastColumn="0" w:lastRowFirstColumn="0" w:lastRowLastColumn="0"/>
            <w:tcW w:w="2385" w:type="dxa"/>
          </w:tcPr>
          <w:p w14:paraId="558C2DA2" w14:textId="6F123F44" w:rsidR="007D5CED" w:rsidRPr="007D5CED" w:rsidRDefault="007D5CED" w:rsidP="00046A90">
            <w:pPr>
              <w:rPr>
                <w:lang w:val="en-GB"/>
              </w:rPr>
            </w:pPr>
            <w:r w:rsidRPr="007D5CED">
              <w:t>All respondents/</w:t>
            </w:r>
            <w:r w:rsidR="00400CA8">
              <w:br/>
            </w:r>
            <w:r w:rsidRPr="007D5CED">
              <w:t xml:space="preserve">respondents of </w:t>
            </w:r>
            <w:r w:rsidR="00400CA8">
              <w:br/>
            </w:r>
            <w:r w:rsidRPr="007D5CED">
              <w:t>all ages</w:t>
            </w:r>
          </w:p>
        </w:tc>
        <w:tc>
          <w:tcPr>
            <w:tcW w:w="7516" w:type="dxa"/>
          </w:tcPr>
          <w:p w14:paraId="7DBF8F57"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total 2021 NCAS sample of 19,100 respondents (of which 1,669 were young respondents aged 16 to 24 years).</w:t>
            </w:r>
          </w:p>
        </w:tc>
      </w:tr>
      <w:tr w:rsidR="007D5CED" w:rsidRPr="00EA1044" w14:paraId="64166ABB" w14:textId="77777777" w:rsidTr="00046A90">
        <w:trPr>
          <w:trHeight w:val="676"/>
        </w:trPr>
        <w:tc>
          <w:tcPr>
            <w:cnfStyle w:val="001000000000" w:firstRow="0" w:lastRow="0" w:firstColumn="1" w:lastColumn="0" w:oddVBand="0" w:evenVBand="0" w:oddHBand="0" w:evenHBand="0" w:firstRowFirstColumn="0" w:firstRowLastColumn="0" w:lastRowFirstColumn="0" w:lastRowLastColumn="0"/>
            <w:tcW w:w="2385" w:type="dxa"/>
          </w:tcPr>
          <w:p w14:paraId="2B8F5053" w14:textId="77777777" w:rsidR="007D5CED" w:rsidRPr="007D5CED" w:rsidRDefault="007D5CED" w:rsidP="00046A90">
            <w:pPr>
              <w:rPr>
                <w:lang w:val="en-GB"/>
              </w:rPr>
            </w:pPr>
            <w:r w:rsidRPr="007D5CED">
              <w:t xml:space="preserve">Attitudes </w:t>
            </w:r>
          </w:p>
        </w:tc>
        <w:tc>
          <w:tcPr>
            <w:tcW w:w="7516" w:type="dxa"/>
          </w:tcPr>
          <w:p w14:paraId="34094E87"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Evaluations of a particular subject (e.g. person, object, concept) that usually exist along a continuum from less to more favourable. The NCAS measures attitudes towards violence against women, including attitudes towards specific types of violence such as domestic violence and sexual violence, as well as attitudes towards gender inequality. </w:t>
            </w:r>
          </w:p>
        </w:tc>
      </w:tr>
      <w:tr w:rsidR="007D5CED" w:rsidRPr="00EA1044" w14:paraId="77CB419B" w14:textId="77777777" w:rsidTr="00046A90">
        <w:trPr>
          <w:trHeight w:val="824"/>
        </w:trPr>
        <w:tc>
          <w:tcPr>
            <w:cnfStyle w:val="001000000000" w:firstRow="0" w:lastRow="0" w:firstColumn="1" w:lastColumn="0" w:oddVBand="0" w:evenVBand="0" w:oddHBand="0" w:evenHBand="0" w:firstRowFirstColumn="0" w:firstRowLastColumn="0" w:lastRowFirstColumn="0" w:lastRowLastColumn="0"/>
            <w:tcW w:w="2385" w:type="dxa"/>
          </w:tcPr>
          <w:p w14:paraId="4B097208" w14:textId="77777777" w:rsidR="007D5CED" w:rsidRPr="007D5CED" w:rsidRDefault="007D5CED" w:rsidP="00046A90">
            <w:pPr>
              <w:rPr>
                <w:lang w:val="en-GB"/>
              </w:rPr>
            </w:pPr>
            <w:r w:rsidRPr="007D5CED">
              <w:t xml:space="preserve">Backlash </w:t>
            </w:r>
          </w:p>
        </w:tc>
        <w:tc>
          <w:tcPr>
            <w:tcW w:w="7516" w:type="dxa"/>
          </w:tcPr>
          <w:p w14:paraId="44687E8A"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The resistance, hostility or aggression with which strategies to redress gender inequality or prevent violence are met by some people in the community (typically a minority). </w:t>
            </w:r>
          </w:p>
        </w:tc>
      </w:tr>
      <w:tr w:rsidR="007D5CED" w:rsidRPr="00EA1044" w14:paraId="521E77E0" w14:textId="77777777" w:rsidTr="00046A90">
        <w:trPr>
          <w:trHeight w:val="1068"/>
        </w:trPr>
        <w:tc>
          <w:tcPr>
            <w:cnfStyle w:val="001000000000" w:firstRow="0" w:lastRow="0" w:firstColumn="1" w:lastColumn="0" w:oddVBand="0" w:evenVBand="0" w:oddHBand="0" w:evenHBand="0" w:firstRowFirstColumn="0" w:firstRowLastColumn="0" w:lastRowFirstColumn="0" w:lastRowLastColumn="0"/>
            <w:tcW w:w="2385" w:type="dxa"/>
          </w:tcPr>
          <w:p w14:paraId="4BA0D078" w14:textId="77777777" w:rsidR="007D5CED" w:rsidRPr="007D5CED" w:rsidRDefault="007D5CED" w:rsidP="00046A90">
            <w:pPr>
              <w:rPr>
                <w:lang w:val="en-GB"/>
              </w:rPr>
            </w:pPr>
            <w:r w:rsidRPr="007D5CED">
              <w:t xml:space="preserve">Bivariate analysis </w:t>
            </w:r>
          </w:p>
        </w:tc>
        <w:tc>
          <w:tcPr>
            <w:tcW w:w="7516" w:type="dxa"/>
          </w:tcPr>
          <w:p w14:paraId="736A5A7E" w14:textId="3D89489E"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statistical analysis that examines the direct or straightforward relationship between two variables only, such as an outcome of interest (e.g.</w:t>
            </w:r>
            <w:r w:rsidR="009D4096">
              <w:rPr>
                <w:lang w:val="en-GB"/>
              </w:rPr>
              <w:t> </w:t>
            </w:r>
            <w:r w:rsidRPr="007D5CED">
              <w:rPr>
                <w:lang w:val="en-GB"/>
              </w:rPr>
              <w:t>understanding of violence against women) and one other variable (e.g.</w:t>
            </w:r>
            <w:r w:rsidR="009D4096">
              <w:rPr>
                <w:lang w:val="en-GB"/>
              </w:rPr>
              <w:t> </w:t>
            </w:r>
            <w:r w:rsidRPr="007D5CED">
              <w:rPr>
                <w:lang w:val="en-GB"/>
              </w:rPr>
              <w:t>a</w:t>
            </w:r>
            <w:r w:rsidR="009D4096">
              <w:rPr>
                <w:lang w:val="en-GB"/>
              </w:rPr>
              <w:t> </w:t>
            </w:r>
            <w:r w:rsidRPr="007D5CED">
              <w:rPr>
                <w:lang w:val="en-GB"/>
              </w:rPr>
              <w:t>demographic factor such as age), without taking into account the effect of</w:t>
            </w:r>
            <w:r w:rsidR="009D4096">
              <w:rPr>
                <w:lang w:val="en-GB"/>
              </w:rPr>
              <w:t> </w:t>
            </w:r>
            <w:r w:rsidRPr="007D5CED">
              <w:rPr>
                <w:lang w:val="en-GB"/>
              </w:rPr>
              <w:t xml:space="preserve">any other variables. </w:t>
            </w:r>
          </w:p>
        </w:tc>
      </w:tr>
      <w:tr w:rsidR="007D5CED" w:rsidRPr="00EA1044" w14:paraId="2EA5F399" w14:textId="77777777" w:rsidTr="00046A90">
        <w:trPr>
          <w:trHeight w:val="492"/>
        </w:trPr>
        <w:tc>
          <w:tcPr>
            <w:cnfStyle w:val="001000000000" w:firstRow="0" w:lastRow="0" w:firstColumn="1" w:lastColumn="0" w:oddVBand="0" w:evenVBand="0" w:oddHBand="0" w:evenHBand="0" w:firstRowFirstColumn="0" w:firstRowLastColumn="0" w:lastRowFirstColumn="0" w:lastRowLastColumn="0"/>
            <w:tcW w:w="2385" w:type="dxa"/>
          </w:tcPr>
          <w:p w14:paraId="75E9BFFD" w14:textId="77777777" w:rsidR="007D5CED" w:rsidRPr="007D5CED" w:rsidRDefault="007D5CED" w:rsidP="00046A90">
            <w:pPr>
              <w:rPr>
                <w:lang w:val="en-GB"/>
              </w:rPr>
            </w:pPr>
            <w:r w:rsidRPr="007D5CED">
              <w:t xml:space="preserve">Bystander </w:t>
            </w:r>
          </w:p>
        </w:tc>
        <w:tc>
          <w:tcPr>
            <w:tcW w:w="7516" w:type="dxa"/>
          </w:tcPr>
          <w:p w14:paraId="2377312B" w14:textId="0728316D" w:rsidR="007D5CED" w:rsidRPr="009D4096" w:rsidRDefault="007D5CED" w:rsidP="00046A90">
            <w:pPr>
              <w:cnfStyle w:val="000000000000" w:firstRow="0" w:lastRow="0" w:firstColumn="0" w:lastColumn="0" w:oddVBand="0" w:evenVBand="0" w:oddHBand="0" w:evenHBand="0" w:firstRowFirstColumn="0" w:firstRowLastColumn="0" w:lastRowFirstColumn="0" w:lastRowLastColumn="0"/>
              <w:rPr>
                <w:spacing w:val="-2"/>
                <w:lang w:val="en-GB"/>
              </w:rPr>
            </w:pPr>
            <w:r w:rsidRPr="009D4096">
              <w:rPr>
                <w:spacing w:val="-2"/>
                <w:lang w:val="en-GB"/>
              </w:rPr>
              <w:t>Somebody who observes, but is not directly involved in, a harmful or</w:t>
            </w:r>
            <w:r w:rsidR="009D4096" w:rsidRPr="009D4096">
              <w:rPr>
                <w:spacing w:val="-2"/>
                <w:lang w:val="en-GB"/>
              </w:rPr>
              <w:t> </w:t>
            </w:r>
            <w:r w:rsidRPr="009D4096">
              <w:rPr>
                <w:spacing w:val="-2"/>
                <w:lang w:val="en-GB"/>
              </w:rPr>
              <w:t xml:space="preserve">potentially harmful event and could assist or intervene (Webster et al., 2018). </w:t>
            </w:r>
          </w:p>
        </w:tc>
      </w:tr>
      <w:tr w:rsidR="007D5CED" w:rsidRPr="00EA1044" w14:paraId="2667D77D" w14:textId="77777777" w:rsidTr="00046A90">
        <w:trPr>
          <w:trHeight w:val="1838"/>
        </w:trPr>
        <w:tc>
          <w:tcPr>
            <w:cnfStyle w:val="001000000000" w:firstRow="0" w:lastRow="0" w:firstColumn="1" w:lastColumn="0" w:oddVBand="0" w:evenVBand="0" w:oddHBand="0" w:evenHBand="0" w:firstRowFirstColumn="0" w:firstRowLastColumn="0" w:lastRowFirstColumn="0" w:lastRowLastColumn="0"/>
            <w:tcW w:w="2385" w:type="dxa"/>
          </w:tcPr>
          <w:p w14:paraId="2F7EF82B" w14:textId="77777777" w:rsidR="007D5CED" w:rsidRPr="007D5CED" w:rsidRDefault="007D5CED" w:rsidP="00046A90">
            <w:pPr>
              <w:rPr>
                <w:lang w:val="en-GB"/>
              </w:rPr>
            </w:pPr>
            <w:r w:rsidRPr="007D5CED">
              <w:t xml:space="preserve">Bystander response </w:t>
            </w:r>
          </w:p>
        </w:tc>
        <w:tc>
          <w:tcPr>
            <w:tcW w:w="7516" w:type="dxa"/>
          </w:tcPr>
          <w:p w14:paraId="35035D51"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How bystanders react to witnessing a scenario such as disrespect or abuse. The NCAS examined whether bystanders would be bothered by various scenarios and whether they would intervene. </w:t>
            </w:r>
          </w:p>
          <w:p w14:paraId="5D1FC224"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13577A">
              <w:rPr>
                <w:b/>
                <w:bCs/>
              </w:rPr>
              <w:t>Prosocial bystander actions</w:t>
            </w:r>
            <w:r w:rsidRPr="007D5CED">
              <w:t xml:space="preserve"> </w:t>
            </w:r>
            <w:r w:rsidRPr="007D5CED">
              <w:rPr>
                <w:lang w:val="en-GB"/>
              </w:rPr>
              <w:t xml:space="preserve">attempt to improve the situation and can include confronting the perpetrator’s unacceptable, gendered and violence-condoning attitudes and behaviour, as well as supporting the victim and survivor. In this report, the two prosocial responses examined were showing disapproval then and there or showing disapproval in private later. </w:t>
            </w:r>
          </w:p>
        </w:tc>
      </w:tr>
      <w:tr w:rsidR="007D5CED" w:rsidRPr="00EA1044" w14:paraId="4DFC42FE" w14:textId="77777777" w:rsidTr="00046A90">
        <w:trPr>
          <w:trHeight w:val="477"/>
        </w:trPr>
        <w:tc>
          <w:tcPr>
            <w:cnfStyle w:val="001000000000" w:firstRow="0" w:lastRow="0" w:firstColumn="1" w:lastColumn="0" w:oddVBand="0" w:evenVBand="0" w:oddHBand="0" w:evenHBand="0" w:firstRowFirstColumn="0" w:firstRowLastColumn="0" w:lastRowFirstColumn="0" w:lastRowLastColumn="0"/>
            <w:tcW w:w="2385" w:type="dxa"/>
          </w:tcPr>
          <w:p w14:paraId="78C2AC46" w14:textId="77777777" w:rsidR="007D5CED" w:rsidRPr="007D5CED" w:rsidRDefault="007D5CED" w:rsidP="00046A90">
            <w:pPr>
              <w:rPr>
                <w:lang w:val="en-GB"/>
              </w:rPr>
            </w:pPr>
            <w:r w:rsidRPr="007D5CED">
              <w:t>Cissexism</w:t>
            </w:r>
          </w:p>
        </w:tc>
        <w:tc>
          <w:tcPr>
            <w:tcW w:w="7516" w:type="dxa"/>
          </w:tcPr>
          <w:p w14:paraId="5F57FFC6"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Prejudice or discrimination against trans gender people.</w:t>
            </w:r>
          </w:p>
        </w:tc>
      </w:tr>
      <w:tr w:rsidR="007D5CED" w:rsidRPr="00EA1044" w14:paraId="34A8966B" w14:textId="77777777" w:rsidTr="00046A90">
        <w:trPr>
          <w:trHeight w:val="2079"/>
        </w:trPr>
        <w:tc>
          <w:tcPr>
            <w:cnfStyle w:val="001000000000" w:firstRow="0" w:lastRow="0" w:firstColumn="1" w:lastColumn="0" w:oddVBand="0" w:evenVBand="0" w:oddHBand="0" w:evenHBand="0" w:firstRowFirstColumn="0" w:firstRowLastColumn="0" w:lastRowFirstColumn="0" w:lastRowLastColumn="0"/>
            <w:tcW w:w="2385" w:type="dxa"/>
          </w:tcPr>
          <w:p w14:paraId="61A2F1F9" w14:textId="77777777" w:rsidR="007D5CED" w:rsidRPr="007D5CED" w:rsidRDefault="007D5CED" w:rsidP="00046A90">
            <w:pPr>
              <w:rPr>
                <w:lang w:val="en-GB"/>
              </w:rPr>
            </w:pPr>
            <w:r w:rsidRPr="007D5CED">
              <w:t xml:space="preserve">Coercive control </w:t>
            </w:r>
          </w:p>
        </w:tc>
        <w:tc>
          <w:tcPr>
            <w:tcW w:w="7516" w:type="dxa"/>
          </w:tcPr>
          <w:p w14:paraId="4329C648" w14:textId="78729C4C"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pattern of behaviours used to manipulate, intimidate, isolate and control a</w:t>
            </w:r>
            <w:r w:rsidR="009D4096">
              <w:rPr>
                <w:lang w:val="en-GB"/>
              </w:rPr>
              <w:t> </w:t>
            </w:r>
            <w:r w:rsidRPr="007D5CED">
              <w:rPr>
                <w:lang w:val="en-GB"/>
              </w:rPr>
              <w:t>partner and create an uneven power dynamic in the relationship (</w:t>
            </w:r>
            <w:r w:rsidR="00BB0EEA" w:rsidRPr="00BB0EEA">
              <w:rPr>
                <w:szCs w:val="20"/>
              </w:rPr>
              <w:t>Attorney-General's Department, 2023; Department of Social Services [DSS], 2022</w:t>
            </w:r>
            <w:r w:rsidRPr="007D5CED">
              <w:rPr>
                <w:lang w:val="en-GB"/>
              </w:rPr>
              <w:t>). Coercive control is often a significant part of a person’s experience of</w:t>
            </w:r>
            <w:r w:rsidR="009D4096">
              <w:rPr>
                <w:lang w:val="en-GB"/>
              </w:rPr>
              <w:t> </w:t>
            </w:r>
            <w:r w:rsidRPr="007D5CED">
              <w:rPr>
                <w:lang w:val="en-GB"/>
              </w:rPr>
              <w:t>domestic violence. A focus on coercive control reflects a shift from specific, isolated incidents (of primarily physical violence) to a recognition that individual acts can be used by perpetrators to form a broader pattern of</w:t>
            </w:r>
            <w:r w:rsidR="009D4096">
              <w:rPr>
                <w:lang w:val="en-GB"/>
              </w:rPr>
              <w:t> </w:t>
            </w:r>
            <w:r w:rsidRPr="007D5CED">
              <w:rPr>
                <w:lang w:val="en-GB"/>
              </w:rPr>
              <w:t xml:space="preserve">abusive behaviours that reinforce and strengthen the control and dominance of one person over another (DSS, 2022). </w:t>
            </w:r>
          </w:p>
        </w:tc>
      </w:tr>
      <w:tr w:rsidR="007D5CED" w:rsidRPr="00EA1044" w14:paraId="1B4AC98C" w14:textId="77777777" w:rsidTr="00046A90">
        <w:trPr>
          <w:trHeight w:val="2157"/>
        </w:trPr>
        <w:tc>
          <w:tcPr>
            <w:cnfStyle w:val="001000000000" w:firstRow="0" w:lastRow="0" w:firstColumn="1" w:lastColumn="0" w:oddVBand="0" w:evenVBand="0" w:oddHBand="0" w:evenHBand="0" w:firstRowFirstColumn="0" w:firstRowLastColumn="0" w:lastRowFirstColumn="0" w:lastRowLastColumn="0"/>
            <w:tcW w:w="2385" w:type="dxa"/>
          </w:tcPr>
          <w:p w14:paraId="429F4DAE" w14:textId="77777777" w:rsidR="007D5CED" w:rsidRPr="007D5CED" w:rsidRDefault="007D5CED" w:rsidP="00046A90">
            <w:pPr>
              <w:rPr>
                <w:lang w:val="en-GB"/>
              </w:rPr>
            </w:pPr>
            <w:r w:rsidRPr="007D5CED">
              <w:lastRenderedPageBreak/>
              <w:t xml:space="preserve">Domestic violence </w:t>
            </w:r>
          </w:p>
        </w:tc>
        <w:tc>
          <w:tcPr>
            <w:tcW w:w="7516" w:type="dxa"/>
          </w:tcPr>
          <w:p w14:paraId="7473D8A3" w14:textId="10D6EBAE"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Refers to violence within current or past intimate partner relationships, which causes physical, sexual or psychological harm. Domestic violence can include physical, sexual, emotional, psychological and financial abuse, and often occurs as a pattern of behaviour constituting coercive control. The term “domestic violence” is often used interchangeably with “intimate partner violence”. “Domestic violence” is used in this report, as many historical NCAS items use this terminology to describe violence between partners. (Note:</w:t>
            </w:r>
            <w:r w:rsidR="009D4096">
              <w:rPr>
                <w:lang w:val="en-GB"/>
              </w:rPr>
              <w:t> </w:t>
            </w:r>
            <w:r w:rsidRPr="007D5CED">
              <w:rPr>
                <w:lang w:val="en-GB"/>
              </w:rPr>
              <w:t>some broader definitions of domestic violence in the literature include</w:t>
            </w:r>
            <w:r w:rsidR="009D4096">
              <w:rPr>
                <w:lang w:val="en-GB"/>
              </w:rPr>
              <w:t> </w:t>
            </w:r>
            <w:r w:rsidRPr="007D5CED">
              <w:rPr>
                <w:lang w:val="en-GB"/>
              </w:rPr>
              <w:t xml:space="preserve">violence between other family members.) </w:t>
            </w:r>
          </w:p>
        </w:tc>
      </w:tr>
      <w:tr w:rsidR="007D5CED" w:rsidRPr="007D5CED" w14:paraId="20722D27" w14:textId="77777777" w:rsidTr="00046A90">
        <w:trPr>
          <w:trHeight w:val="107"/>
        </w:trPr>
        <w:tc>
          <w:tcPr>
            <w:cnfStyle w:val="001000000000" w:firstRow="0" w:lastRow="0" w:firstColumn="1" w:lastColumn="0" w:oddVBand="0" w:evenVBand="0" w:oddHBand="0" w:evenHBand="0" w:firstRowFirstColumn="0" w:firstRowLastColumn="0" w:lastRowFirstColumn="0" w:lastRowLastColumn="0"/>
            <w:tcW w:w="2385" w:type="dxa"/>
          </w:tcPr>
          <w:p w14:paraId="1F22BBBB" w14:textId="77777777" w:rsidR="007D5CED" w:rsidRPr="007D5CED" w:rsidRDefault="007D5CED" w:rsidP="00046A90">
            <w:pPr>
              <w:rPr>
                <w:lang w:val="en-GB"/>
              </w:rPr>
            </w:pPr>
            <w:r w:rsidRPr="007D5CED">
              <w:t>Economic abuse</w:t>
            </w:r>
          </w:p>
        </w:tc>
        <w:tc>
          <w:tcPr>
            <w:tcW w:w="7516" w:type="dxa"/>
          </w:tcPr>
          <w:p w14:paraId="1288AD6F"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See financial abuse.</w:t>
            </w:r>
          </w:p>
        </w:tc>
      </w:tr>
      <w:tr w:rsidR="007D5CED" w:rsidRPr="00EA1044" w14:paraId="13606925" w14:textId="77777777" w:rsidTr="00046A90">
        <w:trPr>
          <w:trHeight w:val="1137"/>
        </w:trPr>
        <w:tc>
          <w:tcPr>
            <w:cnfStyle w:val="001000000000" w:firstRow="0" w:lastRow="0" w:firstColumn="1" w:lastColumn="0" w:oddVBand="0" w:evenVBand="0" w:oddHBand="0" w:evenHBand="0" w:firstRowFirstColumn="0" w:firstRowLastColumn="0" w:lastRowFirstColumn="0" w:lastRowLastColumn="0"/>
            <w:tcW w:w="2385" w:type="dxa"/>
          </w:tcPr>
          <w:p w14:paraId="573B02FD" w14:textId="77777777" w:rsidR="007D5CED" w:rsidRPr="007D5CED" w:rsidRDefault="007D5CED" w:rsidP="00046A90">
            <w:pPr>
              <w:rPr>
                <w:lang w:val="en-GB"/>
              </w:rPr>
            </w:pPr>
            <w:r w:rsidRPr="007D5CED">
              <w:t xml:space="preserve">Emotional and psychological abuse </w:t>
            </w:r>
          </w:p>
        </w:tc>
        <w:tc>
          <w:tcPr>
            <w:tcW w:w="7516" w:type="dxa"/>
          </w:tcPr>
          <w:p w14:paraId="0DEE8B3D" w14:textId="243F04FB"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Forms of abuse that may include verbal, non-verbal or physical acts by the perpetrator that are intended to exercise dominance, control or coercion over the victim; degrade the victim’s emotional or cognitive abilities or sense of</w:t>
            </w:r>
            <w:r w:rsidR="009D4096">
              <w:rPr>
                <w:lang w:val="en-GB"/>
              </w:rPr>
              <w:t> </w:t>
            </w:r>
            <w:r w:rsidRPr="007D5CED">
              <w:rPr>
                <w:lang w:val="en-GB"/>
              </w:rPr>
              <w:t>self-worth; or induce feelings of fear and intimidation in the victim (National</w:t>
            </w:r>
            <w:r w:rsidR="009D4096">
              <w:rPr>
                <w:lang w:val="en-GB"/>
              </w:rPr>
              <w:t> </w:t>
            </w:r>
            <w:r w:rsidRPr="007D5CED">
              <w:rPr>
                <w:lang w:val="en-GB"/>
              </w:rPr>
              <w:t xml:space="preserve">Family and Domestic Violence Bench Book, 2022). </w:t>
            </w:r>
          </w:p>
        </w:tc>
      </w:tr>
      <w:tr w:rsidR="007D5CED" w:rsidRPr="00EA1044" w14:paraId="35B8A6DE" w14:textId="77777777" w:rsidTr="00046A90">
        <w:trPr>
          <w:trHeight w:val="325"/>
        </w:trPr>
        <w:tc>
          <w:tcPr>
            <w:cnfStyle w:val="001000000000" w:firstRow="0" w:lastRow="0" w:firstColumn="1" w:lastColumn="0" w:oddVBand="0" w:evenVBand="0" w:oddHBand="0" w:evenHBand="0" w:firstRowFirstColumn="0" w:firstRowLastColumn="0" w:lastRowFirstColumn="0" w:lastRowLastColumn="0"/>
            <w:tcW w:w="2385" w:type="dxa"/>
          </w:tcPr>
          <w:p w14:paraId="74AE7CF1" w14:textId="77777777" w:rsidR="007D5CED" w:rsidRPr="007D5CED" w:rsidRDefault="007D5CED" w:rsidP="00046A90">
            <w:pPr>
              <w:rPr>
                <w:lang w:val="en-GB"/>
              </w:rPr>
            </w:pPr>
            <w:r w:rsidRPr="007D5CED">
              <w:t>Equality</w:t>
            </w:r>
          </w:p>
        </w:tc>
        <w:tc>
          <w:tcPr>
            <w:tcW w:w="7516" w:type="dxa"/>
          </w:tcPr>
          <w:p w14:paraId="64FC14D9"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The state of being equal, especially in status, rights or opportunities. </w:t>
            </w:r>
          </w:p>
        </w:tc>
      </w:tr>
      <w:tr w:rsidR="007D5CED" w:rsidRPr="00EA1044" w14:paraId="7E545450" w14:textId="77777777" w:rsidTr="00046A90">
        <w:trPr>
          <w:trHeight w:val="1341"/>
        </w:trPr>
        <w:tc>
          <w:tcPr>
            <w:cnfStyle w:val="001000000000" w:firstRow="0" w:lastRow="0" w:firstColumn="1" w:lastColumn="0" w:oddVBand="0" w:evenVBand="0" w:oddHBand="0" w:evenHBand="0" w:firstRowFirstColumn="0" w:firstRowLastColumn="0" w:lastRowFirstColumn="0" w:lastRowLastColumn="0"/>
            <w:tcW w:w="2385" w:type="dxa"/>
          </w:tcPr>
          <w:p w14:paraId="07E66AEB" w14:textId="77777777" w:rsidR="007D5CED" w:rsidRPr="007D5CED" w:rsidRDefault="007D5CED" w:rsidP="00046A90">
            <w:pPr>
              <w:rPr>
                <w:lang w:val="en-GB"/>
              </w:rPr>
            </w:pPr>
            <w:r w:rsidRPr="007D5CED">
              <w:t>Equity</w:t>
            </w:r>
          </w:p>
        </w:tc>
        <w:tc>
          <w:tcPr>
            <w:tcW w:w="7516" w:type="dxa"/>
          </w:tcPr>
          <w:p w14:paraId="2DA06BCD"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The state, quality or ideal of being just, impartial and fair. As related to racial and social justice, equity means meeting people and communities where they are, by allocating resources and opportunities as needed to create equal outcomes for all – creating a “level playing field”. The concept of equity recognises that different people have different circumstances and needs that must be met in order to achieve equal outcomes. </w:t>
            </w:r>
          </w:p>
        </w:tc>
      </w:tr>
      <w:tr w:rsidR="007D5CED" w:rsidRPr="00EA1044" w14:paraId="6EEF938F" w14:textId="77777777" w:rsidTr="00046A90">
        <w:trPr>
          <w:trHeight w:val="1424"/>
        </w:trPr>
        <w:tc>
          <w:tcPr>
            <w:cnfStyle w:val="001000000000" w:firstRow="0" w:lastRow="0" w:firstColumn="1" w:lastColumn="0" w:oddVBand="0" w:evenVBand="0" w:oddHBand="0" w:evenHBand="0" w:firstRowFirstColumn="0" w:firstRowLastColumn="0" w:lastRowFirstColumn="0" w:lastRowLastColumn="0"/>
            <w:tcW w:w="2385" w:type="dxa"/>
          </w:tcPr>
          <w:p w14:paraId="04336DCA" w14:textId="77777777" w:rsidR="007D5CED" w:rsidRPr="007D5CED" w:rsidRDefault="007D5CED" w:rsidP="00046A90">
            <w:pPr>
              <w:rPr>
                <w:lang w:val="en-GB"/>
              </w:rPr>
            </w:pPr>
            <w:r w:rsidRPr="007D5CED">
              <w:t xml:space="preserve">Family violence </w:t>
            </w:r>
          </w:p>
        </w:tc>
        <w:tc>
          <w:tcPr>
            <w:tcW w:w="7516" w:type="dxa"/>
          </w:tcPr>
          <w:p w14:paraId="44078113" w14:textId="00DB7C51"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broader term than “domestic violence”. Refers not only to violence between</w:t>
            </w:r>
            <w:r w:rsidR="009D4096">
              <w:rPr>
                <w:lang w:val="en-GB"/>
              </w:rPr>
              <w:t> </w:t>
            </w:r>
            <w:r w:rsidRPr="007D5CED">
              <w:rPr>
                <w:lang w:val="en-GB"/>
              </w:rPr>
              <w:t>intimate partners but also to violence between family members. For</w:t>
            </w:r>
            <w:r w:rsidR="009D4096">
              <w:rPr>
                <w:lang w:val="en-GB"/>
              </w:rPr>
              <w:t> </w:t>
            </w:r>
            <w:r w:rsidRPr="007D5CED">
              <w:rPr>
                <w:lang w:val="en-GB"/>
              </w:rPr>
              <w:t>Aboriginal and/or Torres Strait Islander peoples and communities, “family violence” encapsulates the broader issue of violence within extended families, kinship networks and community relationships, as well as intergenerational issues. “Family” may also refer to “chosen families”, as found, for example, in</w:t>
            </w:r>
            <w:r w:rsidR="009D4096">
              <w:rPr>
                <w:lang w:val="en-GB"/>
              </w:rPr>
              <w:t> </w:t>
            </w:r>
            <w:r w:rsidRPr="007D5CED">
              <w:rPr>
                <w:lang w:val="en-GB"/>
              </w:rPr>
              <w:t xml:space="preserve">LGBTQ+ communities. </w:t>
            </w:r>
          </w:p>
        </w:tc>
      </w:tr>
      <w:tr w:rsidR="007D5CED" w:rsidRPr="00EA1044" w14:paraId="32F85499" w14:textId="77777777" w:rsidTr="00046A90">
        <w:trPr>
          <w:trHeight w:val="1677"/>
        </w:trPr>
        <w:tc>
          <w:tcPr>
            <w:cnfStyle w:val="001000000000" w:firstRow="0" w:lastRow="0" w:firstColumn="1" w:lastColumn="0" w:oddVBand="0" w:evenVBand="0" w:oddHBand="0" w:evenHBand="0" w:firstRowFirstColumn="0" w:firstRowLastColumn="0" w:lastRowFirstColumn="0" w:lastRowLastColumn="0"/>
            <w:tcW w:w="2385" w:type="dxa"/>
          </w:tcPr>
          <w:p w14:paraId="77FCD719" w14:textId="77777777" w:rsidR="007D5CED" w:rsidRPr="007D5CED" w:rsidRDefault="007D5CED" w:rsidP="00046A90">
            <w:pPr>
              <w:rPr>
                <w:lang w:val="en-GB"/>
              </w:rPr>
            </w:pPr>
            <w:r w:rsidRPr="007D5CED">
              <w:t xml:space="preserve">Financial abuse </w:t>
            </w:r>
          </w:p>
        </w:tc>
        <w:tc>
          <w:tcPr>
            <w:tcW w:w="7516" w:type="dxa"/>
          </w:tcPr>
          <w:p w14:paraId="39D4C78E" w14:textId="0E9D6109"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Also termed “economic abuse”. A type of violence that often occurs alongside other types of domestic violence, such as physical or emotional abuse. It</w:t>
            </w:r>
            <w:r w:rsidR="009D4096">
              <w:rPr>
                <w:lang w:val="en-GB"/>
              </w:rPr>
              <w:t> </w:t>
            </w:r>
            <w:r w:rsidRPr="007D5CED">
              <w:rPr>
                <w:lang w:val="en-GB"/>
              </w:rPr>
              <w:t>involves using money in ways to cause harm, such as by withholding funds, preventing a person being involved in financial decisions that affect them, preventing them from getting a job, controlling all household spending and many other tactics to restrict a victim and survivor’s freedom and</w:t>
            </w:r>
            <w:r w:rsidR="009D4096">
              <w:rPr>
                <w:lang w:val="en-GB"/>
              </w:rPr>
              <w:t> </w:t>
            </w:r>
            <w:r w:rsidRPr="007D5CED">
              <w:rPr>
                <w:lang w:val="en-GB"/>
              </w:rPr>
              <w:t xml:space="preserve">independence. </w:t>
            </w:r>
          </w:p>
        </w:tc>
      </w:tr>
      <w:tr w:rsidR="007D5CED" w:rsidRPr="00EA1044" w14:paraId="4AC7E153" w14:textId="77777777" w:rsidTr="00046A90">
        <w:trPr>
          <w:trHeight w:val="3071"/>
        </w:trPr>
        <w:tc>
          <w:tcPr>
            <w:cnfStyle w:val="001000000000" w:firstRow="0" w:lastRow="0" w:firstColumn="1" w:lastColumn="0" w:oddVBand="0" w:evenVBand="0" w:oddHBand="0" w:evenHBand="0" w:firstRowFirstColumn="0" w:firstRowLastColumn="0" w:lastRowFirstColumn="0" w:lastRowLastColumn="0"/>
            <w:tcW w:w="2385" w:type="dxa"/>
          </w:tcPr>
          <w:p w14:paraId="7BD24C64" w14:textId="77777777" w:rsidR="007D5CED" w:rsidRPr="007D5CED" w:rsidRDefault="007D5CED" w:rsidP="00046A90">
            <w:pPr>
              <w:rPr>
                <w:lang w:val="en-GB"/>
              </w:rPr>
            </w:pPr>
            <w:r w:rsidRPr="007D5CED">
              <w:t xml:space="preserve">Gender </w:t>
            </w:r>
          </w:p>
        </w:tc>
        <w:tc>
          <w:tcPr>
            <w:tcW w:w="7516" w:type="dxa"/>
          </w:tcPr>
          <w:p w14:paraId="4DC99E39" w14:textId="1A4333C4"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socially constructed and learned roles, norms, behaviours, activities and attributes that a society considers appropriate for people, usually based on</w:t>
            </w:r>
            <w:r w:rsidR="009D4096">
              <w:rPr>
                <w:lang w:val="en-GB"/>
              </w:rPr>
              <w:t> </w:t>
            </w:r>
            <w:r w:rsidRPr="007D5CED">
              <w:rPr>
                <w:lang w:val="en-GB"/>
              </w:rPr>
              <w:t>their biological sex. Gender has historically been constructed as a binary between “man” and “woman” or “masculinity” and “femininity”, and as a hierarchy of “men” over “women”. These binaries and hierarchies can produce inequalities and discrimination based on gender. As a social construct, gender</w:t>
            </w:r>
            <w:r w:rsidR="009D4096">
              <w:rPr>
                <w:lang w:val="en-GB"/>
              </w:rPr>
              <w:t> </w:t>
            </w:r>
            <w:r w:rsidRPr="007D5CED">
              <w:rPr>
                <w:lang w:val="en-GB"/>
              </w:rPr>
              <w:t>is not fixed: the acceptable roles and behaviours associated with “man” and “woman” can vary from society to society and can change over time. Gender identities of “man” and “woman” are often associated with the social expectations for members of the biological sex categories “male” and “female”. Where people identify their gender as matching their biological sex assigned or presumed for them at birth, this is called “cis gender”. However,</w:t>
            </w:r>
            <w:r w:rsidR="009D4096">
              <w:rPr>
                <w:lang w:val="en-GB"/>
              </w:rPr>
              <w:t> </w:t>
            </w:r>
            <w:r w:rsidRPr="007D5CED">
              <w:rPr>
                <w:lang w:val="en-GB"/>
              </w:rPr>
              <w:t xml:space="preserve">many people do not subscribe to cis gender norms </w:t>
            </w:r>
            <w:r w:rsidRPr="007D5CED">
              <w:rPr>
                <w:lang w:val="en-GB"/>
              </w:rPr>
              <w:lastRenderedPageBreak/>
              <w:t>and describe their gender identity in terms that do not accord with the rigidity of the gender binary. For</w:t>
            </w:r>
            <w:r w:rsidR="009D4096">
              <w:rPr>
                <w:lang w:val="en-GB"/>
              </w:rPr>
              <w:t> </w:t>
            </w:r>
            <w:r w:rsidRPr="007D5CED">
              <w:rPr>
                <w:lang w:val="en-GB"/>
              </w:rPr>
              <w:t>further information on how gender is used in the NCAS survey and this report, see Section 2.2 in the Main report.</w:t>
            </w:r>
          </w:p>
        </w:tc>
      </w:tr>
      <w:tr w:rsidR="007D5CED" w:rsidRPr="00EA1044" w14:paraId="4E54CE0D"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711C0737" w14:textId="77777777" w:rsidR="007D5CED" w:rsidRPr="007D5CED" w:rsidRDefault="007D5CED" w:rsidP="00046A90">
            <w:pPr>
              <w:rPr>
                <w:lang w:val="en-GB"/>
              </w:rPr>
            </w:pPr>
            <w:r w:rsidRPr="007D5CED">
              <w:lastRenderedPageBreak/>
              <w:t xml:space="preserve">Gendered drivers of violence </w:t>
            </w:r>
          </w:p>
        </w:tc>
        <w:tc>
          <w:tcPr>
            <w:tcW w:w="7516" w:type="dxa"/>
          </w:tcPr>
          <w:p w14:paraId="5B4DAF8E" w14:textId="02B8E08A"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underlying causes that create the necessary conditions in which violence against women occurs. The drivers relate to the particular structures, norms</w:t>
            </w:r>
            <w:r w:rsidR="009D4096">
              <w:rPr>
                <w:lang w:val="en-GB"/>
              </w:rPr>
              <w:t> </w:t>
            </w:r>
            <w:r w:rsidRPr="007D5CED">
              <w:rPr>
                <w:lang w:val="en-GB"/>
              </w:rPr>
              <w:t xml:space="preserve">and practices arising from gender inequality in public and private life, as well as from other forms of social discrimination and oppression against certain groups of women, including racism, classism, ableism, ageism, heteronormativity and cissexism etc. </w:t>
            </w:r>
          </w:p>
        </w:tc>
      </w:tr>
      <w:tr w:rsidR="007D5CED" w:rsidRPr="007D5CED" w14:paraId="44940F13" w14:textId="77777777" w:rsidTr="00046A90">
        <w:trPr>
          <w:trHeight w:val="528"/>
        </w:trPr>
        <w:tc>
          <w:tcPr>
            <w:cnfStyle w:val="001000000000" w:firstRow="0" w:lastRow="0" w:firstColumn="1" w:lastColumn="0" w:oddVBand="0" w:evenVBand="0" w:oddHBand="0" w:evenHBand="0" w:firstRowFirstColumn="0" w:firstRowLastColumn="0" w:lastRowFirstColumn="0" w:lastRowLastColumn="0"/>
            <w:tcW w:w="2385" w:type="dxa"/>
          </w:tcPr>
          <w:p w14:paraId="26719F0B" w14:textId="77777777" w:rsidR="007D5CED" w:rsidRPr="007D5CED" w:rsidRDefault="007D5CED" w:rsidP="00046A90">
            <w:pPr>
              <w:rPr>
                <w:lang w:val="en-GB"/>
              </w:rPr>
            </w:pPr>
            <w:r w:rsidRPr="007D5CED">
              <w:t xml:space="preserve">Gender equality </w:t>
            </w:r>
          </w:p>
        </w:tc>
        <w:tc>
          <w:tcPr>
            <w:tcW w:w="7516" w:type="dxa"/>
          </w:tcPr>
          <w:p w14:paraId="6FEF260F"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Relates to equal opportunities for all genders to access social, economic and political resources, including legislative protection. Effectively, it describes equality of opportunity. </w:t>
            </w:r>
          </w:p>
        </w:tc>
      </w:tr>
      <w:tr w:rsidR="007D5CED" w:rsidRPr="00EA1044" w14:paraId="0797BFA6" w14:textId="77777777" w:rsidTr="00046A90">
        <w:trPr>
          <w:trHeight w:val="346"/>
        </w:trPr>
        <w:tc>
          <w:tcPr>
            <w:cnfStyle w:val="001000000000" w:firstRow="0" w:lastRow="0" w:firstColumn="1" w:lastColumn="0" w:oddVBand="0" w:evenVBand="0" w:oddHBand="0" w:evenHBand="0" w:firstRowFirstColumn="0" w:firstRowLastColumn="0" w:lastRowFirstColumn="0" w:lastRowLastColumn="0"/>
            <w:tcW w:w="2385" w:type="dxa"/>
          </w:tcPr>
          <w:p w14:paraId="7F132F07" w14:textId="77777777" w:rsidR="007D5CED" w:rsidRPr="007D5CED" w:rsidRDefault="007D5CED" w:rsidP="00046A90">
            <w:pPr>
              <w:rPr>
                <w:lang w:val="en-GB"/>
              </w:rPr>
            </w:pPr>
            <w:r w:rsidRPr="007D5CED">
              <w:t xml:space="preserve">Gender-ignoring </w:t>
            </w:r>
          </w:p>
        </w:tc>
        <w:tc>
          <w:tcPr>
            <w:tcW w:w="7516" w:type="dxa"/>
          </w:tcPr>
          <w:p w14:paraId="1E002BA9"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perspective that focuses on the importance of being “fair” by treating everyone the same but fails to recognise the gendered norms and gendered differences within structures and systems that drive gender-based inequalities and violence. </w:t>
            </w:r>
          </w:p>
        </w:tc>
      </w:tr>
      <w:tr w:rsidR="007D5CED" w:rsidRPr="00EA1044" w14:paraId="0F1276B6" w14:textId="77777777" w:rsidTr="00046A90">
        <w:trPr>
          <w:trHeight w:val="604"/>
        </w:trPr>
        <w:tc>
          <w:tcPr>
            <w:cnfStyle w:val="001000000000" w:firstRow="0" w:lastRow="0" w:firstColumn="1" w:lastColumn="0" w:oddVBand="0" w:evenVBand="0" w:oddHBand="0" w:evenHBand="0" w:firstRowFirstColumn="0" w:firstRowLastColumn="0" w:lastRowFirstColumn="0" w:lastRowLastColumn="0"/>
            <w:tcW w:w="2385" w:type="dxa"/>
          </w:tcPr>
          <w:p w14:paraId="63A00132" w14:textId="77777777" w:rsidR="007D5CED" w:rsidRPr="007D5CED" w:rsidRDefault="007D5CED" w:rsidP="00046A90">
            <w:pPr>
              <w:rPr>
                <w:lang w:val="en-GB"/>
              </w:rPr>
            </w:pPr>
            <w:r w:rsidRPr="007D5CED">
              <w:t xml:space="preserve">Gender norms and stereotypes </w:t>
            </w:r>
          </w:p>
        </w:tc>
        <w:tc>
          <w:tcPr>
            <w:tcW w:w="7516" w:type="dxa"/>
          </w:tcPr>
          <w:p w14:paraId="0C5AB65B"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Shared standards of acceptable behaviour and overgeneralised concepts that are associated with genders within a community, culture or group (The Good Society, 2022).</w:t>
            </w:r>
          </w:p>
        </w:tc>
      </w:tr>
      <w:tr w:rsidR="007D5CED" w:rsidRPr="00EA1044" w14:paraId="6524A027" w14:textId="77777777" w:rsidTr="00046A90">
        <w:trPr>
          <w:trHeight w:val="564"/>
        </w:trPr>
        <w:tc>
          <w:tcPr>
            <w:cnfStyle w:val="001000000000" w:firstRow="0" w:lastRow="0" w:firstColumn="1" w:lastColumn="0" w:oddVBand="0" w:evenVBand="0" w:oddHBand="0" w:evenHBand="0" w:firstRowFirstColumn="0" w:firstRowLastColumn="0" w:lastRowFirstColumn="0" w:lastRowLastColumn="0"/>
            <w:tcW w:w="2385" w:type="dxa"/>
          </w:tcPr>
          <w:p w14:paraId="5260D9B1" w14:textId="77777777" w:rsidR="007D5CED" w:rsidRPr="007D5CED" w:rsidRDefault="007D5CED" w:rsidP="00046A90">
            <w:pPr>
              <w:rPr>
                <w:lang w:val="en-GB"/>
              </w:rPr>
            </w:pPr>
            <w:r w:rsidRPr="007D5CED">
              <w:t xml:space="preserve">Gender-transformative approaches </w:t>
            </w:r>
          </w:p>
        </w:tc>
        <w:tc>
          <w:tcPr>
            <w:tcW w:w="7516" w:type="dxa"/>
          </w:tcPr>
          <w:p w14:paraId="688C3044"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Approaches that challenge and attempt to change problematic gender stereotypes, scripts, norms, the gender binary and the gender hierarchy, which facilitate and maintain gender inequality (Our Watch, 2019, 2021b).</w:t>
            </w:r>
          </w:p>
        </w:tc>
      </w:tr>
      <w:tr w:rsidR="007D5CED" w:rsidRPr="00EA1044" w14:paraId="4BD67E1A" w14:textId="77777777" w:rsidTr="00046A90">
        <w:trPr>
          <w:trHeight w:val="2637"/>
        </w:trPr>
        <w:tc>
          <w:tcPr>
            <w:cnfStyle w:val="001000000000" w:firstRow="0" w:lastRow="0" w:firstColumn="1" w:lastColumn="0" w:oddVBand="0" w:evenVBand="0" w:oddHBand="0" w:evenHBand="0" w:firstRowFirstColumn="0" w:firstRowLastColumn="0" w:lastRowFirstColumn="0" w:lastRowLastColumn="0"/>
            <w:tcW w:w="2385" w:type="dxa"/>
          </w:tcPr>
          <w:p w14:paraId="4920F73F" w14:textId="77777777" w:rsidR="007D5CED" w:rsidRPr="007D5CED" w:rsidRDefault="007D5CED" w:rsidP="00046A90">
            <w:pPr>
              <w:rPr>
                <w:lang w:val="en-GB"/>
              </w:rPr>
            </w:pPr>
            <w:r w:rsidRPr="007D5CED">
              <w:t xml:space="preserve">Heteronormativity </w:t>
            </w:r>
          </w:p>
        </w:tc>
        <w:tc>
          <w:tcPr>
            <w:tcW w:w="7516" w:type="dxa"/>
          </w:tcPr>
          <w:p w14:paraId="10BA0820" w14:textId="7B2C5E23"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belief that heterosexuality is the preferred and “natural” sexual orientation, which assumes that gender is binary (i.e. men and women). Heteronormativity functions to legitimise social and legal institutions that devalue, marginalise and discriminate against people who deviate from this normative principle (e.g. gay men, lesbians, bisexuals, trans people; American Psychological Association, 2022). The dominance of heteronormative and cisnormative models of domestic and family violence also makes it harder to</w:t>
            </w:r>
            <w:r w:rsidR="009D4096">
              <w:rPr>
                <w:lang w:val="en-GB"/>
              </w:rPr>
              <w:t> </w:t>
            </w:r>
            <w:r w:rsidRPr="007D5CED">
              <w:rPr>
                <w:lang w:val="en-GB"/>
              </w:rPr>
              <w:t>recognise this violence in LGBTQ+ communities. This bias can contribute to</w:t>
            </w:r>
            <w:r w:rsidR="009D4096">
              <w:rPr>
                <w:lang w:val="en-GB"/>
              </w:rPr>
              <w:t> </w:t>
            </w:r>
            <w:r w:rsidRPr="007D5CED">
              <w:rPr>
                <w:lang w:val="en-GB"/>
              </w:rPr>
              <w:t>a culture of silence that leads to LGBTQ+ people staying in abusive relationships and not accessing services and other vital support (LGBTIQ+ Health Australia, 2022).</w:t>
            </w:r>
          </w:p>
        </w:tc>
      </w:tr>
      <w:tr w:rsidR="007D5CED" w:rsidRPr="00EA1044" w14:paraId="78DBBD5B" w14:textId="77777777" w:rsidTr="00046A90">
        <w:trPr>
          <w:trHeight w:val="1917"/>
        </w:trPr>
        <w:tc>
          <w:tcPr>
            <w:cnfStyle w:val="001000000000" w:firstRow="0" w:lastRow="0" w:firstColumn="1" w:lastColumn="0" w:oddVBand="0" w:evenVBand="0" w:oddHBand="0" w:evenHBand="0" w:firstRowFirstColumn="0" w:firstRowLastColumn="0" w:lastRowFirstColumn="0" w:lastRowLastColumn="0"/>
            <w:tcW w:w="2385" w:type="dxa"/>
          </w:tcPr>
          <w:p w14:paraId="7EB09A69" w14:textId="77777777" w:rsidR="007D5CED" w:rsidRPr="007D5CED" w:rsidRDefault="007D5CED" w:rsidP="00046A90">
            <w:pPr>
              <w:rPr>
                <w:lang w:val="en-GB"/>
              </w:rPr>
            </w:pPr>
            <w:r w:rsidRPr="007D5CED">
              <w:t xml:space="preserve">Intersectionality </w:t>
            </w:r>
          </w:p>
        </w:tc>
        <w:tc>
          <w:tcPr>
            <w:tcW w:w="7516" w:type="dxa"/>
          </w:tcPr>
          <w:p w14:paraId="5820AEB8" w14:textId="3847191F"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interactions between multiple systems and structures of oppression (such</w:t>
            </w:r>
            <w:r w:rsidR="009D4096">
              <w:rPr>
                <w:lang w:val="en-GB"/>
              </w:rPr>
              <w:t> </w:t>
            </w:r>
            <w:r w:rsidRPr="007D5CED">
              <w:rPr>
                <w:lang w:val="en-GB"/>
              </w:rPr>
              <w:t>as sexism, racism, classism, ageism, ableism, heteronormativity and cissexism), which can be reflected in policy, practices, services and legal contexts. Intersectionality acknowledges that some people are subject to</w:t>
            </w:r>
            <w:r w:rsidR="009D4096">
              <w:rPr>
                <w:lang w:val="en-GB"/>
              </w:rPr>
              <w:t> </w:t>
            </w:r>
            <w:r w:rsidRPr="007D5CED">
              <w:rPr>
                <w:lang w:val="en-GB"/>
              </w:rPr>
              <w:t xml:space="preserve">multiple forms of oppression and the experience of this oppression is not just the sum of its parts. An intersectional approach is a lens for seeing how various forms of inequality can </w:t>
            </w:r>
            <w:r w:rsidRPr="007D5CED">
              <w:rPr>
                <w:lang w:val="en-GB"/>
              </w:rPr>
              <w:lastRenderedPageBreak/>
              <w:t xml:space="preserve">often operate together and exacerbate each other (Kimberlé Crenshaw quoted in Steinmetz, 2020). </w:t>
            </w:r>
          </w:p>
        </w:tc>
      </w:tr>
      <w:tr w:rsidR="007D5CED" w:rsidRPr="00EA1044" w14:paraId="29F268F2" w14:textId="77777777" w:rsidTr="00046A90">
        <w:trPr>
          <w:trHeight w:val="97"/>
        </w:trPr>
        <w:tc>
          <w:tcPr>
            <w:cnfStyle w:val="001000000000" w:firstRow="0" w:lastRow="0" w:firstColumn="1" w:lastColumn="0" w:oddVBand="0" w:evenVBand="0" w:oddHBand="0" w:evenHBand="0" w:firstRowFirstColumn="0" w:firstRowLastColumn="0" w:lastRowFirstColumn="0" w:lastRowLastColumn="0"/>
            <w:tcW w:w="2385" w:type="dxa"/>
          </w:tcPr>
          <w:p w14:paraId="20FC3735" w14:textId="77777777" w:rsidR="007D5CED" w:rsidRPr="007D5CED" w:rsidRDefault="007D5CED" w:rsidP="00046A90">
            <w:pPr>
              <w:rPr>
                <w:lang w:val="en-GB"/>
              </w:rPr>
            </w:pPr>
            <w:r w:rsidRPr="007D5CED">
              <w:lastRenderedPageBreak/>
              <w:t xml:space="preserve">Men </w:t>
            </w:r>
          </w:p>
        </w:tc>
        <w:tc>
          <w:tcPr>
            <w:tcW w:w="7516" w:type="dxa"/>
          </w:tcPr>
          <w:p w14:paraId="06DEBC82"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gender identity. In this report, the term is used for respondents who identified as men when asked to state how they describe their gender. </w:t>
            </w:r>
          </w:p>
        </w:tc>
      </w:tr>
      <w:tr w:rsidR="007D5CED" w:rsidRPr="00EA1044" w14:paraId="1C7C0110" w14:textId="77777777" w:rsidTr="00046A90">
        <w:trPr>
          <w:trHeight w:val="862"/>
        </w:trPr>
        <w:tc>
          <w:tcPr>
            <w:cnfStyle w:val="001000000000" w:firstRow="0" w:lastRow="0" w:firstColumn="1" w:lastColumn="0" w:oddVBand="0" w:evenVBand="0" w:oddHBand="0" w:evenHBand="0" w:firstRowFirstColumn="0" w:firstRowLastColumn="0" w:lastRowFirstColumn="0" w:lastRowLastColumn="0"/>
            <w:tcW w:w="2385" w:type="dxa"/>
          </w:tcPr>
          <w:p w14:paraId="53B0DBB6" w14:textId="77777777" w:rsidR="007D5CED" w:rsidRPr="007D5CED" w:rsidRDefault="007D5CED" w:rsidP="00046A90">
            <w:pPr>
              <w:rPr>
                <w:lang w:val="en-GB"/>
              </w:rPr>
            </w:pPr>
            <w:r w:rsidRPr="007D5CED">
              <w:t xml:space="preserve">Microaggressions </w:t>
            </w:r>
          </w:p>
        </w:tc>
        <w:tc>
          <w:tcPr>
            <w:tcW w:w="7516" w:type="dxa"/>
          </w:tcPr>
          <w:p w14:paraId="42E9C01D"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Everyday, subtle and sometimes overt, intentional or unintentional interactions or behaviours that communicate some type of bias towards historically marginalised groups, including women. People who enact microaggressions may not be aware of their bias. </w:t>
            </w:r>
          </w:p>
        </w:tc>
      </w:tr>
      <w:tr w:rsidR="007D5CED" w:rsidRPr="00EA1044" w14:paraId="05815F39" w14:textId="77777777" w:rsidTr="00046A90">
        <w:trPr>
          <w:trHeight w:val="23"/>
        </w:trPr>
        <w:tc>
          <w:tcPr>
            <w:cnfStyle w:val="001000000000" w:firstRow="0" w:lastRow="0" w:firstColumn="1" w:lastColumn="0" w:oddVBand="0" w:evenVBand="0" w:oddHBand="0" w:evenHBand="0" w:firstRowFirstColumn="0" w:firstRowLastColumn="0" w:lastRowFirstColumn="0" w:lastRowLastColumn="0"/>
            <w:tcW w:w="2385" w:type="dxa"/>
          </w:tcPr>
          <w:p w14:paraId="5C418533" w14:textId="77777777" w:rsidR="007D5CED" w:rsidRPr="007D5CED" w:rsidRDefault="007D5CED" w:rsidP="00046A90">
            <w:pPr>
              <w:rPr>
                <w:lang w:val="en-GB"/>
              </w:rPr>
            </w:pPr>
            <w:r w:rsidRPr="007D5CED">
              <w:t xml:space="preserve">Misogyny </w:t>
            </w:r>
          </w:p>
        </w:tc>
        <w:tc>
          <w:tcPr>
            <w:tcW w:w="7516" w:type="dxa"/>
          </w:tcPr>
          <w:p w14:paraId="589FCCD1"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strong dislike of or contempt for women. </w:t>
            </w:r>
          </w:p>
        </w:tc>
      </w:tr>
      <w:tr w:rsidR="007D5CED" w:rsidRPr="00EA1044" w14:paraId="76FF232C" w14:textId="77777777" w:rsidTr="00046A90">
        <w:trPr>
          <w:trHeight w:val="1884"/>
        </w:trPr>
        <w:tc>
          <w:tcPr>
            <w:cnfStyle w:val="001000000000" w:firstRow="0" w:lastRow="0" w:firstColumn="1" w:lastColumn="0" w:oddVBand="0" w:evenVBand="0" w:oddHBand="0" w:evenHBand="0" w:firstRowFirstColumn="0" w:firstRowLastColumn="0" w:lastRowFirstColumn="0" w:lastRowLastColumn="0"/>
            <w:tcW w:w="2385" w:type="dxa"/>
          </w:tcPr>
          <w:p w14:paraId="4F2EB365" w14:textId="77777777" w:rsidR="007D5CED" w:rsidRPr="007D5CED" w:rsidRDefault="007D5CED" w:rsidP="00046A90">
            <w:pPr>
              <w:rPr>
                <w:lang w:val="en-GB"/>
              </w:rPr>
            </w:pPr>
            <w:r w:rsidRPr="007D5CED">
              <w:t xml:space="preserve">Multiple linear regression analysis </w:t>
            </w:r>
          </w:p>
        </w:tc>
        <w:tc>
          <w:tcPr>
            <w:tcW w:w="7516" w:type="dxa"/>
          </w:tcPr>
          <w:p w14:paraId="4DA5118B"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statistical analysis that examines the relationship of a (continuous) outcome variable of interest (e.g. understanding of violence against women) to multiple factors (or input variables) considered together (e.g. multiple demographic characteristics). Unlike bivariate analysis, multiple linear</w:t>
            </w:r>
            <w:r w:rsidRPr="007D5CED">
              <w:t xml:space="preserve"> </w:t>
            </w:r>
            <w:r w:rsidRPr="007D5CED">
              <w:rPr>
                <w:lang w:val="en-GB"/>
              </w:rPr>
              <w:t xml:space="preserve">regression analysis has the advantage that it can determine which of multiple factors: </w:t>
            </w:r>
          </w:p>
          <w:p w14:paraId="509ED1E5" w14:textId="77777777" w:rsidR="007D5CED" w:rsidRPr="000C1D77" w:rsidRDefault="007D5CED" w:rsidP="0013577A">
            <w:pPr>
              <w:pStyle w:val="ListParagraph"/>
              <w:numPr>
                <w:ilvl w:val="0"/>
                <w:numId w:val="725"/>
              </w:numPr>
              <w:cnfStyle w:val="000000000000" w:firstRow="0" w:lastRow="0" w:firstColumn="0" w:lastColumn="0" w:oddVBand="0" w:evenVBand="0" w:oddHBand="0" w:evenHBand="0" w:firstRowFirstColumn="0" w:firstRowLastColumn="0" w:lastRowFirstColumn="0" w:lastRowLastColumn="0"/>
              <w:rPr>
                <w:lang w:val="en-GB"/>
              </w:rPr>
            </w:pPr>
            <w:r w:rsidRPr="000C1D77">
              <w:rPr>
                <w:lang w:val="en-GB"/>
              </w:rPr>
              <w:t xml:space="preserve">are </w:t>
            </w:r>
            <w:r w:rsidRPr="000C1D77">
              <w:rPr>
                <w:rStyle w:val="Emphasis"/>
                <w:lang w:val="en-AU"/>
              </w:rPr>
              <w:t>independently</w:t>
            </w:r>
            <w:r w:rsidRPr="000C1D77">
              <w:rPr>
                <w:lang w:val="en-GB"/>
              </w:rPr>
              <w:t xml:space="preserve"> related to or “predict” the outcome variable, </w:t>
            </w:r>
            <w:r w:rsidRPr="000C1D77">
              <w:rPr>
                <w:rStyle w:val="Emphasis"/>
                <w:lang w:val="en-AU"/>
              </w:rPr>
              <w:t>after</w:t>
            </w:r>
            <w:r w:rsidRPr="000C1D77">
              <w:rPr>
                <w:lang w:val="en-GB"/>
              </w:rPr>
              <w:t xml:space="preserve"> accounting for any relationships between the factors </w:t>
            </w:r>
          </w:p>
          <w:p w14:paraId="77E71435" w14:textId="77777777" w:rsidR="007D5CED" w:rsidRPr="000C1D77" w:rsidRDefault="007D5CED" w:rsidP="0013577A">
            <w:pPr>
              <w:pStyle w:val="ListParagraph"/>
              <w:numPr>
                <w:ilvl w:val="0"/>
                <w:numId w:val="725"/>
              </w:numPr>
              <w:cnfStyle w:val="000000000000" w:firstRow="0" w:lastRow="0" w:firstColumn="0" w:lastColumn="0" w:oddVBand="0" w:evenVBand="0" w:oddHBand="0" w:evenHBand="0" w:firstRowFirstColumn="0" w:firstRowLastColumn="0" w:lastRowFirstColumn="0" w:lastRowLastColumn="0"/>
              <w:rPr>
                <w:lang w:val="en-GB"/>
              </w:rPr>
            </w:pPr>
            <w:r w:rsidRPr="000C1D77">
              <w:rPr>
                <w:lang w:val="en-GB"/>
              </w:rPr>
              <w:t xml:space="preserve">are </w:t>
            </w:r>
            <w:r w:rsidRPr="000C1D77">
              <w:rPr>
                <w:rStyle w:val="Emphasis"/>
                <w:lang w:val="en-AU"/>
              </w:rPr>
              <w:t>most important</w:t>
            </w:r>
            <w:r w:rsidRPr="000C1D77">
              <w:rPr>
                <w:lang w:val="en-GB"/>
              </w:rPr>
              <w:t xml:space="preserve"> in predicting the outcome variable. </w:t>
            </w:r>
          </w:p>
        </w:tc>
      </w:tr>
      <w:tr w:rsidR="007D5CED" w:rsidRPr="00EA1044" w14:paraId="5FE8872C" w14:textId="77777777" w:rsidTr="00046A90">
        <w:trPr>
          <w:trHeight w:val="133"/>
        </w:trPr>
        <w:tc>
          <w:tcPr>
            <w:cnfStyle w:val="001000000000" w:firstRow="0" w:lastRow="0" w:firstColumn="1" w:lastColumn="0" w:oddVBand="0" w:evenVBand="0" w:oddHBand="0" w:evenHBand="0" w:firstRowFirstColumn="0" w:firstRowLastColumn="0" w:lastRowFirstColumn="0" w:lastRowLastColumn="0"/>
            <w:tcW w:w="2385" w:type="dxa"/>
          </w:tcPr>
          <w:p w14:paraId="34F53ACF" w14:textId="77777777" w:rsidR="007D5CED" w:rsidRPr="007D5CED" w:rsidRDefault="007D5CED" w:rsidP="00046A90">
            <w:pPr>
              <w:rPr>
                <w:lang w:val="en-GB"/>
              </w:rPr>
            </w:pPr>
            <w:r w:rsidRPr="007D5CED">
              <w:t xml:space="preserve">Multivariate analysis </w:t>
            </w:r>
          </w:p>
        </w:tc>
        <w:tc>
          <w:tcPr>
            <w:tcW w:w="7516" w:type="dxa"/>
          </w:tcPr>
          <w:p w14:paraId="3EDDD95C"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type of statistical analysis that examines the interrelationships between three or more variables. </w:t>
            </w:r>
          </w:p>
        </w:tc>
      </w:tr>
      <w:tr w:rsidR="007D5CED" w:rsidRPr="00EA1044" w14:paraId="67EC8169" w14:textId="77777777" w:rsidTr="00046A90">
        <w:trPr>
          <w:trHeight w:val="1606"/>
        </w:trPr>
        <w:tc>
          <w:tcPr>
            <w:cnfStyle w:val="001000000000" w:firstRow="0" w:lastRow="0" w:firstColumn="1" w:lastColumn="0" w:oddVBand="0" w:evenVBand="0" w:oddHBand="0" w:evenHBand="0" w:firstRowFirstColumn="0" w:firstRowLastColumn="0" w:lastRowFirstColumn="0" w:lastRowLastColumn="0"/>
            <w:tcW w:w="2385" w:type="dxa"/>
          </w:tcPr>
          <w:p w14:paraId="76967A46" w14:textId="77777777" w:rsidR="007D5CED" w:rsidRPr="007D5CED" w:rsidRDefault="007D5CED" w:rsidP="00046A90">
            <w:pPr>
              <w:rPr>
                <w:lang w:val="en-GB"/>
              </w:rPr>
            </w:pPr>
            <w:r w:rsidRPr="007D5CED">
              <w:t xml:space="preserve">Non-binary </w:t>
            </w:r>
          </w:p>
        </w:tc>
        <w:tc>
          <w:tcPr>
            <w:tcW w:w="7516" w:type="dxa"/>
          </w:tcPr>
          <w:p w14:paraId="05DDC0BA" w14:textId="44D30811"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gender identity that sits outside the gender binary of “men” and “women”. The term is often used as an umbrella term that encompasses a range of</w:t>
            </w:r>
            <w:r w:rsidR="009D4096">
              <w:t> </w:t>
            </w:r>
            <w:r w:rsidRPr="007D5CED">
              <w:rPr>
                <w:lang w:val="en-GB"/>
              </w:rPr>
              <w:t>diverse gender identities. In this report, “non-binary” is used as a collective term for respondents who, when asked to state how they describe their</w:t>
            </w:r>
            <w:r w:rsidR="009D4096">
              <w:rPr>
                <w:lang w:val="en-GB"/>
              </w:rPr>
              <w:t> </w:t>
            </w:r>
            <w:r w:rsidRPr="007D5CED">
              <w:rPr>
                <w:lang w:val="en-GB"/>
              </w:rPr>
              <w:t xml:space="preserve">gender: </w:t>
            </w:r>
          </w:p>
          <w:p w14:paraId="27374543" w14:textId="77777777" w:rsidR="007D5CED" w:rsidRPr="00EF346E" w:rsidRDefault="007D5CED" w:rsidP="0013577A">
            <w:pPr>
              <w:pStyle w:val="ListParagraph"/>
              <w:numPr>
                <w:ilvl w:val="0"/>
                <w:numId w:val="726"/>
              </w:numPr>
              <w:cnfStyle w:val="000000000000" w:firstRow="0" w:lastRow="0" w:firstColumn="0" w:lastColumn="0" w:oddVBand="0" w:evenVBand="0" w:oddHBand="0" w:evenHBand="0" w:firstRowFirstColumn="0" w:firstRowLastColumn="0" w:lastRowFirstColumn="0" w:lastRowLastColumn="0"/>
              <w:rPr>
                <w:lang w:val="en-GB"/>
              </w:rPr>
            </w:pPr>
            <w:r w:rsidRPr="00EF346E">
              <w:rPr>
                <w:lang w:val="en-GB"/>
              </w:rPr>
              <w:t xml:space="preserve">explicitly identified as non-binary </w:t>
            </w:r>
          </w:p>
          <w:p w14:paraId="0E68DCD5" w14:textId="77777777" w:rsidR="007D5CED" w:rsidRPr="00EF346E" w:rsidRDefault="007D5CED" w:rsidP="0013577A">
            <w:pPr>
              <w:pStyle w:val="ListParagraph"/>
              <w:numPr>
                <w:ilvl w:val="0"/>
                <w:numId w:val="726"/>
              </w:numPr>
              <w:cnfStyle w:val="000000000000" w:firstRow="0" w:lastRow="0" w:firstColumn="0" w:lastColumn="0" w:oddVBand="0" w:evenVBand="0" w:oddHBand="0" w:evenHBand="0" w:firstRowFirstColumn="0" w:firstRowLastColumn="0" w:lastRowFirstColumn="0" w:lastRowLastColumn="0"/>
              <w:rPr>
                <w:lang w:val="en-GB"/>
              </w:rPr>
            </w:pPr>
            <w:r w:rsidRPr="00EF346E">
              <w:rPr>
                <w:lang w:val="en-GB"/>
              </w:rPr>
              <w:t xml:space="preserve">provided another response that was consistent with a gender identity outside the gender binary. </w:t>
            </w:r>
          </w:p>
        </w:tc>
      </w:tr>
      <w:tr w:rsidR="007D5CED" w:rsidRPr="00EA1044" w14:paraId="41389067" w14:textId="77777777" w:rsidTr="00046A90">
        <w:trPr>
          <w:trHeight w:val="660"/>
        </w:trPr>
        <w:tc>
          <w:tcPr>
            <w:cnfStyle w:val="001000000000" w:firstRow="0" w:lastRow="0" w:firstColumn="1" w:lastColumn="0" w:oddVBand="0" w:evenVBand="0" w:oddHBand="0" w:evenHBand="0" w:firstRowFirstColumn="0" w:firstRowLastColumn="0" w:lastRowFirstColumn="0" w:lastRowLastColumn="0"/>
            <w:tcW w:w="2385" w:type="dxa"/>
          </w:tcPr>
          <w:p w14:paraId="772D9586" w14:textId="77777777" w:rsidR="007D5CED" w:rsidRPr="007D5CED" w:rsidRDefault="007D5CED" w:rsidP="00046A90">
            <w:pPr>
              <w:rPr>
                <w:lang w:val="en-GB"/>
              </w:rPr>
            </w:pPr>
            <w:r w:rsidRPr="007D5CED">
              <w:t xml:space="preserve">Non-physical violence </w:t>
            </w:r>
          </w:p>
        </w:tc>
        <w:tc>
          <w:tcPr>
            <w:tcW w:w="7516" w:type="dxa"/>
          </w:tcPr>
          <w:p w14:paraId="2ACE239A" w14:textId="06A229CB"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Forms of violence and abuse which do not involve inflicting or threatening physical harm, such as financial abuse, psychological or emotional abuse, spiritual abuse or technology-facilitated abuse, among others. These forms of</w:t>
            </w:r>
            <w:r w:rsidR="009D4096">
              <w:rPr>
                <w:lang w:val="en-GB"/>
              </w:rPr>
              <w:t> </w:t>
            </w:r>
            <w:r w:rsidRPr="007D5CED">
              <w:rPr>
                <w:lang w:val="en-GB"/>
              </w:rPr>
              <w:t>violence and abuse may involve coercive control.</w:t>
            </w:r>
          </w:p>
        </w:tc>
      </w:tr>
      <w:tr w:rsidR="007D5CED" w:rsidRPr="00EA1044" w14:paraId="199B4460" w14:textId="77777777" w:rsidTr="00046A90">
        <w:trPr>
          <w:trHeight w:val="1197"/>
        </w:trPr>
        <w:tc>
          <w:tcPr>
            <w:cnfStyle w:val="001000000000" w:firstRow="0" w:lastRow="0" w:firstColumn="1" w:lastColumn="0" w:oddVBand="0" w:evenVBand="0" w:oddHBand="0" w:evenHBand="0" w:firstRowFirstColumn="0" w:firstRowLastColumn="0" w:lastRowFirstColumn="0" w:lastRowLastColumn="0"/>
            <w:tcW w:w="2385" w:type="dxa"/>
          </w:tcPr>
          <w:p w14:paraId="3208A7DF" w14:textId="77777777" w:rsidR="007D5CED" w:rsidRPr="007D5CED" w:rsidRDefault="007D5CED" w:rsidP="00046A90">
            <w:pPr>
              <w:rPr>
                <w:lang w:val="en-GB"/>
              </w:rPr>
            </w:pPr>
            <w:r w:rsidRPr="007D5CED">
              <w:t xml:space="preserve">Physical violence </w:t>
            </w:r>
          </w:p>
        </w:tc>
        <w:tc>
          <w:tcPr>
            <w:tcW w:w="7516" w:type="dxa"/>
          </w:tcPr>
          <w:p w14:paraId="111CD16F"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The use or threat of physical force with the intent to cause physical or psychological harm, such as physical injury, intimidation or fear. ”Violence against women” is broader than “physical violence” and can include patterns of behaviour constituting coercive control and other forms of abuse. </w:t>
            </w:r>
          </w:p>
        </w:tc>
      </w:tr>
      <w:tr w:rsidR="007D5CED" w:rsidRPr="007D5CED" w14:paraId="129F4604" w14:textId="77777777" w:rsidTr="00046A90">
        <w:trPr>
          <w:trHeight w:val="443"/>
        </w:trPr>
        <w:tc>
          <w:tcPr>
            <w:cnfStyle w:val="001000000000" w:firstRow="0" w:lastRow="0" w:firstColumn="1" w:lastColumn="0" w:oddVBand="0" w:evenVBand="0" w:oddHBand="0" w:evenHBand="0" w:firstRowFirstColumn="0" w:firstRowLastColumn="0" w:lastRowFirstColumn="0" w:lastRowLastColumn="0"/>
            <w:tcW w:w="2385" w:type="dxa"/>
          </w:tcPr>
          <w:p w14:paraId="749AE16D" w14:textId="77777777" w:rsidR="007D5CED" w:rsidRPr="007D5CED" w:rsidRDefault="007D5CED" w:rsidP="00046A90">
            <w:pPr>
              <w:rPr>
                <w:lang w:val="en-GB"/>
              </w:rPr>
            </w:pPr>
            <w:r w:rsidRPr="007D5CED">
              <w:t xml:space="preserve">Prosocial bystander </w:t>
            </w:r>
          </w:p>
        </w:tc>
        <w:tc>
          <w:tcPr>
            <w:tcW w:w="7516" w:type="dxa"/>
          </w:tcPr>
          <w:p w14:paraId="74C70888"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bystander who chooses a prosocial action in response to witnessing disrespect or abuse. See “Bystander” and “Bystander response”. </w:t>
            </w:r>
          </w:p>
        </w:tc>
      </w:tr>
      <w:tr w:rsidR="007D5CED" w:rsidRPr="007D5CED" w14:paraId="7056EBCE" w14:textId="77777777" w:rsidTr="00046A90">
        <w:trPr>
          <w:trHeight w:val="1917"/>
        </w:trPr>
        <w:tc>
          <w:tcPr>
            <w:cnfStyle w:val="001000000000" w:firstRow="0" w:lastRow="0" w:firstColumn="1" w:lastColumn="0" w:oddVBand="0" w:evenVBand="0" w:oddHBand="0" w:evenHBand="0" w:firstRowFirstColumn="0" w:firstRowLastColumn="0" w:lastRowFirstColumn="0" w:lastRowLastColumn="0"/>
            <w:tcW w:w="2385" w:type="dxa"/>
          </w:tcPr>
          <w:p w14:paraId="034DBDA1" w14:textId="77777777" w:rsidR="007D5CED" w:rsidRPr="007D5CED" w:rsidRDefault="007D5CED" w:rsidP="00046A90">
            <w:pPr>
              <w:rPr>
                <w:lang w:val="en-GB"/>
              </w:rPr>
            </w:pPr>
            <w:r w:rsidRPr="007D5CED">
              <w:lastRenderedPageBreak/>
              <w:t xml:space="preserve">Scale </w:t>
            </w:r>
          </w:p>
        </w:tc>
        <w:tc>
          <w:tcPr>
            <w:tcW w:w="7516" w:type="dxa"/>
          </w:tcPr>
          <w:p w14:paraId="5870897A" w14:textId="7BE4EC2D"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psychometrically validated group of survey items that measure aspects of</w:t>
            </w:r>
            <w:r w:rsidR="009D4096">
              <w:rPr>
                <w:lang w:val="en-GB"/>
              </w:rPr>
              <w:t> </w:t>
            </w:r>
            <w:r w:rsidRPr="007D5CED">
              <w:rPr>
                <w:lang w:val="en-GB"/>
              </w:rPr>
              <w:t>the same construct or topic. In the NCAS, scales are used to summarise and demonstrate understanding and attitudes at an overall or broad level. In this report, the scales are used to measure or assess overall change in understanding or attitudes over time, relationships between understanding and attitudes, and relationships between understanding or attitudes and other factors (such as demographic factors). See the Technical report, pp.</w:t>
            </w:r>
            <w:r w:rsidR="009D4096">
              <w:rPr>
                <w:lang w:val="en-GB"/>
              </w:rPr>
              <w:t> </w:t>
            </w:r>
            <w:r w:rsidRPr="007D5CED">
              <w:rPr>
                <w:lang w:val="en-GB"/>
              </w:rPr>
              <w:t>102–113.</w:t>
            </w:r>
          </w:p>
        </w:tc>
      </w:tr>
      <w:tr w:rsidR="007D5CED" w:rsidRPr="00EA1044" w14:paraId="6A321046" w14:textId="77777777" w:rsidTr="00046A90">
        <w:trPr>
          <w:trHeight w:val="438"/>
        </w:trPr>
        <w:tc>
          <w:tcPr>
            <w:cnfStyle w:val="001000000000" w:firstRow="0" w:lastRow="0" w:firstColumn="1" w:lastColumn="0" w:oddVBand="0" w:evenVBand="0" w:oddHBand="0" w:evenHBand="0" w:firstRowFirstColumn="0" w:firstRowLastColumn="0" w:lastRowFirstColumn="0" w:lastRowLastColumn="0"/>
            <w:tcW w:w="2385" w:type="dxa"/>
          </w:tcPr>
          <w:p w14:paraId="51A1308D" w14:textId="77777777" w:rsidR="007D5CED" w:rsidRPr="007D5CED" w:rsidRDefault="007D5CED" w:rsidP="00046A90">
            <w:pPr>
              <w:rPr>
                <w:lang w:val="en-GB"/>
              </w:rPr>
            </w:pPr>
            <w:r w:rsidRPr="007D5CED">
              <w:t>Sexism</w:t>
            </w:r>
            <w:r w:rsidRPr="007D5CED">
              <w:rPr>
                <w:lang w:val="en-GB"/>
              </w:rPr>
              <w:t xml:space="preserve"> </w:t>
            </w:r>
          </w:p>
        </w:tc>
        <w:tc>
          <w:tcPr>
            <w:tcW w:w="7516" w:type="dxa"/>
          </w:tcPr>
          <w:p w14:paraId="2FD06EA9"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Attitudes, stereotypes, prejudice and other cultural elements that promote discrimination based on gender. </w:t>
            </w:r>
          </w:p>
        </w:tc>
      </w:tr>
      <w:tr w:rsidR="007D5CED" w:rsidRPr="00EA1044" w14:paraId="2CB78879" w14:textId="77777777" w:rsidTr="00046A90">
        <w:trPr>
          <w:trHeight w:val="213"/>
        </w:trPr>
        <w:tc>
          <w:tcPr>
            <w:cnfStyle w:val="001000000000" w:firstRow="0" w:lastRow="0" w:firstColumn="1" w:lastColumn="0" w:oddVBand="0" w:evenVBand="0" w:oddHBand="0" w:evenHBand="0" w:firstRowFirstColumn="0" w:firstRowLastColumn="0" w:lastRowFirstColumn="0" w:lastRowLastColumn="0"/>
            <w:tcW w:w="2385" w:type="dxa"/>
          </w:tcPr>
          <w:p w14:paraId="1DA74731" w14:textId="77777777" w:rsidR="007D5CED" w:rsidRPr="007D5CED" w:rsidRDefault="007D5CED" w:rsidP="00046A90">
            <w:pPr>
              <w:rPr>
                <w:lang w:val="en-GB"/>
              </w:rPr>
            </w:pPr>
            <w:r w:rsidRPr="007D5CED">
              <w:t>Sexting</w:t>
            </w:r>
          </w:p>
        </w:tc>
        <w:tc>
          <w:tcPr>
            <w:tcW w:w="7516" w:type="dxa"/>
          </w:tcPr>
          <w:p w14:paraId="3562DCA5"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Sharing sexually explicit or nude images, texts and videos, online and/or via text and chat apps.</w:t>
            </w:r>
          </w:p>
        </w:tc>
      </w:tr>
      <w:tr w:rsidR="007D5CED" w:rsidRPr="00EA1044" w14:paraId="42035207"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17FB5E54" w14:textId="77777777" w:rsidR="007D5CED" w:rsidRPr="007D5CED" w:rsidRDefault="007D5CED" w:rsidP="00046A90">
            <w:pPr>
              <w:rPr>
                <w:lang w:val="en-GB"/>
              </w:rPr>
            </w:pPr>
            <w:r w:rsidRPr="007D5CED">
              <w:t xml:space="preserve">Sexual assault </w:t>
            </w:r>
          </w:p>
        </w:tc>
        <w:tc>
          <w:tcPr>
            <w:tcW w:w="7516" w:type="dxa"/>
          </w:tcPr>
          <w:p w14:paraId="215E8439" w14:textId="3B72D0DE"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form of sexual violence. Sexual activity that happens where consent is not freely given or obtained, is withdrawn or the person is unable to consent due to their age or other factors. Sexual assault occurs any time a person is forced, coerced or manipulated into any sexual activity, including coercing a person to</w:t>
            </w:r>
            <w:r w:rsidR="009D4096">
              <w:rPr>
                <w:lang w:val="en-GB"/>
              </w:rPr>
              <w:t> </w:t>
            </w:r>
            <w:r w:rsidRPr="007D5CED">
              <w:rPr>
                <w:lang w:val="en-GB"/>
              </w:rPr>
              <w:t xml:space="preserve">engage in sexualised touching, kissing or rape. </w:t>
            </w:r>
          </w:p>
        </w:tc>
      </w:tr>
      <w:tr w:rsidR="007D5CED" w:rsidRPr="00EA1044" w14:paraId="29E014B2" w14:textId="77777777" w:rsidTr="00046A90">
        <w:trPr>
          <w:trHeight w:val="1677"/>
        </w:trPr>
        <w:tc>
          <w:tcPr>
            <w:cnfStyle w:val="001000000000" w:firstRow="0" w:lastRow="0" w:firstColumn="1" w:lastColumn="0" w:oddVBand="0" w:evenVBand="0" w:oddHBand="0" w:evenHBand="0" w:firstRowFirstColumn="0" w:firstRowLastColumn="0" w:lastRowFirstColumn="0" w:lastRowLastColumn="0"/>
            <w:tcW w:w="2385" w:type="dxa"/>
          </w:tcPr>
          <w:p w14:paraId="146EAFC9" w14:textId="77777777" w:rsidR="007D5CED" w:rsidRPr="007D5CED" w:rsidRDefault="007D5CED" w:rsidP="00046A90">
            <w:pPr>
              <w:rPr>
                <w:lang w:val="en-GB"/>
              </w:rPr>
            </w:pPr>
            <w:r w:rsidRPr="007D5CED">
              <w:t xml:space="preserve">Sexual harassment </w:t>
            </w:r>
          </w:p>
        </w:tc>
        <w:tc>
          <w:tcPr>
            <w:tcW w:w="7516" w:type="dxa"/>
          </w:tcPr>
          <w:p w14:paraId="755A724E"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form of sexual violence. An unwelcome sexual advance, sexualised comment, intrusive sexualised question, request for sexual favours or other unwelcome conduct of a sexual nature that makes a person feel offended, humiliated or intimidated. Can include, but is not limited to, staring or leering; indecent texts, emails or posts; indecent exposure; inappropriate comments; non-consensual sharing of intimate images; and unwanted touching. </w:t>
            </w:r>
          </w:p>
        </w:tc>
      </w:tr>
      <w:tr w:rsidR="007D5CED" w:rsidRPr="00EA1044" w14:paraId="010D8A60"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1486BBF8" w14:textId="77777777" w:rsidR="007D5CED" w:rsidRPr="007D5CED" w:rsidRDefault="007D5CED" w:rsidP="00046A90">
            <w:pPr>
              <w:rPr>
                <w:lang w:val="en-GB"/>
              </w:rPr>
            </w:pPr>
            <w:r w:rsidRPr="007D5CED">
              <w:t>Sexuality</w:t>
            </w:r>
          </w:p>
        </w:tc>
        <w:tc>
          <w:tcPr>
            <w:tcW w:w="7516" w:type="dxa"/>
          </w:tcPr>
          <w:p w14:paraId="0FE5E1A1" w14:textId="7664C183"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experience of sexual attraction, behaviour and identity (Carman et al., 2021). In this report, when sexuality is discussed in relation to NCAS results, it</w:t>
            </w:r>
            <w:r w:rsidR="009D4096">
              <w:rPr>
                <w:lang w:val="en-GB"/>
              </w:rPr>
              <w:t> </w:t>
            </w:r>
            <w:r w:rsidRPr="007D5CED">
              <w:rPr>
                <w:lang w:val="en-GB"/>
              </w:rPr>
              <w:t>refers to responses to the item, “How would you describe your sexuality?”, with the stated options of “heterosexual/straight”, “lesbian”, “gay”, “bisexual or</w:t>
            </w:r>
            <w:r w:rsidR="009D4096">
              <w:rPr>
                <w:lang w:val="en-GB"/>
              </w:rPr>
              <w:t> </w:t>
            </w:r>
            <w:r w:rsidRPr="007D5CED">
              <w:rPr>
                <w:lang w:val="en-GB"/>
              </w:rPr>
              <w:t xml:space="preserve">pansexual”, “queer”, “another term (please specify)” and “prefer not to say”. </w:t>
            </w:r>
          </w:p>
        </w:tc>
      </w:tr>
      <w:tr w:rsidR="007D5CED" w:rsidRPr="00EA1044" w14:paraId="620B8231"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7F8230C8" w14:textId="77777777" w:rsidR="007D5CED" w:rsidRPr="007D5CED" w:rsidRDefault="007D5CED" w:rsidP="00046A90">
            <w:pPr>
              <w:rPr>
                <w:lang w:val="en-GB"/>
              </w:rPr>
            </w:pPr>
            <w:r w:rsidRPr="007D5CED">
              <w:t xml:space="preserve">Sexual violence </w:t>
            </w:r>
          </w:p>
        </w:tc>
        <w:tc>
          <w:tcPr>
            <w:tcW w:w="7516" w:type="dxa"/>
          </w:tcPr>
          <w:p w14:paraId="4096536E" w14:textId="0AD3FF4A"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An umbrella term that encompasses sexual activity without consent being obtained or freely given. It occurs any time a person is forced, coerced or</w:t>
            </w:r>
            <w:r w:rsidR="009D4096">
              <w:rPr>
                <w:lang w:val="en-GB"/>
              </w:rPr>
              <w:t> </w:t>
            </w:r>
            <w:r w:rsidRPr="007D5CED">
              <w:rPr>
                <w:lang w:val="en-GB"/>
              </w:rPr>
              <w:t>manipulated into any unwanted sexual activity, such as touching, sexual</w:t>
            </w:r>
            <w:r w:rsidR="009D4096">
              <w:rPr>
                <w:lang w:val="en-GB"/>
              </w:rPr>
              <w:t> </w:t>
            </w:r>
            <w:r w:rsidRPr="007D5CED">
              <w:rPr>
                <w:lang w:val="en-GB"/>
              </w:rPr>
              <w:t>harassment and intimidation, forced marriage, trafficking for the purpose of</w:t>
            </w:r>
            <w:r w:rsidR="009D4096">
              <w:rPr>
                <w:lang w:val="en-GB"/>
              </w:rPr>
              <w:t> </w:t>
            </w:r>
            <w:r w:rsidRPr="007D5CED">
              <w:rPr>
                <w:lang w:val="en-GB"/>
              </w:rPr>
              <w:t xml:space="preserve">sexual exploitation, sexual abuse, sexual assault and rape. </w:t>
            </w:r>
          </w:p>
        </w:tc>
      </w:tr>
      <w:tr w:rsidR="007D5CED" w:rsidRPr="00EA1044" w14:paraId="20546248"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6E8E8CD5" w14:textId="77777777" w:rsidR="007D5CED" w:rsidRPr="007D5CED" w:rsidRDefault="007D5CED" w:rsidP="00046A90">
            <w:pPr>
              <w:rPr>
                <w:lang w:val="en-GB"/>
              </w:rPr>
            </w:pPr>
            <w:r w:rsidRPr="007D5CED">
              <w:t xml:space="preserve">Significant </w:t>
            </w:r>
          </w:p>
        </w:tc>
        <w:tc>
          <w:tcPr>
            <w:tcW w:w="7516" w:type="dxa"/>
          </w:tcPr>
          <w:p w14:paraId="6DBDAAF5"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Throughout this report, “significant” is used to refer to “statistically significant” results where we can be confident (with 95% certainty) that the difference observed in the survey sample is meaningful and likely to represent a true difference in the Australian population (</w:t>
            </w:r>
            <w:r w:rsidRPr="0073256E">
              <w:rPr>
                <w:rStyle w:val="Emphasis"/>
              </w:rPr>
              <w:t>p</w:t>
            </w:r>
            <w:r w:rsidRPr="007D5CED">
              <w:rPr>
                <w:lang w:val="en-GB"/>
              </w:rPr>
              <w:t xml:space="preserve"> &lt; 0.05) that is not negligible in size (Cohen’s </w:t>
            </w:r>
            <w:r w:rsidRPr="0073256E">
              <w:rPr>
                <w:rStyle w:val="Emphasis"/>
              </w:rPr>
              <w:t>d</w:t>
            </w:r>
            <w:r w:rsidRPr="007D5CED">
              <w:rPr>
                <w:lang w:val="en-GB"/>
              </w:rPr>
              <w:t xml:space="preserve"> ≥ 0.2 or equivalent). Significant findings in this report are denoted by the * symbol. </w:t>
            </w:r>
          </w:p>
        </w:tc>
      </w:tr>
      <w:tr w:rsidR="007D5CED" w:rsidRPr="00EA1044" w14:paraId="56428D7A" w14:textId="77777777" w:rsidTr="00046A90">
        <w:trPr>
          <w:trHeight w:val="714"/>
        </w:trPr>
        <w:tc>
          <w:tcPr>
            <w:cnfStyle w:val="001000000000" w:firstRow="0" w:lastRow="0" w:firstColumn="1" w:lastColumn="0" w:oddVBand="0" w:evenVBand="0" w:oddHBand="0" w:evenHBand="0" w:firstRowFirstColumn="0" w:firstRowLastColumn="0" w:lastRowFirstColumn="0" w:lastRowLastColumn="0"/>
            <w:tcW w:w="2385" w:type="dxa"/>
          </w:tcPr>
          <w:p w14:paraId="604B1F93" w14:textId="77777777" w:rsidR="007D5CED" w:rsidRPr="007D5CED" w:rsidRDefault="007D5CED" w:rsidP="00046A90">
            <w:pPr>
              <w:rPr>
                <w:lang w:val="en-GB"/>
              </w:rPr>
            </w:pPr>
            <w:r w:rsidRPr="007D5CED">
              <w:t xml:space="preserve">Social norms </w:t>
            </w:r>
          </w:p>
        </w:tc>
        <w:tc>
          <w:tcPr>
            <w:tcW w:w="7516" w:type="dxa"/>
          </w:tcPr>
          <w:p w14:paraId="3D0725D1"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Shared standards of acceptable behaviour that may be an informal understanding within groups or across broader society that govern behaviour, or may take the form of codified rules and conduct expectations. </w:t>
            </w:r>
          </w:p>
        </w:tc>
      </w:tr>
      <w:tr w:rsidR="007D5CED" w:rsidRPr="00EA1044" w14:paraId="54AF8210" w14:textId="77777777" w:rsidTr="00046A90">
        <w:trPr>
          <w:trHeight w:val="971"/>
        </w:trPr>
        <w:tc>
          <w:tcPr>
            <w:cnfStyle w:val="001000000000" w:firstRow="0" w:lastRow="0" w:firstColumn="1" w:lastColumn="0" w:oddVBand="0" w:evenVBand="0" w:oddHBand="0" w:evenHBand="0" w:firstRowFirstColumn="0" w:firstRowLastColumn="0" w:lastRowFirstColumn="0" w:lastRowLastColumn="0"/>
            <w:tcW w:w="2385" w:type="dxa"/>
          </w:tcPr>
          <w:p w14:paraId="523A7742" w14:textId="77777777" w:rsidR="007D5CED" w:rsidRPr="007D5CED" w:rsidRDefault="007D5CED" w:rsidP="00046A90">
            <w:pPr>
              <w:rPr>
                <w:lang w:val="en-GB"/>
              </w:rPr>
            </w:pPr>
            <w:r w:rsidRPr="007D5CED">
              <w:t xml:space="preserve">Socioeconomic status of area </w:t>
            </w:r>
          </w:p>
        </w:tc>
        <w:tc>
          <w:tcPr>
            <w:tcW w:w="7516" w:type="dxa"/>
          </w:tcPr>
          <w:p w14:paraId="27FDF512" w14:textId="647E2B0E"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In this report, socioeconomic status of area is based on the Index of Relative Socio-Economic Advantage and Disadvantage (SEIFA) – an ABS measure of the socioeconomic conditions in geographic areas in terms of people’s access </w:t>
            </w:r>
            <w:r w:rsidRPr="007D5CED">
              <w:rPr>
                <w:lang w:val="en-GB"/>
              </w:rPr>
              <w:lastRenderedPageBreak/>
              <w:t>to</w:t>
            </w:r>
            <w:r w:rsidR="009D4096">
              <w:rPr>
                <w:lang w:val="en-GB"/>
              </w:rPr>
              <w:t> </w:t>
            </w:r>
            <w:r w:rsidRPr="007D5CED">
              <w:rPr>
                <w:lang w:val="en-GB"/>
              </w:rPr>
              <w:t xml:space="preserve">material and social resources, and their opportunity to participate in society (ABS, 2018). </w:t>
            </w:r>
          </w:p>
        </w:tc>
      </w:tr>
      <w:tr w:rsidR="007D5CED" w:rsidRPr="00EA1044" w14:paraId="44FE7807" w14:textId="77777777" w:rsidTr="00046A90">
        <w:trPr>
          <w:trHeight w:val="1677"/>
        </w:trPr>
        <w:tc>
          <w:tcPr>
            <w:cnfStyle w:val="001000000000" w:firstRow="0" w:lastRow="0" w:firstColumn="1" w:lastColumn="0" w:oddVBand="0" w:evenVBand="0" w:oddHBand="0" w:evenHBand="0" w:firstRowFirstColumn="0" w:firstRowLastColumn="0" w:lastRowFirstColumn="0" w:lastRowLastColumn="0"/>
            <w:tcW w:w="2385" w:type="dxa"/>
          </w:tcPr>
          <w:p w14:paraId="6C1D8770" w14:textId="77777777" w:rsidR="007D5CED" w:rsidRPr="007D5CED" w:rsidRDefault="007D5CED" w:rsidP="00046A90">
            <w:pPr>
              <w:rPr>
                <w:lang w:val="en-GB"/>
              </w:rPr>
            </w:pPr>
            <w:r w:rsidRPr="007D5CED">
              <w:lastRenderedPageBreak/>
              <w:t xml:space="preserve">Stalking </w:t>
            </w:r>
          </w:p>
        </w:tc>
        <w:tc>
          <w:tcPr>
            <w:tcW w:w="7516" w:type="dxa"/>
          </w:tcPr>
          <w:p w14:paraId="43E1B58B" w14:textId="72D3169D"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form of violence that can occur in person or via the use of technology. It</w:t>
            </w:r>
            <w:r w:rsidR="009D4096">
              <w:rPr>
                <w:lang w:val="en-GB"/>
              </w:rPr>
              <w:t> </w:t>
            </w:r>
            <w:r w:rsidRPr="007D5CED">
              <w:rPr>
                <w:lang w:val="en-GB"/>
              </w:rPr>
              <w:t xml:space="preserve">involves a pattern of repeated, unwanted behaviours intended to maintain contact with, or exercise power and control over, another person. </w:t>
            </w:r>
            <w:r w:rsidRPr="007D5CED">
              <w:t>These</w:t>
            </w:r>
            <w:r w:rsidR="009D4096">
              <w:t> </w:t>
            </w:r>
            <w:r w:rsidRPr="007D5CED">
              <w:t>behaviours are typically enacted to intimidate, distress or control the target (</w:t>
            </w:r>
            <w:r w:rsidRPr="007D5CED">
              <w:rPr>
                <w:lang w:val="en-GB"/>
              </w:rPr>
              <w:t xml:space="preserve">H. </w:t>
            </w:r>
            <w:r w:rsidRPr="007D5CED">
              <w:t>Campbell,</w:t>
            </w:r>
            <w:r w:rsidRPr="007D5CED">
              <w:rPr>
                <w:lang w:val="en-GB"/>
              </w:rPr>
              <w:t xml:space="preserve"> </w:t>
            </w:r>
            <w:r w:rsidRPr="007D5CED">
              <w:t xml:space="preserve">2019; Victorian Law Reform Commission, 2021). </w:t>
            </w:r>
            <w:r w:rsidRPr="007D5CED">
              <w:rPr>
                <w:lang w:val="en-GB"/>
              </w:rPr>
              <w:t>Examples</w:t>
            </w:r>
            <w:r w:rsidR="009D4096">
              <w:rPr>
                <w:lang w:val="en-GB"/>
              </w:rPr>
              <w:t> </w:t>
            </w:r>
            <w:r w:rsidRPr="007D5CED">
              <w:rPr>
                <w:lang w:val="en-GB"/>
              </w:rPr>
              <w:t>of</w:t>
            </w:r>
            <w:r w:rsidR="009D4096">
              <w:rPr>
                <w:lang w:val="en-GB"/>
              </w:rPr>
              <w:t> </w:t>
            </w:r>
            <w:r w:rsidRPr="007D5CED">
              <w:rPr>
                <w:lang w:val="en-GB"/>
              </w:rPr>
              <w:t>stalking behaviours include tracking or following someone (in</w:t>
            </w:r>
            <w:r w:rsidR="009D4096">
              <w:rPr>
                <w:lang w:val="en-GB"/>
              </w:rPr>
              <w:t> </w:t>
            </w:r>
            <w:r w:rsidRPr="007D5CED">
              <w:rPr>
                <w:lang w:val="en-GB"/>
              </w:rPr>
              <w:t>person or</w:t>
            </w:r>
            <w:r w:rsidR="009D4096">
              <w:rPr>
                <w:lang w:val="en-GB"/>
              </w:rPr>
              <w:t> </w:t>
            </w:r>
            <w:r w:rsidRPr="007D5CED">
              <w:rPr>
                <w:lang w:val="en-GB"/>
              </w:rPr>
              <w:t xml:space="preserve">online) and loitering. </w:t>
            </w:r>
          </w:p>
        </w:tc>
      </w:tr>
      <w:tr w:rsidR="007D5CED" w:rsidRPr="00EA1044" w14:paraId="4096EFE0" w14:textId="77777777" w:rsidTr="00046A90">
        <w:trPr>
          <w:trHeight w:val="1917"/>
        </w:trPr>
        <w:tc>
          <w:tcPr>
            <w:cnfStyle w:val="001000000000" w:firstRow="0" w:lastRow="0" w:firstColumn="1" w:lastColumn="0" w:oddVBand="0" w:evenVBand="0" w:oddHBand="0" w:evenHBand="0" w:firstRowFirstColumn="0" w:firstRowLastColumn="0" w:lastRowFirstColumn="0" w:lastRowLastColumn="0"/>
            <w:tcW w:w="2385" w:type="dxa"/>
          </w:tcPr>
          <w:p w14:paraId="714F78E9" w14:textId="77777777" w:rsidR="007D5CED" w:rsidRPr="007D5CED" w:rsidRDefault="007D5CED" w:rsidP="00046A90">
            <w:pPr>
              <w:rPr>
                <w:lang w:val="en-GB"/>
              </w:rPr>
            </w:pPr>
            <w:r w:rsidRPr="007D5CED">
              <w:t xml:space="preserve">Subscale </w:t>
            </w:r>
          </w:p>
        </w:tc>
        <w:tc>
          <w:tcPr>
            <w:tcW w:w="7516" w:type="dxa"/>
          </w:tcPr>
          <w:p w14:paraId="10DE70B8" w14:textId="5EBF732F"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 component of a psychometrically validated scale that taps into a particular aspect of the construct underlying the scale, such as an aspect of</w:t>
            </w:r>
            <w:r w:rsidR="009D4096">
              <w:rPr>
                <w:lang w:val="en-GB"/>
              </w:rPr>
              <w:t> </w:t>
            </w:r>
            <w:r w:rsidRPr="007D5CED">
              <w:rPr>
                <w:lang w:val="en-GB"/>
              </w:rPr>
              <w:t>understanding or attitudes towards violence against women or gender inequality. Factor analyses were used to subdivide items within a scale into subscales based on which items were answered most similarly to one another by respondents, most likely because they are more conceptually related. Subscales were also validated using Rasch analysis. See Technical report, pp.</w:t>
            </w:r>
            <w:r w:rsidR="009D4096">
              <w:rPr>
                <w:lang w:val="en-GB"/>
              </w:rPr>
              <w:t> </w:t>
            </w:r>
            <w:r w:rsidRPr="007D5CED">
              <w:rPr>
                <w:lang w:val="en-GB"/>
              </w:rPr>
              <w:t>102–113.</w:t>
            </w:r>
          </w:p>
        </w:tc>
      </w:tr>
      <w:tr w:rsidR="007D5CED" w:rsidRPr="00EA1044" w14:paraId="4B8329D7" w14:textId="77777777" w:rsidTr="00046A90">
        <w:trPr>
          <w:trHeight w:val="1437"/>
        </w:trPr>
        <w:tc>
          <w:tcPr>
            <w:cnfStyle w:val="001000000000" w:firstRow="0" w:lastRow="0" w:firstColumn="1" w:lastColumn="0" w:oddVBand="0" w:evenVBand="0" w:oddHBand="0" w:evenHBand="0" w:firstRowFirstColumn="0" w:firstRowLastColumn="0" w:lastRowFirstColumn="0" w:lastRowLastColumn="0"/>
            <w:tcW w:w="2385" w:type="dxa"/>
          </w:tcPr>
          <w:p w14:paraId="797D4494" w14:textId="77777777" w:rsidR="007D5CED" w:rsidRPr="007D5CED" w:rsidRDefault="007D5CED" w:rsidP="00046A90">
            <w:pPr>
              <w:rPr>
                <w:lang w:val="en-GB"/>
              </w:rPr>
            </w:pPr>
            <w:r w:rsidRPr="007D5CED">
              <w:t xml:space="preserve">Technology-facilitated abuse </w:t>
            </w:r>
          </w:p>
        </w:tc>
        <w:tc>
          <w:tcPr>
            <w:tcW w:w="7516" w:type="dxa"/>
          </w:tcPr>
          <w:p w14:paraId="55BCEAA9"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An umbrella term used to refer to forms of abuse where technology is the conduit or means of enacting or exercising abuse. Examples of technology-facilitated abuse include harassment, stalking, impersonation and threats via technology, as well as image-based abuse and other forms of abuse online (eSafety Commissioner, 2022a; Powell &amp; Henry, 2019).</w:t>
            </w:r>
          </w:p>
        </w:tc>
      </w:tr>
      <w:tr w:rsidR="007D5CED" w:rsidRPr="00EA1044" w14:paraId="1DA1792D" w14:textId="77777777" w:rsidTr="00046A90">
        <w:trPr>
          <w:trHeight w:val="1015"/>
        </w:trPr>
        <w:tc>
          <w:tcPr>
            <w:cnfStyle w:val="001000000000" w:firstRow="0" w:lastRow="0" w:firstColumn="1" w:lastColumn="0" w:oddVBand="0" w:evenVBand="0" w:oddHBand="0" w:evenHBand="0" w:firstRowFirstColumn="0" w:firstRowLastColumn="0" w:lastRowFirstColumn="0" w:lastRowLastColumn="0"/>
            <w:tcW w:w="2385" w:type="dxa"/>
          </w:tcPr>
          <w:p w14:paraId="01E8EBC9" w14:textId="77777777" w:rsidR="007D5CED" w:rsidRPr="007D5CED" w:rsidRDefault="007D5CED" w:rsidP="00046A90">
            <w:pPr>
              <w:rPr>
                <w:lang w:val="en-GB"/>
              </w:rPr>
            </w:pPr>
            <w:r w:rsidRPr="007D5CED">
              <w:t xml:space="preserve">Trans gender </w:t>
            </w:r>
          </w:p>
        </w:tc>
        <w:tc>
          <w:tcPr>
            <w:tcW w:w="7516" w:type="dxa"/>
          </w:tcPr>
          <w:p w14:paraId="5FAA26DB" w14:textId="6E128655"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“Trans gender” is an inclusive umbrella term meaning people whose gender is</w:t>
            </w:r>
            <w:r w:rsidR="009D4096">
              <w:rPr>
                <w:lang w:val="en-GB"/>
              </w:rPr>
              <w:t> </w:t>
            </w:r>
            <w:r w:rsidRPr="007D5CED">
              <w:rPr>
                <w:lang w:val="en-GB"/>
              </w:rPr>
              <w:t xml:space="preserve">different from the sex recorded or presumed for them at birth and is not contingent on how they socially, medically or legally affirm their gender (Transhub, 2021). </w:t>
            </w:r>
          </w:p>
        </w:tc>
      </w:tr>
      <w:tr w:rsidR="007D5CED" w:rsidRPr="00EA1044" w14:paraId="1CCA566C" w14:textId="77777777" w:rsidTr="00046A90">
        <w:trPr>
          <w:trHeight w:val="374"/>
        </w:trPr>
        <w:tc>
          <w:tcPr>
            <w:cnfStyle w:val="001000000000" w:firstRow="0" w:lastRow="0" w:firstColumn="1" w:lastColumn="0" w:oddVBand="0" w:evenVBand="0" w:oddHBand="0" w:evenHBand="0" w:firstRowFirstColumn="0" w:firstRowLastColumn="0" w:lastRowFirstColumn="0" w:lastRowLastColumn="0"/>
            <w:tcW w:w="2385" w:type="dxa"/>
          </w:tcPr>
          <w:p w14:paraId="56B2871E" w14:textId="77777777" w:rsidR="007D5CED" w:rsidRPr="007D5CED" w:rsidRDefault="007D5CED" w:rsidP="00046A90">
            <w:pPr>
              <w:rPr>
                <w:lang w:val="en-GB"/>
              </w:rPr>
            </w:pPr>
            <w:r w:rsidRPr="007D5CED">
              <w:t xml:space="preserve">Univariate analysis </w:t>
            </w:r>
          </w:p>
        </w:tc>
        <w:tc>
          <w:tcPr>
            <w:tcW w:w="7516" w:type="dxa"/>
          </w:tcPr>
          <w:p w14:paraId="19F66696" w14:textId="5821DFB0"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The data analysis of a single variable or item, such as the number or</w:t>
            </w:r>
            <w:r w:rsidR="009D4096">
              <w:rPr>
                <w:lang w:val="en-GB"/>
              </w:rPr>
              <w:t> </w:t>
            </w:r>
            <w:r w:rsidRPr="007D5CED">
              <w:rPr>
                <w:lang w:val="en-GB"/>
              </w:rPr>
              <w:t xml:space="preserve">percentage of respondents in each gender category. </w:t>
            </w:r>
          </w:p>
        </w:tc>
      </w:tr>
      <w:tr w:rsidR="007D5CED" w:rsidRPr="00EA1044" w14:paraId="7E9CBF04" w14:textId="77777777" w:rsidTr="00046A90">
        <w:trPr>
          <w:trHeight w:val="1197"/>
        </w:trPr>
        <w:tc>
          <w:tcPr>
            <w:cnfStyle w:val="001000000000" w:firstRow="0" w:lastRow="0" w:firstColumn="1" w:lastColumn="0" w:oddVBand="0" w:evenVBand="0" w:oddHBand="0" w:evenHBand="0" w:firstRowFirstColumn="0" w:firstRowLastColumn="0" w:lastRowFirstColumn="0" w:lastRowLastColumn="0"/>
            <w:tcW w:w="2385" w:type="dxa"/>
          </w:tcPr>
          <w:p w14:paraId="19621D1E" w14:textId="77777777" w:rsidR="007D5CED" w:rsidRPr="007D5CED" w:rsidRDefault="007D5CED" w:rsidP="00046A90">
            <w:pPr>
              <w:rPr>
                <w:lang w:val="en-GB"/>
              </w:rPr>
            </w:pPr>
            <w:r w:rsidRPr="007D5CED">
              <w:t xml:space="preserve">Victims and survivors </w:t>
            </w:r>
          </w:p>
        </w:tc>
        <w:tc>
          <w:tcPr>
            <w:tcW w:w="7516" w:type="dxa"/>
          </w:tcPr>
          <w:p w14:paraId="6403BDFF"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Refers to those who have experienced violence. We use this term to recognise both the harm experienced and the resilience of those who experience violence. The term recognises the diverse experiences of violence, although we acknowledge that not all people who experience violence will use this term to describe themselves. </w:t>
            </w:r>
          </w:p>
        </w:tc>
      </w:tr>
      <w:tr w:rsidR="007D5CED" w:rsidRPr="00EA1044" w14:paraId="4BC159FD" w14:textId="77777777" w:rsidTr="00046A90">
        <w:trPr>
          <w:trHeight w:val="1197"/>
        </w:trPr>
        <w:tc>
          <w:tcPr>
            <w:cnfStyle w:val="001000000000" w:firstRow="0" w:lastRow="0" w:firstColumn="1" w:lastColumn="0" w:oddVBand="0" w:evenVBand="0" w:oddHBand="0" w:evenHBand="0" w:firstRowFirstColumn="0" w:firstRowLastColumn="0" w:lastRowFirstColumn="0" w:lastRowLastColumn="0"/>
            <w:tcW w:w="2385" w:type="dxa"/>
          </w:tcPr>
          <w:p w14:paraId="5E59056C" w14:textId="77777777" w:rsidR="007D5CED" w:rsidRPr="007D5CED" w:rsidRDefault="007D5CED" w:rsidP="00046A90">
            <w:pPr>
              <w:rPr>
                <w:lang w:val="en-GB"/>
              </w:rPr>
            </w:pPr>
            <w:r w:rsidRPr="007D5CED">
              <w:t xml:space="preserve">Violence against women </w:t>
            </w:r>
          </w:p>
        </w:tc>
        <w:tc>
          <w:tcPr>
            <w:tcW w:w="7516" w:type="dxa"/>
          </w:tcPr>
          <w:p w14:paraId="1831DB93" w14:textId="48DE898D"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Violence that is specifically directed against a woman because she is a woman or that affects women disproportionately. It includes any act of violence based on or driven by gender that causes, or could cause, physical, sexual or</w:t>
            </w:r>
            <w:r w:rsidR="009D4096">
              <w:rPr>
                <w:lang w:val="en-GB"/>
              </w:rPr>
              <w:t> </w:t>
            </w:r>
            <w:r w:rsidRPr="007D5CED">
              <w:rPr>
                <w:lang w:val="en-GB"/>
              </w:rPr>
              <w:t>psychological harm or suffering to women, including threats of harm or</w:t>
            </w:r>
            <w:r w:rsidR="009D4096">
              <w:rPr>
                <w:lang w:val="en-GB"/>
              </w:rPr>
              <w:t> </w:t>
            </w:r>
            <w:r w:rsidRPr="007D5CED">
              <w:rPr>
                <w:lang w:val="en-GB"/>
              </w:rPr>
              <w:t xml:space="preserve">coercion, in public or in private life. </w:t>
            </w:r>
          </w:p>
        </w:tc>
      </w:tr>
      <w:tr w:rsidR="007D5CED" w:rsidRPr="00EA1044" w14:paraId="0835D098" w14:textId="77777777" w:rsidTr="00046A90">
        <w:trPr>
          <w:trHeight w:val="664"/>
        </w:trPr>
        <w:tc>
          <w:tcPr>
            <w:cnfStyle w:val="001000000000" w:firstRow="0" w:lastRow="0" w:firstColumn="1" w:lastColumn="0" w:oddVBand="0" w:evenVBand="0" w:oddHBand="0" w:evenHBand="0" w:firstRowFirstColumn="0" w:firstRowLastColumn="0" w:lastRowFirstColumn="0" w:lastRowLastColumn="0"/>
            <w:tcW w:w="2385" w:type="dxa"/>
          </w:tcPr>
          <w:p w14:paraId="53A6129B" w14:textId="77777777" w:rsidR="007D5CED" w:rsidRPr="007D5CED" w:rsidRDefault="007D5CED" w:rsidP="00046A90">
            <w:pPr>
              <w:rPr>
                <w:lang w:val="en-GB"/>
              </w:rPr>
            </w:pPr>
            <w:r w:rsidRPr="007D5CED">
              <w:t xml:space="preserve">Women </w:t>
            </w:r>
          </w:p>
        </w:tc>
        <w:tc>
          <w:tcPr>
            <w:tcW w:w="7516" w:type="dxa"/>
          </w:tcPr>
          <w:p w14:paraId="25249A07" w14:textId="77777777" w:rsidR="007D5CED" w:rsidRPr="007D5CED" w:rsidRDefault="007D5CED" w:rsidP="00046A90">
            <w:pPr>
              <w:cnfStyle w:val="000000000000" w:firstRow="0" w:lastRow="0" w:firstColumn="0" w:lastColumn="0" w:oddVBand="0" w:evenVBand="0" w:oddHBand="0" w:evenHBand="0" w:firstRowFirstColumn="0" w:firstRowLastColumn="0" w:lastRowFirstColumn="0" w:lastRowLastColumn="0"/>
              <w:rPr>
                <w:lang w:val="en-GB"/>
              </w:rPr>
            </w:pPr>
            <w:r w:rsidRPr="007D5CED">
              <w:rPr>
                <w:lang w:val="en-GB"/>
              </w:rPr>
              <w:t xml:space="preserve">A term describing a gender identity. In this report, the term is used for respondents who identified as women when asked to state how they describe their gender. </w:t>
            </w:r>
          </w:p>
        </w:tc>
      </w:tr>
    </w:tbl>
    <w:p w14:paraId="6BAFC63E" w14:textId="515518E1" w:rsidR="004F58FC" w:rsidRDefault="004F58FC" w:rsidP="008C29F3">
      <w:pPr>
        <w:spacing w:line="240" w:lineRule="auto"/>
        <w:rPr>
          <w:rFonts w:cs="Open Sans"/>
          <w:color w:val="000000"/>
          <w:kern w:val="0"/>
          <w:szCs w:val="18"/>
          <w:lang w:val="en-GB"/>
        </w:rPr>
      </w:pPr>
      <w:r>
        <w:rPr>
          <w:rFonts w:cs="Open Sans"/>
          <w:color w:val="000000"/>
          <w:kern w:val="0"/>
          <w:szCs w:val="18"/>
          <w:lang w:val="en-GB"/>
        </w:rPr>
        <w:br w:type="page"/>
      </w:r>
    </w:p>
    <w:bookmarkStart w:id="20" w:name="_Toc152532365"/>
    <w:bookmarkStart w:id="21" w:name="_Toc190941651"/>
    <w:bookmarkStart w:id="22" w:name="_Toc190942351"/>
    <w:p w14:paraId="175EC731" w14:textId="725D2ECD" w:rsidR="007D5CED" w:rsidRPr="00771B3D" w:rsidRDefault="00DC0DFF" w:rsidP="008C29F3">
      <w:pPr>
        <w:pStyle w:val="H2SectionTitle"/>
      </w:pPr>
      <w:r>
        <w:rPr>
          <w:noProof/>
        </w:rPr>
        <w:lastRenderedPageBreak/>
        <mc:AlternateContent>
          <mc:Choice Requires="wps">
            <w:drawing>
              <wp:anchor distT="0" distB="0" distL="114300" distR="114300" simplePos="0" relativeHeight="251658246" behindDoc="0" locked="0" layoutInCell="1" allowOverlap="1" wp14:anchorId="513BB9C9" wp14:editId="14CF5E31">
                <wp:simplePos x="0" y="0"/>
                <wp:positionH relativeFrom="column">
                  <wp:posOffset>5124</wp:posOffset>
                </wp:positionH>
                <wp:positionV relativeFrom="paragraph">
                  <wp:posOffset>109</wp:posOffset>
                </wp:positionV>
                <wp:extent cx="382138" cy="382138"/>
                <wp:effectExtent l="0" t="0" r="0" b="0"/>
                <wp:wrapSquare wrapText="bothSides"/>
                <wp:docPr id="110997009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7A572" id="Rectangle 2" o:spid="_x0000_s1026" alt="&quot;&quot;" style="position:absolute;margin-left:.4pt;margin-top:0;width:30.1pt;height:30.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7D5CED" w:rsidRPr="00D32C21">
        <w:t>About this report</w:t>
      </w:r>
      <w:bookmarkEnd w:id="20"/>
      <w:bookmarkEnd w:id="21"/>
      <w:bookmarkEnd w:id="22"/>
    </w:p>
    <w:tbl>
      <w:tblPr>
        <w:tblStyle w:val="Yellowcalloutboxlayout"/>
        <w:tblW w:w="0" w:type="auto"/>
        <w:tblLayout w:type="fixed"/>
        <w:tblLook w:val="0000" w:firstRow="0" w:lastRow="0" w:firstColumn="0" w:lastColumn="0" w:noHBand="0" w:noVBand="0"/>
      </w:tblPr>
      <w:tblGrid>
        <w:gridCol w:w="8901"/>
      </w:tblGrid>
      <w:tr w:rsidR="007D5CED" w:rsidRPr="00EA1044" w14:paraId="3A41E655" w14:textId="77777777" w:rsidTr="00A72764">
        <w:trPr>
          <w:trHeight w:val="60"/>
        </w:trPr>
        <w:tc>
          <w:tcPr>
            <w:tcW w:w="8901" w:type="dxa"/>
          </w:tcPr>
          <w:p w14:paraId="2A0C706E" w14:textId="77777777" w:rsidR="007D5CED" w:rsidRPr="00B83062" w:rsidRDefault="007D5CED" w:rsidP="00B83062">
            <w:pPr>
              <w:pStyle w:val="ChapterIntro"/>
            </w:pPr>
            <w:r w:rsidRPr="00B83062">
              <w:t>This report outlines the results from the 2021 National Community Attitudes towards Violence against Women Survey (NCAS) for young Australians aged 16 to 24 years. It presents findings for young Australians with comparison to other age groups. The report will interest stakeholders tasked with responding to, reducing and preventing violence against women, including policymakers, practitioners, practice designers, educators, researchers, community organisations and media. It has particular relevance for respectful relationships and violence prevention education in Australian schools and with young people more broadly, including school leavers, and TAFE and university students.</w:t>
            </w:r>
          </w:p>
        </w:tc>
      </w:tr>
    </w:tbl>
    <w:p w14:paraId="0151F08C" w14:textId="3F85D558" w:rsidR="005E0820" w:rsidRDefault="005E0820">
      <w:pPr>
        <w:spacing w:before="0" w:after="0" w:line="240" w:lineRule="auto"/>
        <w:rPr>
          <w:lang w:val="en-GB"/>
        </w:rPr>
      </w:pPr>
      <w:r>
        <w:rPr>
          <w:lang w:val="en-GB"/>
        </w:rPr>
        <w:br w:type="page"/>
      </w:r>
    </w:p>
    <w:p w14:paraId="3B60B9C1" w14:textId="77777777" w:rsidR="007D5CED" w:rsidRPr="007D5CED" w:rsidRDefault="007D5CED" w:rsidP="00CB1DA8">
      <w:pPr>
        <w:rPr>
          <w:lang w:val="en-GB"/>
        </w:rPr>
      </w:pPr>
      <w:r w:rsidRPr="007D5CED">
        <w:rPr>
          <w:lang w:val="en-GB"/>
        </w:rPr>
        <w:lastRenderedPageBreak/>
        <w:t>This report is one among a suite of ANROWS resources produced for the 2021 NCAS. Other reports and documents on NCAS findings include:</w:t>
      </w:r>
    </w:p>
    <w:p w14:paraId="08C2EB72" w14:textId="77777777" w:rsidR="007D5CED" w:rsidRPr="007D5CED" w:rsidRDefault="007D5CED" w:rsidP="00CB1DA8">
      <w:pPr>
        <w:pStyle w:val="ListBullet"/>
        <w:rPr>
          <w:lang w:val="en-GB"/>
        </w:rPr>
      </w:pPr>
      <w:r w:rsidRPr="007D5CED">
        <w:rPr>
          <w:lang w:val="en-GB"/>
        </w:rPr>
        <w:t xml:space="preserve">Minter, K., Carlisle, E., &amp; Coumarelos, C. (2021). </w:t>
      </w:r>
      <w:r w:rsidRPr="0073256E">
        <w:rPr>
          <w:rStyle w:val="Emphasis"/>
          <w:lang w:val="en-US"/>
        </w:rPr>
        <w:t>“Chuck her on a lie detector”: Investigating Australians’ mistrust in women’s reports of sexual assault</w:t>
      </w:r>
      <w:r w:rsidRPr="007D5CED">
        <w:rPr>
          <w:lang w:val="en-GB"/>
        </w:rPr>
        <w:t xml:space="preserve"> (Research report, 04/2021). ANROWS.</w:t>
      </w:r>
    </w:p>
    <w:p w14:paraId="38CF2F15" w14:textId="171A6961" w:rsidR="007D5CED" w:rsidRPr="007D5CED" w:rsidRDefault="007D5CED" w:rsidP="00CB1DA8">
      <w:pPr>
        <w:pStyle w:val="ListBullet"/>
        <w:rPr>
          <w:rFonts w:cs="Open Sans"/>
          <w:color w:val="000000"/>
          <w:kern w:val="0"/>
          <w:szCs w:val="18"/>
          <w:lang w:val="en-GB"/>
        </w:rPr>
      </w:pPr>
      <w:r w:rsidRPr="007D5CED">
        <w:rPr>
          <w:rFonts w:cs="Open Sans"/>
          <w:color w:val="000000"/>
          <w:kern w:val="0"/>
          <w:szCs w:val="18"/>
          <w:lang w:val="en-GB"/>
        </w:rPr>
        <w:t xml:space="preserve">Carlisle, E., Coumarelos, C., Minter, K., &amp; Lohmeyer, B. (2022). </w:t>
      </w:r>
      <w:r w:rsidRPr="0073256E">
        <w:rPr>
          <w:rStyle w:val="Emphasis"/>
          <w:lang w:val="en-US"/>
        </w:rPr>
        <w:t>“It depends on what the definition of</w:t>
      </w:r>
      <w:r w:rsidR="009D4096">
        <w:rPr>
          <w:rStyle w:val="Emphasis"/>
          <w:lang w:val="en-US"/>
        </w:rPr>
        <w:t> </w:t>
      </w:r>
      <w:r w:rsidRPr="0073256E">
        <w:rPr>
          <w:rStyle w:val="Emphasis"/>
          <w:lang w:val="en-US"/>
        </w:rPr>
        <w:t>domestic violence is”: How young Australians conceptualise domestic violence and abuse</w:t>
      </w:r>
      <w:r w:rsidRPr="007D5CED">
        <w:rPr>
          <w:rFonts w:cs="Open Sans"/>
          <w:color w:val="000000"/>
          <w:kern w:val="0"/>
          <w:szCs w:val="18"/>
          <w:lang w:val="en-GB"/>
        </w:rPr>
        <w:t xml:space="preserve"> (Research</w:t>
      </w:r>
      <w:r w:rsidR="00A3356A">
        <w:rPr>
          <w:rFonts w:cs="Open Sans"/>
          <w:color w:val="000000"/>
          <w:kern w:val="0"/>
          <w:szCs w:val="18"/>
          <w:lang w:val="en-GB"/>
        </w:rPr>
        <w:t> </w:t>
      </w:r>
      <w:r w:rsidRPr="007D5CED">
        <w:rPr>
          <w:rFonts w:cs="Open Sans"/>
          <w:color w:val="000000"/>
          <w:kern w:val="0"/>
          <w:szCs w:val="18"/>
          <w:lang w:val="en-GB"/>
        </w:rPr>
        <w:t>report, 09/2022). ANROWS.</w:t>
      </w:r>
    </w:p>
    <w:p w14:paraId="7F4E1B15" w14:textId="77777777" w:rsidR="007D5CED" w:rsidRPr="007D5CED" w:rsidRDefault="007D5CED" w:rsidP="00CB1DA8">
      <w:pPr>
        <w:pStyle w:val="ListBullet"/>
        <w:rPr>
          <w:lang w:val="en-GB"/>
        </w:rPr>
      </w:pPr>
      <w:r w:rsidRPr="007D5CED">
        <w:rPr>
          <w:lang w:val="en-GB"/>
        </w:rPr>
        <w:t xml:space="preserve">Coumarelos, C., Weeks, N., Bernstein, S., Roberts, N., Honey, N., Minter, K., &amp; Carlisle, E. (2023a). </w:t>
      </w:r>
      <w:r w:rsidRPr="0073256E">
        <w:rPr>
          <w:rStyle w:val="Emphasis"/>
          <w:lang w:val="en-US"/>
        </w:rPr>
        <w:t>Attitudes matter: The 2021 National Community Attitudes towards Violence against Women Survey (NCAS), Findings for Australia</w:t>
      </w:r>
      <w:r w:rsidRPr="007D5CED">
        <w:rPr>
          <w:lang w:val="en-GB"/>
        </w:rPr>
        <w:t>. ANROWS. (The Main report.)</w:t>
      </w:r>
    </w:p>
    <w:p w14:paraId="7271E864" w14:textId="77777777" w:rsidR="007D5CED" w:rsidRPr="007D5CED" w:rsidRDefault="007D5CED" w:rsidP="00CB1DA8">
      <w:pPr>
        <w:pStyle w:val="ListBullet"/>
        <w:rPr>
          <w:lang w:val="en-GB"/>
        </w:rPr>
      </w:pPr>
      <w:r w:rsidRPr="007D5CED">
        <w:rPr>
          <w:lang w:val="en-GB"/>
        </w:rPr>
        <w:t xml:space="preserve">Coumarelos, C., Weeks, N., Bernstein, S., Roberts, N., Honey, N., Minter, K., &amp; Carlisle, E. (2023b). </w:t>
      </w:r>
      <w:r w:rsidRPr="004B3315">
        <w:rPr>
          <w:rStyle w:val="Emphasis"/>
          <w:lang w:val="en-US"/>
        </w:rPr>
        <w:t>Attitudes matter: The 2021 National Community Attitudes towards Violence against Women Survey (NCAS), Summary for Australia</w:t>
      </w:r>
      <w:r w:rsidRPr="007D5CED">
        <w:rPr>
          <w:lang w:val="en-GB"/>
        </w:rPr>
        <w:t>. ANROWS. (The Summary report.)</w:t>
      </w:r>
    </w:p>
    <w:p w14:paraId="16ED3699" w14:textId="77777777" w:rsidR="007D5CED" w:rsidRPr="007D5CED" w:rsidRDefault="007D5CED" w:rsidP="00CB1DA8">
      <w:pPr>
        <w:pStyle w:val="ListBullet"/>
        <w:rPr>
          <w:rFonts w:cs="Open Sans"/>
          <w:color w:val="000000"/>
          <w:kern w:val="0"/>
          <w:szCs w:val="18"/>
          <w:lang w:val="en-GB"/>
        </w:rPr>
      </w:pPr>
      <w:r w:rsidRPr="007D5CED">
        <w:rPr>
          <w:rFonts w:cs="Open Sans"/>
          <w:color w:val="000000"/>
          <w:kern w:val="0"/>
          <w:szCs w:val="18"/>
          <w:lang w:val="en-GB"/>
        </w:rPr>
        <w:t xml:space="preserve">Coumarelos, C., Honey, N., Ward, A., Weeks, N., &amp; Minter, K. (2023). </w:t>
      </w:r>
      <w:r w:rsidRPr="0073256E">
        <w:rPr>
          <w:rStyle w:val="Emphasis"/>
          <w:lang w:val="en-US"/>
        </w:rPr>
        <w:t>Attitudes matter: The 2021 National Community Attitudes towards Violence against Women Survey (NCAS), Technical report</w:t>
      </w:r>
      <w:r w:rsidRPr="007D5CED">
        <w:rPr>
          <w:rFonts w:cs="Open Sans"/>
          <w:color w:val="000000"/>
          <w:kern w:val="0"/>
          <w:szCs w:val="18"/>
          <w:lang w:val="en-GB"/>
        </w:rPr>
        <w:t>. ANROWS. (The Technical report.)</w:t>
      </w:r>
    </w:p>
    <w:p w14:paraId="25543F36" w14:textId="77777777" w:rsidR="007D5CED" w:rsidRPr="007D5CED" w:rsidRDefault="007D5CED" w:rsidP="00CB1DA8">
      <w:pPr>
        <w:pStyle w:val="ListBullet"/>
        <w:rPr>
          <w:rFonts w:cs="Open Sans"/>
          <w:color w:val="000000"/>
          <w:kern w:val="0"/>
          <w:szCs w:val="18"/>
          <w:lang w:val="en-GB"/>
        </w:rPr>
      </w:pPr>
      <w:r w:rsidRPr="007D5CED">
        <w:rPr>
          <w:rFonts w:cs="Open Sans"/>
          <w:color w:val="000000"/>
          <w:kern w:val="0"/>
          <w:szCs w:val="18"/>
          <w:lang w:val="en-GB"/>
        </w:rPr>
        <w:t xml:space="preserve">Coumarelos, C., Roberts, N., Weeks, N., Bernstein, S., &amp; Honey, N. (2023). </w:t>
      </w:r>
      <w:r w:rsidRPr="0073256E">
        <w:rPr>
          <w:rStyle w:val="Emphasis"/>
          <w:lang w:val="en-US"/>
        </w:rPr>
        <w:t>Attitudes matter: The 2021 National Community Attitudes towards Violence against Women Survey (NCAS), Findings for Australian states and territories</w:t>
      </w:r>
      <w:r w:rsidRPr="007D5CED">
        <w:rPr>
          <w:rFonts w:cs="Open Sans"/>
          <w:color w:val="000000"/>
          <w:kern w:val="0"/>
          <w:szCs w:val="18"/>
          <w:lang w:val="en-GB"/>
        </w:rPr>
        <w:t>. ANROWS.</w:t>
      </w:r>
    </w:p>
    <w:p w14:paraId="2C09B3DD" w14:textId="77777777" w:rsidR="007D5CED" w:rsidRPr="007D5CED" w:rsidRDefault="007D5CED" w:rsidP="00CB1DA8">
      <w:pPr>
        <w:pStyle w:val="ListBullet"/>
        <w:rPr>
          <w:rFonts w:cs="Open Sans"/>
          <w:color w:val="000000"/>
          <w:kern w:val="0"/>
          <w:szCs w:val="18"/>
          <w:lang w:val="en-GB"/>
        </w:rPr>
      </w:pPr>
      <w:r w:rsidRPr="0073256E">
        <w:rPr>
          <w:rStyle w:val="Emphasis"/>
          <w:lang w:val="en-US"/>
        </w:rPr>
        <w:t>Attitudes matter: The 2021 National Community Attitudes towards Violence against Women Survey (NCAS), Findings for Aboriginal and/or Torres Strait Islander respondents</w:t>
      </w:r>
      <w:r w:rsidRPr="007D5CED">
        <w:rPr>
          <w:rFonts w:cs="Open Sans"/>
          <w:color w:val="000000"/>
          <w:kern w:val="0"/>
          <w:szCs w:val="18"/>
          <w:lang w:val="en-GB"/>
        </w:rPr>
        <w:t xml:space="preserve"> (forthcoming). </w:t>
      </w:r>
    </w:p>
    <w:p w14:paraId="0B45F670" w14:textId="77777777" w:rsidR="007D5CED" w:rsidRPr="007D5CED" w:rsidRDefault="007D5CED" w:rsidP="00CB1DA8">
      <w:pPr>
        <w:pStyle w:val="ListBullet"/>
        <w:rPr>
          <w:rFonts w:cs="Open Sans"/>
          <w:color w:val="000000"/>
          <w:kern w:val="0"/>
          <w:szCs w:val="18"/>
          <w:lang w:val="en-GB"/>
        </w:rPr>
      </w:pPr>
      <w:r w:rsidRPr="0073256E">
        <w:rPr>
          <w:rStyle w:val="Emphasis"/>
          <w:lang w:val="en-US"/>
        </w:rPr>
        <w:t>Attitudes matter: The 2021 National Community Attitudes towards Violence against Women Survey (NCAS), Findings for people from non-English speaking backgrounds</w:t>
      </w:r>
      <w:r w:rsidRPr="007D5CED">
        <w:rPr>
          <w:rFonts w:cs="Open Sans"/>
          <w:color w:val="000000"/>
          <w:kern w:val="0"/>
          <w:szCs w:val="18"/>
          <w:lang w:val="en-GB"/>
        </w:rPr>
        <w:t xml:space="preserve"> (forthcoming).</w:t>
      </w:r>
    </w:p>
    <w:p w14:paraId="7C9FB52B" w14:textId="15F63885" w:rsidR="00CB1DA8" w:rsidRDefault="00CB1DA8">
      <w:pPr>
        <w:spacing w:before="0" w:after="0" w:line="240" w:lineRule="auto"/>
        <w:rPr>
          <w:rFonts w:cs="Open Sans"/>
          <w:color w:val="000000"/>
          <w:kern w:val="0"/>
          <w:szCs w:val="18"/>
          <w:lang w:val="en-GB"/>
        </w:rPr>
      </w:pPr>
      <w:r>
        <w:rPr>
          <w:rFonts w:cs="Open Sans"/>
          <w:color w:val="000000"/>
          <w:kern w:val="0"/>
          <w:szCs w:val="18"/>
          <w:lang w:val="en-GB"/>
        </w:rPr>
        <w:br w:type="page"/>
      </w:r>
    </w:p>
    <w:bookmarkStart w:id="23" w:name="_Toc152532366"/>
    <w:bookmarkStart w:id="24" w:name="_Toc190941652"/>
    <w:bookmarkStart w:id="25" w:name="_Toc190942352"/>
    <w:p w14:paraId="5E1C81AE" w14:textId="6919EAA7" w:rsidR="007D5CED" w:rsidRPr="007D5CED" w:rsidRDefault="00A3356A" w:rsidP="008C29F3">
      <w:pPr>
        <w:pStyle w:val="H2SectionTitle"/>
      </w:pPr>
      <w:r>
        <w:rPr>
          <w:noProof/>
        </w:rPr>
        <w:lastRenderedPageBreak/>
        <mc:AlternateContent>
          <mc:Choice Requires="wps">
            <w:drawing>
              <wp:anchor distT="0" distB="0" distL="114300" distR="114300" simplePos="0" relativeHeight="251658247" behindDoc="0" locked="0" layoutInCell="1" allowOverlap="1" wp14:anchorId="03037AF7" wp14:editId="4F78D1EA">
                <wp:simplePos x="0" y="0"/>
                <wp:positionH relativeFrom="column">
                  <wp:posOffset>5124</wp:posOffset>
                </wp:positionH>
                <wp:positionV relativeFrom="paragraph">
                  <wp:posOffset>109</wp:posOffset>
                </wp:positionV>
                <wp:extent cx="382138" cy="382138"/>
                <wp:effectExtent l="0" t="0" r="0" b="0"/>
                <wp:wrapSquare wrapText="bothSides"/>
                <wp:docPr id="105589245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5885D" id="Rectangle 2" o:spid="_x0000_s1026" alt="&quot;&quot;" style="position:absolute;margin-left:.4pt;margin-top:0;width:30.1pt;height:30.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7D5CED" w:rsidRPr="007D5CED">
        <w:t>About the NCAS</w:t>
      </w:r>
      <w:bookmarkEnd w:id="23"/>
      <w:bookmarkEnd w:id="24"/>
      <w:bookmarkEnd w:id="25"/>
    </w:p>
    <w:tbl>
      <w:tblPr>
        <w:tblStyle w:val="Yellowcalloutboxlayout"/>
        <w:tblW w:w="0" w:type="auto"/>
        <w:tblLayout w:type="fixed"/>
        <w:tblLook w:val="0000" w:firstRow="0" w:lastRow="0" w:firstColumn="0" w:lastColumn="0" w:noHBand="0" w:noVBand="0"/>
      </w:tblPr>
      <w:tblGrid>
        <w:gridCol w:w="8901"/>
      </w:tblGrid>
      <w:tr w:rsidR="007D5CED" w:rsidRPr="00EA1044" w14:paraId="713DE104" w14:textId="77777777" w:rsidTr="00A72764">
        <w:trPr>
          <w:trHeight w:val="60"/>
        </w:trPr>
        <w:tc>
          <w:tcPr>
            <w:tcW w:w="8901" w:type="dxa"/>
          </w:tcPr>
          <w:p w14:paraId="06A7DFB5" w14:textId="4D6F9FA1" w:rsidR="007D5CED" w:rsidRPr="007D5CED" w:rsidRDefault="007D5CED" w:rsidP="00B83062">
            <w:pPr>
              <w:pStyle w:val="ChapterIntro"/>
            </w:pPr>
            <w:r w:rsidRPr="007D5CED">
              <w:t>The National Community Attitudes towards Violence against Women Survey</w:t>
            </w:r>
            <w:r w:rsidRPr="004B3315">
              <w:rPr>
                <w:rStyle w:val="Emphasis"/>
                <w:lang w:val="en-US"/>
              </w:rPr>
              <w:t xml:space="preserve"> </w:t>
            </w:r>
            <w:r w:rsidRPr="007D5CED">
              <w:t xml:space="preserve">(NCAS) is a periodic, representative survey of the Australian population that is conducted every four years. The NCAS measures the Australian community’s understanding and attitudes regarding violence against women, their attitudes towards gender inequality and their intentions to intervene when witnessing violence or disrespect against women. It was established as a key means of monitoring progress against the </w:t>
            </w:r>
            <w:r w:rsidRPr="00C6197C">
              <w:rPr>
                <w:rStyle w:val="Emphasis"/>
                <w:szCs w:val="22"/>
                <w:lang w:val="en-US"/>
              </w:rPr>
              <w:t>National Plan to Reduce Violence against Women and their Children 2010–2022</w:t>
            </w:r>
            <w:r w:rsidRPr="004B3315">
              <w:rPr>
                <w:rStyle w:val="Emphasis"/>
                <w:lang w:val="en-US"/>
              </w:rPr>
              <w:t xml:space="preserve"> </w:t>
            </w:r>
            <w:r w:rsidRPr="007D5CED">
              <w:t>(the National Plan 2010–2022) and will continue to</w:t>
            </w:r>
            <w:r w:rsidR="00A3356A">
              <w:t> </w:t>
            </w:r>
            <w:r w:rsidRPr="007D5CED">
              <w:t xml:space="preserve">evaluate progress against the current </w:t>
            </w:r>
            <w:r w:rsidRPr="00C6197C">
              <w:rPr>
                <w:rStyle w:val="Emphasis"/>
                <w:szCs w:val="22"/>
                <w:lang w:val="en-US"/>
              </w:rPr>
              <w:t>National Plan to End Violence against Women and Children 2022–2032</w:t>
            </w:r>
            <w:r w:rsidRPr="007D5CED">
              <w:t xml:space="preserve"> (the National Plan 2022–2032; Council of Australian Governments [COAG], 2010; Department of Social Services [DSS], 2022).</w:t>
            </w:r>
            <w:r w:rsidRPr="004B3315">
              <w:rPr>
                <w:rStyle w:val="Emphasis"/>
                <w:lang w:val="en-US"/>
              </w:rPr>
              <w:t xml:space="preserve"> </w:t>
            </w:r>
            <w:r w:rsidRPr="007D5CED">
              <w:t>Community understanding and attitudes regarding violence against women are shaped by, and in part reflect, social norms embedded in organisational, community, institutional and societal practices, systems and structures. Thus, the NCAS functions as</w:t>
            </w:r>
            <w:r w:rsidR="00A3356A">
              <w:t> </w:t>
            </w:r>
            <w:r w:rsidRPr="007D5CED">
              <w:t>a gauge for how Australia is progressing in changing the broader climate that facilitates and maintains violence against women. By</w:t>
            </w:r>
            <w:r w:rsidR="00A3356A">
              <w:t> </w:t>
            </w:r>
            <w:r w:rsidRPr="007D5CED">
              <w:t>highlighting problematic areas in the community’s understanding and attitudes towards violence against women, the NCAS provides valuable evidence to inform policy and practice in the prevention of</w:t>
            </w:r>
            <w:r w:rsidR="00A3356A">
              <w:t> </w:t>
            </w:r>
            <w:r w:rsidRPr="007D5CED">
              <w:t>this</w:t>
            </w:r>
            <w:r w:rsidR="00A3356A">
              <w:t> </w:t>
            </w:r>
            <w:r w:rsidRPr="007D5CED">
              <w:t>violence.</w:t>
            </w:r>
          </w:p>
        </w:tc>
      </w:tr>
    </w:tbl>
    <w:p w14:paraId="34BA608D" w14:textId="6D16CBC6" w:rsidR="00CB1DA8" w:rsidRDefault="00CB1DA8">
      <w:pPr>
        <w:spacing w:before="0" w:after="0" w:line="240" w:lineRule="auto"/>
        <w:rPr>
          <w:lang w:val="en-GB"/>
        </w:rPr>
      </w:pPr>
      <w:r>
        <w:rPr>
          <w:lang w:val="en-GB"/>
        </w:rPr>
        <w:br w:type="page"/>
      </w:r>
    </w:p>
    <w:p w14:paraId="6B2BE09A" w14:textId="77777777" w:rsidR="007D5CED" w:rsidRPr="00B83062" w:rsidRDefault="007D5CED" w:rsidP="00B83062">
      <w:pPr>
        <w:pStyle w:val="H3"/>
      </w:pPr>
      <w:r w:rsidRPr="00B83062">
        <w:lastRenderedPageBreak/>
        <w:t>2021 NCAS</w:t>
      </w:r>
    </w:p>
    <w:p w14:paraId="0D545FC5" w14:textId="0D9839A1" w:rsidR="007D5CED" w:rsidRPr="00A3356A" w:rsidRDefault="007D5CED" w:rsidP="00A3239A">
      <w:pPr>
        <w:rPr>
          <w:spacing w:val="-2"/>
          <w:lang w:val="en-GB"/>
        </w:rPr>
      </w:pPr>
      <w:r w:rsidRPr="00A3356A">
        <w:rPr>
          <w:spacing w:val="-2"/>
          <w:lang w:val="en-GB"/>
        </w:rPr>
        <w:t>The 2021 NCAS sample consisted of 19,100 Australians aged 16 years or older, who were interviewed</w:t>
      </w:r>
      <w:r w:rsidR="00A3356A" w:rsidRPr="00A3356A">
        <w:rPr>
          <w:spacing w:val="-2"/>
          <w:lang w:val="en-GB"/>
        </w:rPr>
        <w:t xml:space="preserve"> </w:t>
      </w:r>
      <w:r w:rsidRPr="00A3356A">
        <w:rPr>
          <w:spacing w:val="-2"/>
          <w:lang w:val="en-GB"/>
        </w:rPr>
        <w:t>via mobile telephone. The NCAS sample included 1,669 young Australians aged 16 to 24 years, consisting of</w:t>
      </w:r>
      <w:r w:rsidR="00A3356A">
        <w:rPr>
          <w:spacing w:val="-2"/>
          <w:lang w:val="en-GB"/>
        </w:rPr>
        <w:t> </w:t>
      </w:r>
      <w:r w:rsidRPr="00A3356A">
        <w:rPr>
          <w:spacing w:val="-2"/>
          <w:lang w:val="en-GB"/>
        </w:rPr>
        <w:t>207 young Australians aged 16 to 17 years and 1,462 young Australians aged 18</w:t>
      </w:r>
      <w:r w:rsidR="00322A16" w:rsidRPr="00A3356A">
        <w:rPr>
          <w:spacing w:val="-2"/>
          <w:lang w:val="en-GB"/>
        </w:rPr>
        <w:t> </w:t>
      </w:r>
      <w:r w:rsidRPr="00A3356A">
        <w:rPr>
          <w:spacing w:val="-2"/>
          <w:lang w:val="en-GB"/>
        </w:rPr>
        <w:t>to</w:t>
      </w:r>
      <w:r w:rsidR="00322A16" w:rsidRPr="00A3356A">
        <w:rPr>
          <w:spacing w:val="-2"/>
          <w:lang w:val="en-GB"/>
        </w:rPr>
        <w:t> </w:t>
      </w:r>
      <w:r w:rsidRPr="00A3356A">
        <w:rPr>
          <w:spacing w:val="-2"/>
          <w:lang w:val="en-GB"/>
        </w:rPr>
        <w:t>24</w:t>
      </w:r>
      <w:r w:rsidR="00322A16" w:rsidRPr="00A3356A">
        <w:rPr>
          <w:spacing w:val="-2"/>
          <w:lang w:val="en-GB"/>
        </w:rPr>
        <w:t> </w:t>
      </w:r>
      <w:r w:rsidRPr="00A3356A">
        <w:rPr>
          <w:spacing w:val="-2"/>
          <w:lang w:val="en-GB"/>
        </w:rPr>
        <w:t>years.</w:t>
      </w:r>
    </w:p>
    <w:p w14:paraId="78EACABA" w14:textId="756C7306" w:rsidR="007D5CED" w:rsidRPr="007D5CED" w:rsidRDefault="007D5CED" w:rsidP="00A3239A">
      <w:pPr>
        <w:rPr>
          <w:lang w:val="en-GB"/>
        </w:rPr>
      </w:pPr>
      <w:r w:rsidRPr="007D5CED">
        <w:rPr>
          <w:lang w:val="en-GB"/>
        </w:rPr>
        <w:t>The findings of the 2021 NCAS demonstrate gradual improvements in community understanding and attitudes regarding gender inequality and violence against women, suggesting encouraging progress towards the achievement of a community that offers equal opportunities to women and is safe and free from violence against women. However, further intervention is still necessary where harmful individual and social norms prevail. It is important to continue to challenge biases, myths and misconceptions regarding violence against women and gender inequality because these biases reflect the societal culture, including broad practices, processes, systems and structures, that maintains gender inequality and violence against women. These attitudes are also enacted in the responses to</w:t>
      </w:r>
      <w:r w:rsidR="00322A16">
        <w:rPr>
          <w:lang w:val="en-GB"/>
        </w:rPr>
        <w:t> </w:t>
      </w:r>
      <w:r w:rsidRPr="007D5CED">
        <w:rPr>
          <w:lang w:val="en-GB"/>
        </w:rPr>
        <w:t>violence by police, the judiciary and community services in ways that may fail to deter perpetrators of violence against women and serve as systemic barriers to victims and survivors seeking justice and</w:t>
      </w:r>
      <w:r w:rsidR="00322A16">
        <w:rPr>
          <w:lang w:val="en-GB"/>
        </w:rPr>
        <w:t> </w:t>
      </w:r>
      <w:r w:rsidRPr="007D5CED">
        <w:rPr>
          <w:lang w:val="en-GB"/>
        </w:rPr>
        <w:t>support.</w:t>
      </w:r>
    </w:p>
    <w:p w14:paraId="62702A51" w14:textId="546B29AB" w:rsidR="00CB1DA8" w:rsidRDefault="00CB1DA8" w:rsidP="00A3239A">
      <w:pPr>
        <w:rPr>
          <w:lang w:val="en-GB"/>
        </w:rPr>
      </w:pPr>
      <w:r>
        <w:rPr>
          <w:lang w:val="en-GB"/>
        </w:rPr>
        <w:br w:type="page"/>
      </w:r>
    </w:p>
    <w:bookmarkStart w:id="26" w:name="_Toc152532367"/>
    <w:bookmarkStart w:id="27" w:name="_Toc190941653"/>
    <w:bookmarkStart w:id="28" w:name="_Toc190942353"/>
    <w:p w14:paraId="0414633C" w14:textId="224BF10C" w:rsidR="007D5CED" w:rsidRPr="007D5CED" w:rsidRDefault="00A3356A" w:rsidP="008C29F3">
      <w:pPr>
        <w:pStyle w:val="H2SectionTitle"/>
      </w:pPr>
      <w:r>
        <w:rPr>
          <w:noProof/>
        </w:rPr>
        <w:lastRenderedPageBreak/>
        <mc:AlternateContent>
          <mc:Choice Requires="wps">
            <w:drawing>
              <wp:anchor distT="0" distB="0" distL="114300" distR="114300" simplePos="0" relativeHeight="251658248" behindDoc="0" locked="0" layoutInCell="1" allowOverlap="1" wp14:anchorId="61AEE6B1" wp14:editId="2BCED335">
                <wp:simplePos x="0" y="0"/>
                <wp:positionH relativeFrom="column">
                  <wp:posOffset>5124</wp:posOffset>
                </wp:positionH>
                <wp:positionV relativeFrom="paragraph">
                  <wp:posOffset>109</wp:posOffset>
                </wp:positionV>
                <wp:extent cx="382138" cy="382138"/>
                <wp:effectExtent l="0" t="0" r="0" b="0"/>
                <wp:wrapSquare wrapText="bothSides"/>
                <wp:docPr id="16422567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4BC5D" id="Rectangle 2" o:spid="_x0000_s1026" alt="&quot;&quot;" style="position:absolute;margin-left:.4pt;margin-top:0;width:30.1pt;height:30.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7D5CED" w:rsidRPr="007D5CED">
        <w:t>Executive summary</w:t>
      </w:r>
      <w:bookmarkEnd w:id="26"/>
      <w:bookmarkEnd w:id="27"/>
      <w:bookmarkEnd w:id="28"/>
    </w:p>
    <w:tbl>
      <w:tblPr>
        <w:tblStyle w:val="Yellowcalloutboxlayout"/>
        <w:tblW w:w="0" w:type="auto"/>
        <w:tblLayout w:type="fixed"/>
        <w:tblLook w:val="0000" w:firstRow="0" w:lastRow="0" w:firstColumn="0" w:lastColumn="0" w:noHBand="0" w:noVBand="0"/>
      </w:tblPr>
      <w:tblGrid>
        <w:gridCol w:w="8901"/>
      </w:tblGrid>
      <w:tr w:rsidR="007D5CED" w:rsidRPr="00EA1044" w14:paraId="328954D1" w14:textId="77777777" w:rsidTr="00A72764">
        <w:trPr>
          <w:trHeight w:val="60"/>
        </w:trPr>
        <w:tc>
          <w:tcPr>
            <w:tcW w:w="8901" w:type="dxa"/>
          </w:tcPr>
          <w:p w14:paraId="1D2FA74D" w14:textId="399D4A08" w:rsidR="007D5CED" w:rsidRPr="007D5CED" w:rsidRDefault="007D5CED" w:rsidP="00B83062">
            <w:pPr>
              <w:pStyle w:val="ChapterIntro"/>
            </w:pPr>
            <w:r w:rsidRPr="00CB1DA8">
              <w:t>The National Community Attitudes towards Violence against Women Survey (NCAS) is a periodic, representative survey of the population that is conducted every four years. Poor understanding and problematic attitudes regarding violence against women at the population level reflect a culture that allows this violence to perpetuate. The NCAS has been a key means of monitoring progress against the</w:t>
            </w:r>
            <w:r w:rsidRPr="007D5CED">
              <w:t xml:space="preserve"> </w:t>
            </w:r>
            <w:r w:rsidRPr="0073256E">
              <w:rPr>
                <w:rStyle w:val="Emphasis"/>
              </w:rPr>
              <w:t xml:space="preserve">National Plan to Reduce Violence against Women and their Children 2010–2022 </w:t>
            </w:r>
            <w:r w:rsidRPr="007D5CED">
              <w:t xml:space="preserve">(Council of Australian Governments [COAG], 2010) and will continue to examine progress against the current </w:t>
            </w:r>
            <w:r w:rsidRPr="0073256E">
              <w:rPr>
                <w:rStyle w:val="Emphasis"/>
              </w:rPr>
              <w:t xml:space="preserve">National Plan to End Violence against Women and Children 2022–2032 </w:t>
            </w:r>
            <w:r w:rsidRPr="007D5CED">
              <w:t xml:space="preserve">(DSS, 2022). This NCAS evidence informs policy and programs aimed at prevention of violence against women by highlighting: </w:t>
            </w:r>
          </w:p>
          <w:p w14:paraId="4831F8C8" w14:textId="77777777" w:rsidR="007D5CED" w:rsidRPr="00B83062" w:rsidRDefault="007D5CED" w:rsidP="00B83062">
            <w:pPr>
              <w:pStyle w:val="ChapterintrobulletsChapterintro"/>
            </w:pPr>
            <w:r w:rsidRPr="00A72764">
              <w:t xml:space="preserve">any gaps in the </w:t>
            </w:r>
            <w:r w:rsidRPr="00B83062">
              <w:t>community’s understanding of violence against women</w:t>
            </w:r>
          </w:p>
          <w:p w14:paraId="4021F942" w14:textId="77777777" w:rsidR="007D5CED" w:rsidRPr="00B83062" w:rsidRDefault="007D5CED" w:rsidP="00B83062">
            <w:pPr>
              <w:pStyle w:val="ChapterintrobulletsChapterintro"/>
            </w:pPr>
            <w:r w:rsidRPr="00B83062">
              <w:t>any problematic areas in the community’s attitudes towards gender inequality and violence against women</w:t>
            </w:r>
          </w:p>
          <w:p w14:paraId="72642254" w14:textId="77777777" w:rsidR="007D5CED" w:rsidRPr="00B83062" w:rsidRDefault="007D5CED" w:rsidP="00B83062">
            <w:pPr>
              <w:pStyle w:val="ChapterintrobulletsChapterintro"/>
            </w:pPr>
            <w:r w:rsidRPr="00B83062">
              <w:t>changes in this understanding and these attitudes over time</w:t>
            </w:r>
          </w:p>
          <w:p w14:paraId="0685EA0E" w14:textId="77777777" w:rsidR="007D5CED" w:rsidRPr="00A72764" w:rsidRDefault="007D5CED" w:rsidP="00B83062">
            <w:pPr>
              <w:pStyle w:val="ChapterintrobulletsChapterintro"/>
            </w:pPr>
            <w:r w:rsidRPr="00B83062">
              <w:t xml:space="preserve">demographic, attitudinal and contextual factors related to understanding and attitudes that may contribute to </w:t>
            </w:r>
            <w:r w:rsidRPr="00A72764">
              <w:t>and perpetuate violence against women.</w:t>
            </w:r>
          </w:p>
          <w:p w14:paraId="5A70C02D" w14:textId="77777777" w:rsidR="007D5CED" w:rsidRPr="007D5CED" w:rsidRDefault="007D5CED" w:rsidP="00B83062">
            <w:pPr>
              <w:pStyle w:val="ChapterIntro"/>
            </w:pPr>
            <w:r w:rsidRPr="007D5CED">
              <w:t>The present report discusses the 2021 NCAS findings for young people aged 16 to 24 years.</w:t>
            </w:r>
          </w:p>
        </w:tc>
      </w:tr>
    </w:tbl>
    <w:p w14:paraId="7AA46F2C" w14:textId="3736C8C5" w:rsidR="007D5CED" w:rsidRPr="007D5CED" w:rsidRDefault="00CB1DA8" w:rsidP="008346B8">
      <w:pPr>
        <w:spacing w:before="0" w:after="0" w:line="240" w:lineRule="auto"/>
        <w:rPr>
          <w:rFonts w:cs="Open Sans"/>
          <w:color w:val="000000"/>
          <w:kern w:val="0"/>
          <w:szCs w:val="18"/>
          <w:lang w:val="en-GB"/>
        </w:rPr>
      </w:pPr>
      <w:r>
        <w:rPr>
          <w:rFonts w:cs="Open Sans"/>
          <w:color w:val="000000"/>
          <w:kern w:val="0"/>
          <w:szCs w:val="18"/>
          <w:lang w:val="en-GB"/>
        </w:rPr>
        <w:br w:type="page"/>
      </w:r>
    </w:p>
    <w:p w14:paraId="7AE75B69" w14:textId="77777777" w:rsidR="007D5CED" w:rsidRPr="00B24264" w:rsidRDefault="007D5CED" w:rsidP="00DC3FE8">
      <w:pPr>
        <w:pStyle w:val="Heading3"/>
      </w:pPr>
      <w:bookmarkStart w:id="29" w:name="_Toc152532368"/>
      <w:bookmarkStart w:id="30" w:name="_Toc190941654"/>
      <w:bookmarkStart w:id="31" w:name="_Toc190942354"/>
      <w:r w:rsidRPr="00161A2F">
        <w:lastRenderedPageBreak/>
        <w:t>Research design and analysis</w:t>
      </w:r>
      <w:bookmarkEnd w:id="29"/>
      <w:bookmarkEnd w:id="30"/>
      <w:bookmarkEnd w:id="31"/>
    </w:p>
    <w:p w14:paraId="18AAC249" w14:textId="622DD5CB" w:rsidR="007D5CED" w:rsidRPr="007D5CED" w:rsidRDefault="007D5CED" w:rsidP="00161A2F">
      <w:pPr>
        <w:rPr>
          <w:vertAlign w:val="superscript"/>
          <w:lang w:val="en-GB"/>
        </w:rPr>
      </w:pPr>
      <w:r w:rsidRPr="007D5CED">
        <w:rPr>
          <w:lang w:val="en-GB"/>
        </w:rPr>
        <w:t>The 2021 NCAS was conducted via mobile telephone interviews with 19,100 respondents across Australia. The sample included 1,669 young Australians aged 16 to 24 years, comprising 913 young men (55%), 715 young women (43%) and 36 young non-binary (2%) respondents.</w:t>
      </w:r>
      <w:r w:rsidR="007118BE">
        <w:rPr>
          <w:rStyle w:val="FootnoteReference"/>
          <w:rFonts w:cs="Open Sans"/>
          <w:color w:val="000000"/>
          <w:kern w:val="0"/>
          <w:szCs w:val="18"/>
          <w:lang w:val="en-GB"/>
        </w:rPr>
        <w:footnoteReference w:id="1"/>
      </w:r>
    </w:p>
    <w:p w14:paraId="69EC16CD" w14:textId="77777777" w:rsidR="007D5CED" w:rsidRPr="007D5CED" w:rsidRDefault="007D5CED" w:rsidP="00161A2F">
      <w:pPr>
        <w:rPr>
          <w:lang w:val="en-GB"/>
        </w:rPr>
      </w:pPr>
      <w:r w:rsidRPr="007D5CED">
        <w:rPr>
          <w:lang w:val="en-GB"/>
        </w:rPr>
        <w:t xml:space="preserve">The 2021 instrument included: </w:t>
      </w:r>
    </w:p>
    <w:p w14:paraId="21339DBA" w14:textId="77777777" w:rsidR="007D5CED" w:rsidRPr="007D5CED" w:rsidRDefault="007D5CED" w:rsidP="00161A2F">
      <w:pPr>
        <w:pStyle w:val="ListBullet"/>
      </w:pPr>
      <w:r w:rsidRPr="007D5CED">
        <w:t xml:space="preserve">demographic items </w:t>
      </w:r>
    </w:p>
    <w:p w14:paraId="5436A796" w14:textId="77777777" w:rsidR="007D5CED" w:rsidRPr="00EA1044" w:rsidRDefault="007D5CED" w:rsidP="00161A2F">
      <w:pPr>
        <w:pStyle w:val="ListBullet"/>
        <w:rPr>
          <w:lang w:val="en-AU"/>
        </w:rPr>
      </w:pPr>
      <w:r w:rsidRPr="00EA1044">
        <w:rPr>
          <w:lang w:val="en-AU"/>
        </w:rPr>
        <w:t xml:space="preserve">items measuring understanding of the nature of violence against women </w:t>
      </w:r>
    </w:p>
    <w:p w14:paraId="4FC7F61D" w14:textId="77777777" w:rsidR="007D5CED" w:rsidRPr="00EA1044" w:rsidRDefault="007D5CED" w:rsidP="00161A2F">
      <w:pPr>
        <w:pStyle w:val="ListBullet"/>
        <w:rPr>
          <w:lang w:val="en-AU"/>
        </w:rPr>
      </w:pPr>
      <w:r w:rsidRPr="00EA1044">
        <w:rPr>
          <w:lang w:val="en-AU"/>
        </w:rPr>
        <w:t xml:space="preserve">items measuring attitudes towards violence against women and gender inequality </w:t>
      </w:r>
    </w:p>
    <w:p w14:paraId="4539A175" w14:textId="59D89504" w:rsidR="007D5CED" w:rsidRPr="00EA1044" w:rsidRDefault="007D5CED" w:rsidP="00161A2F">
      <w:pPr>
        <w:pStyle w:val="ListBullet"/>
        <w:rPr>
          <w:lang w:val="en-AU"/>
        </w:rPr>
      </w:pPr>
      <w:r w:rsidRPr="00EA1044">
        <w:rPr>
          <w:lang w:val="en-AU"/>
        </w:rPr>
        <w:t>scenario-based items examining bystander responses when witnessing abuse or disrespect against</w:t>
      </w:r>
      <w:r w:rsidR="00A3356A" w:rsidRPr="00EA1044">
        <w:rPr>
          <w:lang w:val="en-AU"/>
        </w:rPr>
        <w:t> </w:t>
      </w:r>
      <w:r w:rsidRPr="00EA1044">
        <w:rPr>
          <w:lang w:val="en-AU"/>
        </w:rPr>
        <w:t xml:space="preserve">women. </w:t>
      </w:r>
    </w:p>
    <w:p w14:paraId="4EF3E70F" w14:textId="77777777" w:rsidR="007D5CED" w:rsidRPr="007D5CED" w:rsidRDefault="007D5CED" w:rsidP="00161A2F">
      <w:pPr>
        <w:rPr>
          <w:lang w:val="en-GB"/>
        </w:rPr>
      </w:pPr>
      <w:r w:rsidRPr="007D5CED">
        <w:rPr>
          <w:lang w:val="en-GB"/>
        </w:rPr>
        <w:t xml:space="preserve">Understanding and attitude items were grouped into nine psychometric scales, validated via Rasch analysis and factor analysis. The 2021 NCAS included three main scales, namely: </w:t>
      </w:r>
    </w:p>
    <w:p w14:paraId="7DF41751" w14:textId="0EB55DE6" w:rsidR="007D5CED" w:rsidRPr="007D5CED" w:rsidRDefault="007D5CED" w:rsidP="00161A2F">
      <w:pPr>
        <w:pStyle w:val="ListBullet"/>
        <w:rPr>
          <w:lang w:val="en-GB"/>
        </w:rPr>
      </w:pPr>
      <w:r w:rsidRPr="007D5CED">
        <w:rPr>
          <w:lang w:val="en-GB"/>
        </w:rPr>
        <w:t>the Understanding of Violence against Women Scale (UVAWS), which measures recognition of</w:t>
      </w:r>
      <w:r w:rsidR="00A3356A">
        <w:rPr>
          <w:lang w:val="en-GB"/>
        </w:rPr>
        <w:t> </w:t>
      </w:r>
      <w:r w:rsidRPr="007D5CED">
        <w:rPr>
          <w:lang w:val="en-GB"/>
        </w:rPr>
        <w:t xml:space="preserve">problematic behaviours as violence and understanding of the gendered nature of violence against women </w:t>
      </w:r>
    </w:p>
    <w:p w14:paraId="182F7BB5" w14:textId="77777777" w:rsidR="007D5CED" w:rsidRPr="007D5CED" w:rsidRDefault="007D5CED" w:rsidP="00161A2F">
      <w:pPr>
        <w:pStyle w:val="ListBullet"/>
        <w:rPr>
          <w:lang w:val="en-GB"/>
        </w:rPr>
      </w:pPr>
      <w:r w:rsidRPr="007D5CED">
        <w:rPr>
          <w:lang w:val="en-GB"/>
        </w:rPr>
        <w:t>the Attitudes towards Gender Inequality Scale (AGIS), which measures rejection of problematic attitudes regarding gender inequality</w:t>
      </w:r>
    </w:p>
    <w:p w14:paraId="70A99D34" w14:textId="50512C33" w:rsidR="007D5CED" w:rsidRPr="007D5CED" w:rsidRDefault="007D5CED" w:rsidP="00161A2F">
      <w:pPr>
        <w:pStyle w:val="ListBullet"/>
        <w:rPr>
          <w:lang w:val="en-GB"/>
        </w:rPr>
      </w:pPr>
      <w:r w:rsidRPr="007D5CED">
        <w:rPr>
          <w:lang w:val="en-GB"/>
        </w:rPr>
        <w:t>the Attitudes towards Violence against Women Scale (AVAWS), which measures rejection of</w:t>
      </w:r>
      <w:r w:rsidR="00A3356A">
        <w:rPr>
          <w:lang w:val="en-GB"/>
        </w:rPr>
        <w:t> </w:t>
      </w:r>
      <w:r w:rsidRPr="007D5CED">
        <w:rPr>
          <w:lang w:val="en-GB"/>
        </w:rPr>
        <w:t xml:space="preserve">problematic attitudes regarding violence against women. </w:t>
      </w:r>
    </w:p>
    <w:p w14:paraId="3600B48D" w14:textId="77777777" w:rsidR="007D5CED" w:rsidRPr="007D5CED" w:rsidRDefault="007D5CED" w:rsidP="00161A2F">
      <w:pPr>
        <w:rPr>
          <w:lang w:val="en-GB"/>
        </w:rPr>
      </w:pPr>
      <w:r w:rsidRPr="007D5CED">
        <w:rPr>
          <w:lang w:val="en-GB"/>
        </w:rPr>
        <w:t>The main scales comprise subscales that measure different thematic aspects of the broad concepts underlying the scales. In addition, the 2021 NCAS included five scales to measure and allow comparisons between attitudes towards each of five types of violence. These five scales are the Domestic Violence Scale (DVS), the Sexual Violence Scale (SVS), the Sexual Assault Scale (SAS), the Sexual Harassment Scale (SHS) and the Technology-Facilitated Abuse Scale (TFAS).</w:t>
      </w:r>
    </w:p>
    <w:p w14:paraId="541B44FC" w14:textId="4D727A14" w:rsidR="007D5CED" w:rsidRPr="007D5CED" w:rsidRDefault="007D5CED" w:rsidP="00161A2F">
      <w:pPr>
        <w:rPr>
          <w:lang w:val="en-GB"/>
        </w:rPr>
      </w:pPr>
      <w:r w:rsidRPr="007D5CED">
        <w:rPr>
          <w:lang w:val="en-GB"/>
        </w:rPr>
        <w:t>Respondents’ scores on each scale were used to calculate the average level of understanding of</w:t>
      </w:r>
      <w:r w:rsidR="00A3356A">
        <w:rPr>
          <w:lang w:val="en-GB"/>
        </w:rPr>
        <w:t> </w:t>
      </w:r>
      <w:r w:rsidRPr="007D5CED">
        <w:rPr>
          <w:lang w:val="en-GB"/>
        </w:rPr>
        <w:t>violence against women and rejection of problematic attitudes, as well as changes in understanding and attitudes over time. Bivariate and regression analyses were also conducted to examine the factors significantly related to understanding and attitudes regarding violence against women and gender inequality, including demographic factors and particular aspects of understanding and attitudes.</w:t>
      </w:r>
    </w:p>
    <w:p w14:paraId="3532677E" w14:textId="77777777" w:rsidR="007D5CED" w:rsidRPr="00161A2F" w:rsidRDefault="007D5CED" w:rsidP="00DC3FE8">
      <w:pPr>
        <w:pStyle w:val="Heading3"/>
      </w:pPr>
      <w:bookmarkStart w:id="32" w:name="_Toc152532369"/>
      <w:bookmarkStart w:id="33" w:name="_Toc190941655"/>
      <w:bookmarkStart w:id="34" w:name="_Toc190942355"/>
      <w:r w:rsidRPr="00161A2F">
        <w:t>Key findings</w:t>
      </w:r>
      <w:bookmarkEnd w:id="32"/>
      <w:bookmarkEnd w:id="33"/>
      <w:bookmarkEnd w:id="34"/>
    </w:p>
    <w:p w14:paraId="20B4852D" w14:textId="184264F0" w:rsidR="00130B11" w:rsidRDefault="007D5CED" w:rsidP="00A3356A">
      <w:pPr>
        <w:rPr>
          <w:rFonts w:ascii="Hind SemiBold" w:hAnsi="Hind SemiBold" w:cs="Hind SemiBold"/>
          <w:b/>
          <w:bCs/>
          <w:color w:val="000000"/>
          <w:spacing w:val="-1"/>
          <w:kern w:val="0"/>
          <w:position w:val="8"/>
          <w:sz w:val="24"/>
          <w:szCs w:val="20"/>
          <w:lang w:val="en-GB"/>
        </w:rPr>
      </w:pPr>
      <w:r w:rsidRPr="007D5CED">
        <w:rPr>
          <w:lang w:val="en-GB"/>
        </w:rPr>
        <w:t>The NCAS findings for young people provide evidence that young Australians’ understanding and attitudes regarding violence against women are generally moving towards positive change, although this change is occurring slowly. Most young Australians, like most Australians of all ages, strongly reject violence against women and gender inequality. However, the NCAS findings also highlight many opportunities to further improve young people’s understanding and attitudes and break down the culture that perpetuates violence against women.</w:t>
      </w:r>
      <w:r w:rsidR="00130B11" w:rsidRPr="008C29F3">
        <w:rPr>
          <w:lang w:val="en-AU"/>
        </w:rPr>
        <w:br w:type="page"/>
      </w:r>
    </w:p>
    <w:p w14:paraId="7B6D9059" w14:textId="26269168" w:rsidR="007D5CED" w:rsidRPr="0084332B" w:rsidRDefault="0043684C" w:rsidP="0084332B">
      <w:pPr>
        <w:pStyle w:val="Heading4indented"/>
      </w:pPr>
      <w:r w:rsidRPr="0084332B">
        <w:rPr>
          <w:noProof/>
        </w:rPr>
        <w:lastRenderedPageBreak/>
        <mc:AlternateContent>
          <mc:Choice Requires="wps">
            <w:drawing>
              <wp:anchor distT="0" distB="0" distL="114300" distR="114300" simplePos="0" relativeHeight="251658249" behindDoc="0" locked="0" layoutInCell="1" allowOverlap="1" wp14:anchorId="23D77E75" wp14:editId="026635B2">
                <wp:simplePos x="0" y="0"/>
                <wp:positionH relativeFrom="column">
                  <wp:posOffset>5124</wp:posOffset>
                </wp:positionH>
                <wp:positionV relativeFrom="paragraph">
                  <wp:posOffset>14605</wp:posOffset>
                </wp:positionV>
                <wp:extent cx="225870" cy="225870"/>
                <wp:effectExtent l="0" t="0" r="3175" b="3175"/>
                <wp:wrapSquare wrapText="bothSides"/>
                <wp:docPr id="114452165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2ABE2" id="Rectangle 2" o:spid="_x0000_s1026" alt="&quot;&quot;" style="position:absolute;margin-left:.4pt;margin-top:1.15pt;width:17.8pt;height:1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" fillcolor="#ffcd00" stroked="f" strokeweight="1pt">
                <w10:wrap type="square"/>
              </v:rect>
            </w:pict>
          </mc:Fallback>
        </mc:AlternateContent>
      </w:r>
      <w:r w:rsidR="007D5CED" w:rsidRPr="0084332B">
        <w:t>Key finding 1: Young people’s understanding and attitudes have improved since 2017, with some exceptions</w:t>
      </w:r>
    </w:p>
    <w:p w14:paraId="3547965A" w14:textId="77777777" w:rsidR="007D5CED" w:rsidRPr="007D5CED" w:rsidRDefault="007D5CED" w:rsidP="00607374">
      <w:pPr>
        <w:spacing w:before="360" w:after="240"/>
        <w:rPr>
          <w:lang w:val="en-GB"/>
        </w:rPr>
      </w:pPr>
      <w:r w:rsidRPr="007D5CED">
        <w:rPr>
          <w:lang w:val="en-GB"/>
        </w:rPr>
        <w:t>Between 2017 and 2021, young respondents significantly improved in their:</w:t>
      </w:r>
    </w:p>
    <w:p w14:paraId="165FC374" w14:textId="77777777" w:rsidR="007D5CED" w:rsidRPr="007D5CED" w:rsidRDefault="007D5CED" w:rsidP="00CB1DA8">
      <w:pPr>
        <w:pStyle w:val="ListBullet"/>
        <w:rPr>
          <w:lang w:val="en-GB"/>
        </w:rPr>
      </w:pPr>
      <w:r w:rsidRPr="007D5CED">
        <w:rPr>
          <w:lang w:val="en-GB"/>
        </w:rPr>
        <w:t>understanding of violence against women, including their recognition of behaviours that constitute domestic violence and violence against women more broadly</w:t>
      </w:r>
    </w:p>
    <w:p w14:paraId="72D9FAED" w14:textId="77777777" w:rsidR="007D5CED" w:rsidRPr="007D5CED" w:rsidRDefault="007D5CED" w:rsidP="00CB1DA8">
      <w:pPr>
        <w:pStyle w:val="ListBullet"/>
        <w:rPr>
          <w:lang w:val="en-GB"/>
        </w:rPr>
      </w:pPr>
      <w:r w:rsidRPr="007D5CED">
        <w:rPr>
          <w:lang w:val="en-GB"/>
        </w:rPr>
        <w:t>attitudinal rejection of gender inequality, including rejection of attitudes that deny inequality, normalise sexism and reinforce rigid gender roles</w:t>
      </w:r>
    </w:p>
    <w:p w14:paraId="2F7C425F" w14:textId="77777777" w:rsidR="007D5CED" w:rsidRPr="007D5CED" w:rsidRDefault="007D5CED" w:rsidP="00CB1DA8">
      <w:pPr>
        <w:pStyle w:val="ListBullet"/>
        <w:rPr>
          <w:lang w:val="en-GB"/>
        </w:rPr>
      </w:pPr>
      <w:r w:rsidRPr="007D5CED">
        <w:rPr>
          <w:lang w:val="en-GB"/>
        </w:rPr>
        <w:t>attitudinal rejection of violence against women, including rejection of attitudes that mistrust women’s reports of violence, and those that objectify women and disregard consent</w:t>
      </w:r>
    </w:p>
    <w:p w14:paraId="4D0AFC1F" w14:textId="77777777" w:rsidR="007D5CED" w:rsidRPr="007D5CED" w:rsidRDefault="007D5CED" w:rsidP="00CB1DA8">
      <w:pPr>
        <w:pStyle w:val="ListBullet"/>
        <w:rPr>
          <w:lang w:val="en-GB"/>
        </w:rPr>
      </w:pPr>
      <w:r w:rsidRPr="007D5CED">
        <w:rPr>
          <w:lang w:val="en-GB"/>
        </w:rPr>
        <w:t>rejection of sexual violence, including sexual assault and sexual harassment.</w:t>
      </w:r>
    </w:p>
    <w:p w14:paraId="39770149" w14:textId="77777777" w:rsidR="007D5CED" w:rsidRPr="007D5CED" w:rsidRDefault="007D5CED" w:rsidP="00607374">
      <w:pPr>
        <w:suppressAutoHyphens/>
        <w:autoSpaceDE w:val="0"/>
        <w:autoSpaceDN w:val="0"/>
        <w:adjustRightInd w:val="0"/>
        <w:spacing w:before="360" w:after="240" w:line="240" w:lineRule="atLeast"/>
        <w:jc w:val="both"/>
        <w:textAlignment w:val="center"/>
        <w:rPr>
          <w:rFonts w:cs="Open Sans"/>
          <w:color w:val="000000"/>
          <w:kern w:val="0"/>
          <w:szCs w:val="18"/>
          <w:lang w:val="en-GB"/>
        </w:rPr>
      </w:pPr>
      <w:r w:rsidRPr="007D5CED">
        <w:rPr>
          <w:rFonts w:cs="Open Sans"/>
          <w:color w:val="000000"/>
          <w:kern w:val="0"/>
          <w:szCs w:val="18"/>
          <w:lang w:val="en-GB"/>
        </w:rPr>
        <w:t>However, young respondents did not significantly improve between 2017 and 2021 in their rejection of:</w:t>
      </w:r>
    </w:p>
    <w:p w14:paraId="25792710" w14:textId="7D9EA6D3" w:rsidR="007D5CED" w:rsidRPr="007D5CED" w:rsidRDefault="007D5CED" w:rsidP="00CB1DA8">
      <w:pPr>
        <w:pStyle w:val="ListBullet"/>
        <w:rPr>
          <w:lang w:val="en-GB"/>
        </w:rPr>
      </w:pPr>
      <w:r w:rsidRPr="007D5CED">
        <w:rPr>
          <w:lang w:val="en-GB"/>
        </w:rPr>
        <w:t>some attitudes that maintain gender inequality, including attitudes that condone limiting women’s</w:t>
      </w:r>
      <w:r w:rsidR="00607374">
        <w:rPr>
          <w:lang w:val="en-GB"/>
        </w:rPr>
        <w:t> </w:t>
      </w:r>
      <w:r w:rsidRPr="007D5CED">
        <w:rPr>
          <w:lang w:val="en-GB"/>
        </w:rPr>
        <w:t>autonomy and undermine women’s leadership in public life</w:t>
      </w:r>
    </w:p>
    <w:p w14:paraId="33DC469D" w14:textId="77777777" w:rsidR="007D5CED" w:rsidRPr="007D5CED" w:rsidRDefault="007D5CED" w:rsidP="00CB1DA8">
      <w:pPr>
        <w:pStyle w:val="ListBullet"/>
        <w:rPr>
          <w:lang w:val="en-GB"/>
        </w:rPr>
      </w:pPr>
      <w:r w:rsidRPr="007D5CED">
        <w:rPr>
          <w:lang w:val="en-GB"/>
        </w:rPr>
        <w:t>some attitudes that maintain violence against women, specifically attitudes that minimise the seriousness of violence or blame victims and survivors</w:t>
      </w:r>
    </w:p>
    <w:p w14:paraId="248DB88C" w14:textId="77777777" w:rsidR="007D5CED" w:rsidRPr="007D5CED" w:rsidRDefault="007D5CED" w:rsidP="00CB1DA8">
      <w:pPr>
        <w:pStyle w:val="ListBullet"/>
        <w:rPr>
          <w:lang w:val="en-GB"/>
        </w:rPr>
      </w:pPr>
      <w:r w:rsidRPr="007D5CED">
        <w:rPr>
          <w:lang w:val="en-GB"/>
        </w:rPr>
        <w:t>attitudes that maintain domestic violence.</w:t>
      </w:r>
    </w:p>
    <w:p w14:paraId="6BED9F95" w14:textId="7C9BE3C8" w:rsidR="007D5CED" w:rsidRPr="007D5CED" w:rsidRDefault="0043684C" w:rsidP="0084332B">
      <w:pPr>
        <w:pStyle w:val="Heading4indented"/>
        <w:rPr>
          <w:rFonts w:ascii="Open Sans SemiBold" w:hAnsi="Open Sans SemiBold" w:cs="Open Sans SemiBold"/>
          <w:sz w:val="22"/>
          <w:szCs w:val="22"/>
        </w:rPr>
      </w:pPr>
      <w:r>
        <w:rPr>
          <w:noProof/>
        </w:rPr>
        <mc:AlternateContent>
          <mc:Choice Requires="wps">
            <w:drawing>
              <wp:anchor distT="0" distB="0" distL="114300" distR="114300" simplePos="0" relativeHeight="251658250" behindDoc="0" locked="0" layoutInCell="1" allowOverlap="1" wp14:anchorId="78BEA648" wp14:editId="2C16AA9C">
                <wp:simplePos x="0" y="0"/>
                <wp:positionH relativeFrom="column">
                  <wp:posOffset>5124</wp:posOffset>
                </wp:positionH>
                <wp:positionV relativeFrom="paragraph">
                  <wp:posOffset>154217</wp:posOffset>
                </wp:positionV>
                <wp:extent cx="225870" cy="225870"/>
                <wp:effectExtent l="0" t="0" r="3175" b="3175"/>
                <wp:wrapSquare wrapText="bothSides"/>
                <wp:docPr id="9795287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3C61A" id="Rectangle 2" o:spid="_x0000_s1026" alt="&quot;&quot;" style="position:absolute;margin-left:.4pt;margin-top:12.15pt;width:17.8pt;height:1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" fillcolor="#ffcd00" stroked="f" strokeweight="1pt">
                <w10:wrap type="square"/>
              </v:rect>
            </w:pict>
          </mc:Fallback>
        </mc:AlternateContent>
      </w:r>
      <w:r w:rsidR="007D5CED" w:rsidRPr="007D5CED">
        <w:t>Key finding 2: Young people’s understanding and attitudes towards violence against women and gender inequality are stronger in some areas than others</w:t>
      </w:r>
    </w:p>
    <w:p w14:paraId="16101756" w14:textId="77777777" w:rsidR="007D5CED" w:rsidRPr="007D5CED" w:rsidRDefault="007D5CED" w:rsidP="0084332B">
      <w:pPr>
        <w:pStyle w:val="Heading5"/>
      </w:pPr>
      <w:r w:rsidRPr="007D5CED">
        <w:t>Young respondents were more likely to recognise that violence against women is a problem in Australia than in their own local area</w:t>
      </w:r>
    </w:p>
    <w:p w14:paraId="025BE9A1" w14:textId="30828162" w:rsidR="007D5CED" w:rsidRPr="007D5CED" w:rsidRDefault="007D5CED" w:rsidP="00CB1DA8">
      <w:pPr>
        <w:rPr>
          <w:lang w:val="en-GB"/>
        </w:rPr>
      </w:pPr>
      <w:r w:rsidRPr="007D5CED">
        <w:rPr>
          <w:lang w:val="en-GB"/>
        </w:rPr>
        <w:t>Most young respondents agreed that violence against women is a problem in Australia (91%), but</w:t>
      </w:r>
      <w:r w:rsidR="00607374">
        <w:rPr>
          <w:lang w:val="en-GB"/>
        </w:rPr>
        <w:t> </w:t>
      </w:r>
      <w:r w:rsidRPr="007D5CED">
        <w:rPr>
          <w:lang w:val="en-GB"/>
        </w:rPr>
        <w:t>fewer</w:t>
      </w:r>
      <w:r w:rsidR="00607374">
        <w:rPr>
          <w:lang w:val="en-GB"/>
        </w:rPr>
        <w:t> </w:t>
      </w:r>
      <w:r w:rsidRPr="007D5CED">
        <w:rPr>
          <w:lang w:val="en-GB"/>
        </w:rPr>
        <w:t>agreed that it is a problem in their suburb or town (53%). Although Australians of all ages could substantially improve their understanding that violence against women occurs in their own local area, this understanding was higher for young respondents than those aged 25 years or older.</w:t>
      </w:r>
    </w:p>
    <w:p w14:paraId="1B1E7F7C" w14:textId="77777777" w:rsidR="007D5CED" w:rsidRPr="001D5460" w:rsidRDefault="007D5CED" w:rsidP="0084332B">
      <w:pPr>
        <w:pStyle w:val="Heading5"/>
      </w:pPr>
      <w:r w:rsidRPr="001D5460">
        <w:t>Young respondents were better at recognising physical than non-physical forms of violence</w:t>
      </w:r>
    </w:p>
    <w:p w14:paraId="7C0D8226" w14:textId="63323857" w:rsidR="007D5CED" w:rsidRPr="007D5CED" w:rsidRDefault="007D5CED" w:rsidP="00CB1DA8">
      <w:pPr>
        <w:rPr>
          <w:lang w:val="en-GB"/>
        </w:rPr>
      </w:pPr>
      <w:r w:rsidRPr="007D5CED">
        <w:rPr>
          <w:lang w:val="en-GB"/>
        </w:rPr>
        <w:t>Most young respondents recognised that a range of violent, abusive and controlling behaviours are “always” forms of domestic violence or violence against women (58–93%). At least 3 in 4 young respondents identified physical harm or threats of physical harm as “always” forms of domestic violence (78–93%). However, there was less recognition that non-physical forms of domestic violence are “always” violence (58–72%), including repeatedly criticising a partner, controlling a partner by</w:t>
      </w:r>
      <w:r w:rsidR="00A3356A">
        <w:rPr>
          <w:lang w:val="en-GB"/>
        </w:rPr>
        <w:t> </w:t>
      </w:r>
      <w:r w:rsidRPr="007D5CED">
        <w:rPr>
          <w:lang w:val="en-GB"/>
        </w:rPr>
        <w:t>denying them money and repeated electronic tracking of a partner.</w:t>
      </w:r>
    </w:p>
    <w:p w14:paraId="476A8BFD" w14:textId="77777777" w:rsidR="00607374" w:rsidRDefault="007D5CED" w:rsidP="0084332B">
      <w:pPr>
        <w:pStyle w:val="Heading5"/>
      </w:pPr>
      <w:r w:rsidRPr="007D5CED">
        <w:t>Almost half of young respondents did not understand the gendered nature of domestic violence</w:t>
      </w:r>
    </w:p>
    <w:p w14:paraId="163D4A71" w14:textId="44513F1D" w:rsidR="007D5CED" w:rsidRPr="007D5CED" w:rsidRDefault="007D5CED" w:rsidP="00607374">
      <w:pPr>
        <w:keepNext/>
        <w:keepLines/>
      </w:pPr>
      <w:r w:rsidRPr="00EA1044">
        <w:rPr>
          <w:lang w:val="en-AU"/>
        </w:rPr>
        <w:t>Like respondents of all ages, young respondents were more adept at identifying behaviours that</w:t>
      </w:r>
      <w:r w:rsidR="00607374" w:rsidRPr="00EA1044">
        <w:rPr>
          <w:lang w:val="en-AU"/>
        </w:rPr>
        <w:t> </w:t>
      </w:r>
      <w:r w:rsidRPr="00EA1044">
        <w:rPr>
          <w:lang w:val="en-AU"/>
        </w:rPr>
        <w:t xml:space="preserve">constitute violence than understanding the gendered nature of domestic violence. </w:t>
      </w:r>
      <w:r w:rsidRPr="007D5CED">
        <w:t>Substantial</w:t>
      </w:r>
      <w:r w:rsidR="00607374">
        <w:t> </w:t>
      </w:r>
      <w:r w:rsidRPr="007D5CED">
        <w:t xml:space="preserve">proportions of young respondents incorrectly believed that: </w:t>
      </w:r>
    </w:p>
    <w:p w14:paraId="485D7EC2" w14:textId="77777777" w:rsidR="007D5CED" w:rsidRPr="007D5CED" w:rsidRDefault="007D5CED" w:rsidP="00607374">
      <w:pPr>
        <w:pStyle w:val="ListBullet"/>
        <w:keepNext/>
        <w:keepLines/>
        <w:rPr>
          <w:lang w:val="en-GB"/>
        </w:rPr>
      </w:pPr>
      <w:r w:rsidRPr="007D5CED">
        <w:rPr>
          <w:lang w:val="en-GB"/>
        </w:rPr>
        <w:t>domestic violence is equally committed by men and women (46%)</w:t>
      </w:r>
    </w:p>
    <w:p w14:paraId="45D4AAAC" w14:textId="77777777" w:rsidR="007D5CED" w:rsidRPr="007D5CED" w:rsidRDefault="007D5CED" w:rsidP="00607374">
      <w:pPr>
        <w:pStyle w:val="ListBullet"/>
        <w:keepNext/>
        <w:keepLines/>
        <w:rPr>
          <w:lang w:val="en-GB"/>
        </w:rPr>
      </w:pPr>
      <w:r w:rsidRPr="007D5CED">
        <w:rPr>
          <w:lang w:val="en-GB"/>
        </w:rPr>
        <w:t>men and women are equally likely to experience fear as a result of domestic violence (45%)</w:t>
      </w:r>
    </w:p>
    <w:p w14:paraId="0AA46C4B" w14:textId="77777777" w:rsidR="007D5CED" w:rsidRPr="007D5CED" w:rsidRDefault="007D5CED" w:rsidP="00607374">
      <w:pPr>
        <w:pStyle w:val="ListBullet"/>
        <w:keepNext/>
        <w:keepLines/>
        <w:rPr>
          <w:lang w:val="en-GB"/>
        </w:rPr>
      </w:pPr>
      <w:r w:rsidRPr="007D5CED">
        <w:rPr>
          <w:lang w:val="en-GB"/>
        </w:rPr>
        <w:t xml:space="preserve">men and women are equally likely to suffer physical harm from domestic violence (26%). </w:t>
      </w:r>
    </w:p>
    <w:p w14:paraId="60DB2A9F" w14:textId="77777777" w:rsidR="007D5CED" w:rsidRPr="007D5CED" w:rsidRDefault="007D5CED" w:rsidP="0084332B">
      <w:pPr>
        <w:pStyle w:val="Heading5"/>
        <w:rPr>
          <w:rFonts w:ascii="Open Sans SemiBold" w:hAnsi="Open Sans SemiBold" w:cs="Open Sans SemiBold"/>
        </w:rPr>
      </w:pPr>
      <w:r w:rsidRPr="007D5CED">
        <w:t xml:space="preserve">Young respondents demonstrated stronger rejection of some problematic attitudes towards gender inequality than </w:t>
      </w:r>
      <w:r w:rsidRPr="008C29F3">
        <w:t>others</w:t>
      </w:r>
    </w:p>
    <w:p w14:paraId="52FF0A80" w14:textId="77777777" w:rsidR="007D5CED" w:rsidRPr="007D5CED" w:rsidRDefault="007D5CED" w:rsidP="00AB0027">
      <w:pPr>
        <w:rPr>
          <w:lang w:val="en-GB"/>
        </w:rPr>
      </w:pPr>
      <w:r w:rsidRPr="007D5CED">
        <w:rPr>
          <w:lang w:val="en-GB"/>
        </w:rPr>
        <w:lastRenderedPageBreak/>
        <w:t>Although most young respondents held attitudes that reject gender inequality, some problematic attitudes were more strongly rejected than others. Significantly more young respondents “strongly disagreed” with attitudes that reinforce rigid gender roles than attitudes that limit women’s autonomy. In addition, concerningly few young respondents “strongly disagreed” with attitudes that deny women’s experiences of gender inequality.</w:t>
      </w:r>
    </w:p>
    <w:p w14:paraId="1D42AA31" w14:textId="77777777" w:rsidR="007D5CED" w:rsidRPr="007D5CED" w:rsidRDefault="007D5CED" w:rsidP="0084332B">
      <w:pPr>
        <w:pStyle w:val="Heading5"/>
      </w:pPr>
      <w:r w:rsidRPr="007D5CED">
        <w:t>Young respondents demonstrated stronger rejection of some problematic attitudes towards violence against women than others</w:t>
      </w:r>
    </w:p>
    <w:p w14:paraId="2187DD8A" w14:textId="55B016D9" w:rsidR="007D5CED" w:rsidRPr="007D5CED" w:rsidRDefault="007D5CED" w:rsidP="00AB0027">
      <w:pPr>
        <w:rPr>
          <w:lang w:val="en-GB"/>
        </w:rPr>
      </w:pPr>
      <w:r w:rsidRPr="007D5CED">
        <w:rPr>
          <w:lang w:val="en-GB"/>
        </w:rPr>
        <w:t>Although most young respondents held attitudes that reject violence against women, some</w:t>
      </w:r>
      <w:r w:rsidR="00607374">
        <w:rPr>
          <w:lang w:val="en-GB"/>
        </w:rPr>
        <w:t> </w:t>
      </w:r>
      <w:r w:rsidRPr="007D5CED">
        <w:rPr>
          <w:lang w:val="en-GB"/>
        </w:rPr>
        <w:t>problematic attitudes were more strongly rejected than others. Significantly more young respondents “strongly disagreed” with attitudes that objectify women and disregard consent than with</w:t>
      </w:r>
      <w:r w:rsidR="00607374">
        <w:rPr>
          <w:lang w:val="en-GB"/>
        </w:rPr>
        <w:t> </w:t>
      </w:r>
      <w:r w:rsidRPr="007D5CED">
        <w:rPr>
          <w:lang w:val="en-GB"/>
        </w:rPr>
        <w:t>attitudes that minimise violence against women and attitudes that mistrust women’s reports of</w:t>
      </w:r>
      <w:r w:rsidR="00607374">
        <w:rPr>
          <w:lang w:val="en-GB"/>
        </w:rPr>
        <w:t> </w:t>
      </w:r>
      <w:r w:rsidRPr="007D5CED">
        <w:rPr>
          <w:lang w:val="en-GB"/>
        </w:rPr>
        <w:t xml:space="preserve">violence. </w:t>
      </w:r>
    </w:p>
    <w:p w14:paraId="744AB266" w14:textId="2FF36887" w:rsidR="007D5CED" w:rsidRPr="007D5CED" w:rsidRDefault="0043684C" w:rsidP="0084332B">
      <w:pPr>
        <w:pStyle w:val="Heading4indented"/>
      </w:pPr>
      <w:r>
        <w:rPr>
          <w:noProof/>
        </w:rPr>
        <mc:AlternateContent>
          <mc:Choice Requires="wps">
            <w:drawing>
              <wp:anchor distT="0" distB="0" distL="114300" distR="114300" simplePos="0" relativeHeight="251658251" behindDoc="0" locked="0" layoutInCell="1" allowOverlap="1" wp14:anchorId="75C846B4" wp14:editId="7F886E10">
                <wp:simplePos x="0" y="0"/>
                <wp:positionH relativeFrom="column">
                  <wp:posOffset>5124</wp:posOffset>
                </wp:positionH>
                <wp:positionV relativeFrom="paragraph">
                  <wp:posOffset>160546</wp:posOffset>
                </wp:positionV>
                <wp:extent cx="225870" cy="225870"/>
                <wp:effectExtent l="0" t="0" r="3175" b="3175"/>
                <wp:wrapSquare wrapText="bothSides"/>
                <wp:docPr id="180171782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5A695" id="Rectangle 2" o:spid="_x0000_s1026" alt="&quot;&quot;" style="position:absolute;margin-left:.4pt;margin-top:12.65pt;width:17.8pt;height:1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" fillcolor="#ffcd00" stroked="f" strokeweight="1pt">
                <w10:wrap type="square"/>
              </v:rect>
            </w:pict>
          </mc:Fallback>
        </mc:AlternateContent>
      </w:r>
      <w:r w:rsidR="007D5CED" w:rsidRPr="007D5CED">
        <w:t>Key finding 3: Young people more strongly reject sexual violence than domestic violence, but there is room for improvement across all types of violence</w:t>
      </w:r>
    </w:p>
    <w:p w14:paraId="70AAE6E4" w14:textId="77777777" w:rsidR="007D5CED" w:rsidRPr="007D5CED" w:rsidRDefault="007D5CED" w:rsidP="00161A2F">
      <w:pPr>
        <w:rPr>
          <w:lang w:val="en-GB"/>
        </w:rPr>
      </w:pPr>
      <w:r w:rsidRPr="007D5CED">
        <w:rPr>
          <w:lang w:val="en-GB"/>
        </w:rPr>
        <w:t>In 2021, young respondents’ rejection of sexual violence was stronger than their rejection of domestic violence and their understanding and rejection of technology-facilitated abuse. As outlined below, some myths, misconceptions and harmful stereotypes regarding different types of violence are still evident among a minority of young Australians.</w:t>
      </w:r>
    </w:p>
    <w:p w14:paraId="6768B223" w14:textId="77777777" w:rsidR="007D5CED" w:rsidRPr="007D5CED" w:rsidRDefault="007D5CED" w:rsidP="0084332B">
      <w:pPr>
        <w:pStyle w:val="Heading5"/>
      </w:pPr>
      <w:r w:rsidRPr="007D5CED">
        <w:t>Domestic violence: A sizable minority of young</w:t>
      </w:r>
      <w:r w:rsidRPr="007D5CED">
        <w:rPr>
          <w:rFonts w:ascii="Open Sans SemiBold" w:hAnsi="Open Sans SemiBold" w:cs="Open Sans SemiBold"/>
        </w:rPr>
        <w:t xml:space="preserve"> </w:t>
      </w:r>
      <w:r w:rsidRPr="007D5CED">
        <w:t>respondents supported some problematic attitudes towards domestic violence</w:t>
      </w:r>
    </w:p>
    <w:p w14:paraId="3686C58D" w14:textId="77777777" w:rsidR="007D5CED" w:rsidRPr="007D5CED" w:rsidRDefault="007D5CED" w:rsidP="00AB0027">
      <w:pPr>
        <w:rPr>
          <w:lang w:val="en-GB"/>
        </w:rPr>
      </w:pPr>
      <w:r w:rsidRPr="007D5CED">
        <w:rPr>
          <w:lang w:val="en-GB"/>
        </w:rPr>
        <w:t>Many young respondents “strongly disagreed” with problematic attitudes towards domestic violence. However, a sizeable minority “somewhat” or “strongly” agreed with some myths or misconceptions about domestic violence, including that:</w:t>
      </w:r>
    </w:p>
    <w:p w14:paraId="6B558E15" w14:textId="77777777" w:rsidR="007D5CED" w:rsidRPr="007D5CED" w:rsidRDefault="007D5CED" w:rsidP="00AB0027">
      <w:pPr>
        <w:pStyle w:val="ListBullet"/>
        <w:rPr>
          <w:lang w:val="en-GB"/>
        </w:rPr>
      </w:pPr>
      <w:r w:rsidRPr="007D5CED">
        <w:rPr>
          <w:lang w:val="en-GB"/>
        </w:rPr>
        <w:t>women exaggerate claims of domestic violence to improve their case in custody battles (30%)</w:t>
      </w:r>
    </w:p>
    <w:p w14:paraId="4C38AFFE" w14:textId="77777777" w:rsidR="007D5CED" w:rsidRPr="007D5CED" w:rsidRDefault="007D5CED" w:rsidP="00AB0027">
      <w:pPr>
        <w:pStyle w:val="ListBullet"/>
        <w:rPr>
          <w:lang w:val="en-GB"/>
        </w:rPr>
      </w:pPr>
      <w:r w:rsidRPr="007D5CED">
        <w:rPr>
          <w:lang w:val="en-GB"/>
        </w:rPr>
        <w:t>women who stay with their abusive partners are partly responsible for the abuse continuing (26%)</w:t>
      </w:r>
    </w:p>
    <w:p w14:paraId="35C4808F" w14:textId="77777777" w:rsidR="007D5CED" w:rsidRPr="007D5CED" w:rsidRDefault="007D5CED" w:rsidP="00AB0027">
      <w:pPr>
        <w:pStyle w:val="ListBullet"/>
        <w:rPr>
          <w:lang w:val="en-GB"/>
        </w:rPr>
      </w:pPr>
      <w:r w:rsidRPr="007D5CED">
        <w:rPr>
          <w:lang w:val="en-GB"/>
        </w:rPr>
        <w:t>much domestic violence is a normal reaction to day-to-day stress (18%).</w:t>
      </w:r>
    </w:p>
    <w:p w14:paraId="4E84CD42" w14:textId="77777777" w:rsidR="007D5CED" w:rsidRPr="007D5CED" w:rsidRDefault="007D5CED" w:rsidP="00161A2F">
      <w:pPr>
        <w:rPr>
          <w:lang w:val="en-GB"/>
        </w:rPr>
      </w:pPr>
      <w:r w:rsidRPr="007D5CED">
        <w:rPr>
          <w:lang w:val="en-GB"/>
        </w:rPr>
        <w:t>One in three (34%) young respondents indicated that they would not know where to go if they needed outside support for someone experiencing domestic violence.</w:t>
      </w:r>
    </w:p>
    <w:p w14:paraId="57C3389D" w14:textId="77777777" w:rsidR="007D5CED" w:rsidRPr="007D5CED" w:rsidRDefault="007D5CED" w:rsidP="0084332B">
      <w:pPr>
        <w:pStyle w:val="Heading5"/>
      </w:pPr>
      <w:r w:rsidRPr="007D5CED">
        <w:t>Sexual assault: Young respondents demonstrated strong rejection of attitudes that excuse sexual assault but weaker rejection if the woman initially consented, and weaker rejection of attitudes that mistrust women</w:t>
      </w:r>
    </w:p>
    <w:p w14:paraId="775FBE7E" w14:textId="77777777" w:rsidR="007D5CED" w:rsidRPr="007D5CED" w:rsidRDefault="007D5CED" w:rsidP="00AB0027">
      <w:pPr>
        <w:rPr>
          <w:lang w:val="en-GB"/>
        </w:rPr>
      </w:pPr>
      <w:r w:rsidRPr="007D5CED">
        <w:rPr>
          <w:lang w:val="en-GB"/>
        </w:rPr>
        <w:t xml:space="preserve">Most young respondents (70–90%) “strongly disagreed” with all the problematic attitudes examined that justify or excuse rape. However, young respondents tended to see rape as more justifiable if the woman initiated intimacy, revealing a lack of understanding that consent is an active and ongoing communication process. </w:t>
      </w:r>
    </w:p>
    <w:p w14:paraId="2F1BD159" w14:textId="73CB1303" w:rsidR="007D5CED" w:rsidRPr="007D5CED" w:rsidRDefault="007D5CED" w:rsidP="00AB0027">
      <w:pPr>
        <w:rPr>
          <w:lang w:val="en-GB"/>
        </w:rPr>
      </w:pPr>
      <w:r w:rsidRPr="007D5CED">
        <w:rPr>
          <w:lang w:val="en-GB"/>
        </w:rPr>
        <w:t>In addition, sizeable proportions of young respondents displayed mistrust of women’s reports of sexual</w:t>
      </w:r>
      <w:r w:rsidR="00161A2F">
        <w:rPr>
          <w:lang w:val="en-GB"/>
        </w:rPr>
        <w:t> </w:t>
      </w:r>
      <w:r w:rsidRPr="007D5CED">
        <w:rPr>
          <w:lang w:val="en-GB"/>
        </w:rPr>
        <w:t>assault. For example, only about half of young respondents or fewer “strongly disagreed” that:</w:t>
      </w:r>
    </w:p>
    <w:p w14:paraId="593B1A9F" w14:textId="77777777" w:rsidR="007D5CED" w:rsidRPr="007D5CED" w:rsidRDefault="007D5CED" w:rsidP="00AB0027">
      <w:pPr>
        <w:pStyle w:val="ListBullet"/>
        <w:rPr>
          <w:lang w:val="en-GB"/>
        </w:rPr>
      </w:pPr>
      <w:r w:rsidRPr="007D5CED">
        <w:rPr>
          <w:lang w:val="en-GB"/>
        </w:rPr>
        <w:t>it is common for sexual assault accusations to be used to get back at men (36%)</w:t>
      </w:r>
    </w:p>
    <w:p w14:paraId="4B79370E" w14:textId="77777777" w:rsidR="007D5CED" w:rsidRPr="007D5CED" w:rsidRDefault="007D5CED" w:rsidP="00AB0027">
      <w:pPr>
        <w:pStyle w:val="ListBullet"/>
        <w:rPr>
          <w:lang w:val="en-GB"/>
        </w:rPr>
      </w:pPr>
      <w:r w:rsidRPr="007D5CED">
        <w:rPr>
          <w:lang w:val="en-GB"/>
        </w:rPr>
        <w:t>a lot of times, women who say they were raped had led the man on and then had regrets (47%)</w:t>
      </w:r>
    </w:p>
    <w:p w14:paraId="0441E024" w14:textId="77777777" w:rsidR="007D5CED" w:rsidRPr="007D5CED" w:rsidRDefault="007D5CED" w:rsidP="00AB0027">
      <w:pPr>
        <w:pStyle w:val="ListBullet"/>
        <w:rPr>
          <w:lang w:val="en-GB"/>
        </w:rPr>
      </w:pPr>
      <w:r w:rsidRPr="007D5CED">
        <w:rPr>
          <w:lang w:val="en-GB"/>
        </w:rPr>
        <w:t>many allegations of sexual assault made by women are false (53%).</w:t>
      </w:r>
    </w:p>
    <w:p w14:paraId="6E408690" w14:textId="77777777" w:rsidR="007D5CED" w:rsidRPr="007D5CED" w:rsidRDefault="007D5CED" w:rsidP="0084332B">
      <w:pPr>
        <w:pStyle w:val="Heading5"/>
      </w:pPr>
      <w:r w:rsidRPr="007D5CED">
        <w:t>Sexual assault: Most young respondents did not excuse rape involving alcohol or drugs, but attitudes depended on whether the perpetrator or the victim and survivor used alcohol or drugs</w:t>
      </w:r>
    </w:p>
    <w:p w14:paraId="3C773913" w14:textId="628AACCA" w:rsidR="007D5CED" w:rsidRPr="007D5CED" w:rsidRDefault="007D5CED" w:rsidP="00AB0027">
      <w:pPr>
        <w:rPr>
          <w:lang w:val="en-GB"/>
        </w:rPr>
      </w:pPr>
      <w:r w:rsidRPr="007D5CED">
        <w:rPr>
          <w:lang w:val="en-GB"/>
        </w:rPr>
        <w:t>Most young respondents (76–87%) “strongly disagreed” with attitudes that excuse perpetrators or</w:t>
      </w:r>
      <w:r w:rsidR="00607374">
        <w:rPr>
          <w:lang w:val="en-GB"/>
        </w:rPr>
        <w:t> </w:t>
      </w:r>
      <w:r w:rsidRPr="007D5CED">
        <w:rPr>
          <w:lang w:val="en-GB"/>
        </w:rPr>
        <w:t xml:space="preserve">blame victims and survivors for sexual assault where alcohol or drugs are involved. However, there were age differences depending on whether it was the perpetrator or the victim or survivor who used alcohol or drugs. Compared to respondents aged 25 years or older, young respondents were significantly </w:t>
      </w:r>
      <w:r w:rsidRPr="0073256E">
        <w:rPr>
          <w:rStyle w:val="Emphasis"/>
          <w:lang w:val="en-US"/>
        </w:rPr>
        <w:t>more likely</w:t>
      </w:r>
      <w:r w:rsidRPr="007D5CED">
        <w:rPr>
          <w:lang w:val="en-GB"/>
        </w:rPr>
        <w:t xml:space="preserve"> to </w:t>
      </w:r>
      <w:r w:rsidRPr="007D5CED">
        <w:rPr>
          <w:lang w:val="en-GB"/>
        </w:rPr>
        <w:lastRenderedPageBreak/>
        <w:t xml:space="preserve">excuse the perpetrator if he was drunk or affected by drugs but </w:t>
      </w:r>
      <w:r w:rsidRPr="0073256E">
        <w:rPr>
          <w:rStyle w:val="Emphasis"/>
          <w:lang w:val="en-US"/>
        </w:rPr>
        <w:t>less likely</w:t>
      </w:r>
      <w:r w:rsidRPr="007D5CED">
        <w:rPr>
          <w:lang w:val="en-GB"/>
        </w:rPr>
        <w:t xml:space="preserve"> to</w:t>
      </w:r>
      <w:r w:rsidR="00607374">
        <w:rPr>
          <w:lang w:val="en-GB"/>
        </w:rPr>
        <w:t> </w:t>
      </w:r>
      <w:r w:rsidRPr="007D5CED">
        <w:rPr>
          <w:lang w:val="en-GB"/>
        </w:rPr>
        <w:t xml:space="preserve">excuse the perpetrator if the victim or survivor was drunk. </w:t>
      </w:r>
    </w:p>
    <w:p w14:paraId="44D563FF" w14:textId="77777777" w:rsidR="007D5CED" w:rsidRPr="007D5CED" w:rsidRDefault="007D5CED" w:rsidP="0084332B">
      <w:pPr>
        <w:pStyle w:val="Heading5"/>
      </w:pPr>
      <w:r w:rsidRPr="007D5CED">
        <w:t>Sexual harassment: Most young respondents “strongly disagreed” with problematic attitudes regarding sexual harassment, but a concerning minority did not</w:t>
      </w:r>
    </w:p>
    <w:p w14:paraId="4969FC29" w14:textId="79A02D0A" w:rsidR="007D5CED" w:rsidRPr="007D5CED" w:rsidRDefault="007D5CED" w:rsidP="00161A2F">
      <w:pPr>
        <w:rPr>
          <w:rFonts w:cs="Open Sans"/>
          <w:color w:val="000000"/>
          <w:kern w:val="0"/>
          <w:szCs w:val="18"/>
          <w:lang w:val="en-GB"/>
        </w:rPr>
      </w:pPr>
      <w:r w:rsidRPr="007D5CED">
        <w:rPr>
          <w:lang w:val="en-GB"/>
        </w:rPr>
        <w:t>Most young respondents (65–88%) “strongly disagreed” with all the problematic attitudes regarding sexual harassment measured by the 2021 NCAS. However, a minority of young respondents “somewhat” or</w:t>
      </w:r>
      <w:r w:rsidRPr="007D5CED">
        <w:rPr>
          <w:rFonts w:cs="Open Sans"/>
          <w:color w:val="000000"/>
          <w:kern w:val="0"/>
          <w:szCs w:val="18"/>
          <w:lang w:val="en-GB"/>
        </w:rPr>
        <w:t xml:space="preserve"> “strongly” agreed with myths that sexual harassment is flattering or benign, including</w:t>
      </w:r>
      <w:r w:rsidR="00607374">
        <w:rPr>
          <w:rFonts w:cs="Open Sans"/>
          <w:color w:val="000000"/>
          <w:kern w:val="0"/>
          <w:szCs w:val="18"/>
          <w:lang w:val="en-GB"/>
        </w:rPr>
        <w:t> </w:t>
      </w:r>
      <w:r w:rsidRPr="007D5CED">
        <w:rPr>
          <w:rFonts w:cs="Open Sans"/>
          <w:color w:val="000000"/>
          <w:kern w:val="0"/>
          <w:szCs w:val="18"/>
          <w:lang w:val="en-GB"/>
        </w:rPr>
        <w:t>that:</w:t>
      </w:r>
    </w:p>
    <w:p w14:paraId="01FB9886" w14:textId="77777777" w:rsidR="007D5CED" w:rsidRPr="007D5CED" w:rsidRDefault="007D5CED" w:rsidP="00AB0027">
      <w:pPr>
        <w:pStyle w:val="ListBullet"/>
        <w:rPr>
          <w:lang w:val="en-GB"/>
        </w:rPr>
      </w:pPr>
      <w:r w:rsidRPr="007D5CED">
        <w:rPr>
          <w:lang w:val="en-GB"/>
        </w:rPr>
        <w:t>women find it flattering to be persistently pursued even if they are not interested (11%)</w:t>
      </w:r>
    </w:p>
    <w:p w14:paraId="2C17082D" w14:textId="77777777" w:rsidR="007D5CED" w:rsidRPr="007D5CED" w:rsidRDefault="007D5CED" w:rsidP="00AB0027">
      <w:pPr>
        <w:pStyle w:val="ListBullet"/>
        <w:rPr>
          <w:lang w:val="en-GB"/>
        </w:rPr>
      </w:pPr>
      <w:r w:rsidRPr="007D5CED">
        <w:rPr>
          <w:lang w:val="en-GB"/>
        </w:rPr>
        <w:t xml:space="preserve">since some women are so sexual in public, it’s understandable that some men think they can touch women without permission (7%) </w:t>
      </w:r>
    </w:p>
    <w:p w14:paraId="0AA1625F" w14:textId="77777777" w:rsidR="007D5CED" w:rsidRPr="007D5CED" w:rsidRDefault="007D5CED" w:rsidP="00AB0027">
      <w:pPr>
        <w:pStyle w:val="ListBullet"/>
        <w:rPr>
          <w:lang w:val="en-GB"/>
        </w:rPr>
      </w:pPr>
      <w:r w:rsidRPr="007D5CED">
        <w:rPr>
          <w:lang w:val="en-GB"/>
        </w:rPr>
        <w:t>women should be flattered by wolf-whistles or cat-calls in public (7%).</w:t>
      </w:r>
    </w:p>
    <w:p w14:paraId="6C478D95" w14:textId="77777777" w:rsidR="007D5CED" w:rsidRPr="007D5CED" w:rsidRDefault="007D5CED" w:rsidP="0084332B">
      <w:pPr>
        <w:pStyle w:val="Heading5"/>
      </w:pPr>
      <w:r w:rsidRPr="007D5CED">
        <w:t>Technology-facilitated abuse: Most young respondents recognised technology-facilitated abuse and rejected attitudes that condone it, but a concerning minority did not</w:t>
      </w:r>
    </w:p>
    <w:p w14:paraId="100F7A61" w14:textId="77777777" w:rsidR="007D5CED" w:rsidRPr="007D5CED" w:rsidRDefault="007D5CED" w:rsidP="00AB0027">
      <w:pPr>
        <w:rPr>
          <w:lang w:val="en-GB"/>
        </w:rPr>
      </w:pPr>
      <w:r w:rsidRPr="007D5CED">
        <w:rPr>
          <w:lang w:val="en-GB"/>
        </w:rPr>
        <w:t xml:space="preserve">Most young respondents (60–63%) recognised that different forms of technology-facilitated abuse “always” constitute a form of violence. However, a minority of young respondents did not recognise technology-facilitated abusive behaviours as forms of violence against women, including: </w:t>
      </w:r>
    </w:p>
    <w:p w14:paraId="3CD6886C" w14:textId="77777777" w:rsidR="007D5CED" w:rsidRPr="007D5CED" w:rsidRDefault="007D5CED" w:rsidP="00AB0027">
      <w:pPr>
        <w:pStyle w:val="ListBullet"/>
        <w:rPr>
          <w:lang w:val="en-GB"/>
        </w:rPr>
      </w:pPr>
      <w:r w:rsidRPr="007D5CED">
        <w:rPr>
          <w:lang w:val="en-GB"/>
        </w:rPr>
        <w:t>a man sending an unwanted picture of his genitals to a woman (10%)</w:t>
      </w:r>
    </w:p>
    <w:p w14:paraId="0D3C5F05" w14:textId="77777777" w:rsidR="007D5CED" w:rsidRPr="007D5CED" w:rsidRDefault="007D5CED" w:rsidP="00AB0027">
      <w:pPr>
        <w:pStyle w:val="ListBullet"/>
        <w:rPr>
          <w:lang w:val="en-GB"/>
        </w:rPr>
      </w:pPr>
      <w:r w:rsidRPr="007D5CED">
        <w:rPr>
          <w:lang w:val="en-GB"/>
        </w:rPr>
        <w:t>harassment via repeated emails and text messages (8%).</w:t>
      </w:r>
    </w:p>
    <w:p w14:paraId="6015F6BD" w14:textId="2E460504" w:rsidR="007D5CED" w:rsidRPr="007D5CED" w:rsidRDefault="007D5CED" w:rsidP="00607374">
      <w:pPr>
        <w:keepNext/>
        <w:keepLines/>
        <w:rPr>
          <w:lang w:val="en-GB"/>
        </w:rPr>
      </w:pPr>
      <w:r w:rsidRPr="007D5CED">
        <w:rPr>
          <w:lang w:val="en-GB"/>
        </w:rPr>
        <w:t>Regarding attitudes, most young respondents “strongly disagreed” that a woman is partly responsible if</w:t>
      </w:r>
      <w:r w:rsidR="00607374">
        <w:rPr>
          <w:lang w:val="en-GB"/>
        </w:rPr>
        <w:t> </w:t>
      </w:r>
      <w:r w:rsidRPr="007D5CED">
        <w:rPr>
          <w:lang w:val="en-GB"/>
        </w:rPr>
        <w:t>her partner shares a naked picture without her permission (70%), but a concerning minority agreed with this statement (18%). Most young respondents “strongly disagreed” that a woman is partly responsible if a man she met on a mobile dating app forces sex on her (87%).</w:t>
      </w:r>
    </w:p>
    <w:p w14:paraId="45A7AC24" w14:textId="77777777" w:rsidR="007D5CED" w:rsidRPr="007D5CED" w:rsidRDefault="007D5CED" w:rsidP="0084332B">
      <w:pPr>
        <w:pStyle w:val="Heading5"/>
      </w:pPr>
      <w:r w:rsidRPr="007D5CED">
        <w:t xml:space="preserve">Stalking: A minority of young respondents did not recognise stalking as a form of violence against women </w:t>
      </w:r>
    </w:p>
    <w:p w14:paraId="4C83C81B" w14:textId="77777777" w:rsidR="007D5CED" w:rsidRPr="007D5CED" w:rsidRDefault="007D5CED" w:rsidP="00AB0027">
      <w:pPr>
        <w:rPr>
          <w:lang w:val="en-GB"/>
        </w:rPr>
      </w:pPr>
      <w:r w:rsidRPr="007D5CED">
        <w:rPr>
          <w:lang w:val="en-GB"/>
        </w:rPr>
        <w:t>Most young respondents (63–73%) recognised technology-facilitated and in-person stalking as “always” constituting violence. However, a minority of young respondents did not recognise stalking as violence against women or domestic violence, including:</w:t>
      </w:r>
    </w:p>
    <w:p w14:paraId="76A08447" w14:textId="77777777" w:rsidR="007D5CED" w:rsidRPr="007D5CED" w:rsidRDefault="007D5CED" w:rsidP="00AB0027">
      <w:pPr>
        <w:pStyle w:val="ListBullet"/>
        <w:rPr>
          <w:lang w:val="en-GB"/>
        </w:rPr>
      </w:pPr>
      <w:r w:rsidRPr="007D5CED">
        <w:rPr>
          <w:lang w:val="en-GB"/>
        </w:rPr>
        <w:t>electronic tracking of a partner (8%)</w:t>
      </w:r>
    </w:p>
    <w:p w14:paraId="06FF9B25" w14:textId="77777777" w:rsidR="007D5CED" w:rsidRPr="007D5CED" w:rsidRDefault="007D5CED" w:rsidP="00AB0027">
      <w:pPr>
        <w:pStyle w:val="ListBullet"/>
        <w:rPr>
          <w:lang w:val="en-GB"/>
        </w:rPr>
      </w:pPr>
      <w:r w:rsidRPr="007D5CED">
        <w:rPr>
          <w:lang w:val="en-GB"/>
        </w:rPr>
        <w:t xml:space="preserve">in-person stalking by repeatedly following or watching someone at home or work (7%). </w:t>
      </w:r>
    </w:p>
    <w:p w14:paraId="16EF9DF4" w14:textId="75B22412" w:rsidR="007D5CED" w:rsidRPr="007D5CED" w:rsidRDefault="0043684C" w:rsidP="0084332B">
      <w:pPr>
        <w:pStyle w:val="Heading4indented"/>
      </w:pPr>
      <w:r>
        <w:rPr>
          <w:noProof/>
        </w:rPr>
        <mc:AlternateContent>
          <mc:Choice Requires="wps">
            <w:drawing>
              <wp:anchor distT="0" distB="0" distL="114300" distR="114300" simplePos="0" relativeHeight="251658252" behindDoc="0" locked="0" layoutInCell="1" allowOverlap="1" wp14:anchorId="57466B9E" wp14:editId="46B261DA">
                <wp:simplePos x="0" y="0"/>
                <wp:positionH relativeFrom="column">
                  <wp:posOffset>5080</wp:posOffset>
                </wp:positionH>
                <wp:positionV relativeFrom="paragraph">
                  <wp:posOffset>119380</wp:posOffset>
                </wp:positionV>
                <wp:extent cx="225870" cy="225870"/>
                <wp:effectExtent l="0" t="0" r="3175" b="3175"/>
                <wp:wrapSquare wrapText="bothSides"/>
                <wp:docPr id="210502829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8043B" id="Rectangle 2" o:spid="_x0000_s1026" alt="&quot;&quot;" style="position:absolute;margin-left:.4pt;margin-top:9.4pt;width:17.8pt;height:1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" fillcolor="#ffcd00" stroked="f" strokeweight="1pt">
                <w10:wrap type="square"/>
              </v:rect>
            </w:pict>
          </mc:Fallback>
        </mc:AlternateContent>
      </w:r>
      <w:r w:rsidR="007D5CED" w:rsidRPr="007D5CED">
        <w:t>Key finding 4: Young people’s bystander responses depend on the context</w:t>
      </w:r>
    </w:p>
    <w:p w14:paraId="018B665F" w14:textId="77777777" w:rsidR="007D5CED" w:rsidRPr="007D5CED" w:rsidRDefault="007D5CED" w:rsidP="00AB0027">
      <w:pPr>
        <w:rPr>
          <w:lang w:val="en-GB"/>
        </w:rPr>
      </w:pPr>
      <w:r w:rsidRPr="007D5CED">
        <w:rPr>
          <w:lang w:val="en-GB"/>
        </w:rPr>
        <w:t>Respondents were asked about three bystander scenarios and whether they would be bothered by the scenario, how they would react, reasons for not acting and the responses they anticipated from their peers if they did respond. The three scenarios were:</w:t>
      </w:r>
    </w:p>
    <w:p w14:paraId="5BE2FDFC" w14:textId="77777777" w:rsidR="007D5CED" w:rsidRPr="00353390" w:rsidRDefault="007D5CED" w:rsidP="00AB0027">
      <w:pPr>
        <w:pStyle w:val="ListBullet"/>
        <w:rPr>
          <w:lang w:val="en-US"/>
        </w:rPr>
      </w:pPr>
      <w:r w:rsidRPr="00353390">
        <w:rPr>
          <w:lang w:val="en-US"/>
        </w:rPr>
        <w:t>a work friend telling a sexist joke</w:t>
      </w:r>
    </w:p>
    <w:p w14:paraId="2E36A496" w14:textId="77777777" w:rsidR="007D5CED" w:rsidRPr="00353390" w:rsidRDefault="007D5CED" w:rsidP="00AB0027">
      <w:pPr>
        <w:pStyle w:val="ListBullet"/>
        <w:rPr>
          <w:lang w:val="en-US"/>
        </w:rPr>
      </w:pPr>
      <w:r w:rsidRPr="00353390">
        <w:rPr>
          <w:lang w:val="en-US"/>
        </w:rPr>
        <w:t>a boss telling a sexist joke</w:t>
      </w:r>
    </w:p>
    <w:p w14:paraId="0154CCFD" w14:textId="77777777" w:rsidR="007D5CED" w:rsidRPr="007D5CED" w:rsidRDefault="007D5CED" w:rsidP="00AB0027">
      <w:pPr>
        <w:pStyle w:val="ListBullet"/>
        <w:rPr>
          <w:lang w:val="en-GB"/>
        </w:rPr>
      </w:pPr>
      <w:r w:rsidRPr="00353390">
        <w:rPr>
          <w:lang w:val="en-US"/>
        </w:rPr>
        <w:t>a friend verbally</w:t>
      </w:r>
      <w:r w:rsidRPr="007D5CED">
        <w:rPr>
          <w:lang w:val="en-GB"/>
        </w:rPr>
        <w:t xml:space="preserve"> abusing a woman he is in a relationship with.</w:t>
      </w:r>
    </w:p>
    <w:p w14:paraId="2D48A5C2" w14:textId="77777777" w:rsidR="007D5CED" w:rsidRPr="007D5CED" w:rsidRDefault="007D5CED" w:rsidP="00161A2F">
      <w:pPr>
        <w:rPr>
          <w:lang w:val="en-GB"/>
        </w:rPr>
      </w:pPr>
      <w:r w:rsidRPr="007D5CED">
        <w:rPr>
          <w:lang w:val="en-GB"/>
        </w:rPr>
        <w:t>Most young respondents said they would be bothered by each scenario. However, young respondents’ intention to intervene varied by context, depending on:</w:t>
      </w:r>
    </w:p>
    <w:p w14:paraId="570BBE85" w14:textId="77777777" w:rsidR="007D5CED" w:rsidRPr="00353390" w:rsidRDefault="007D5CED" w:rsidP="00AB0027">
      <w:pPr>
        <w:pStyle w:val="ListBullet"/>
        <w:rPr>
          <w:lang w:val="en-US"/>
        </w:rPr>
      </w:pPr>
      <w:r w:rsidRPr="00353390">
        <w:rPr>
          <w:lang w:val="en-US"/>
        </w:rPr>
        <w:t>the type of abusive or disrespectful behaviour, with significantly more young respondents saying they would be bothered by verbal abuse (98%) than sexist jokes (78–89%)</w:t>
      </w:r>
    </w:p>
    <w:p w14:paraId="7898DEC0" w14:textId="77777777" w:rsidR="007D5CED" w:rsidRPr="00353390" w:rsidRDefault="007D5CED" w:rsidP="00AB0027">
      <w:pPr>
        <w:pStyle w:val="ListBullet"/>
        <w:rPr>
          <w:lang w:val="en-US"/>
        </w:rPr>
      </w:pPr>
      <w:r w:rsidRPr="00353390">
        <w:rPr>
          <w:lang w:val="en-US"/>
        </w:rPr>
        <w:t>the presence of a power differential between the bystander and the perpetrator, with significantly fewer young respondents saying they would show disapproval if a boss (63%) rather than a work friend (88%) told a sexist joke</w:t>
      </w:r>
    </w:p>
    <w:p w14:paraId="1BA65999" w14:textId="77777777" w:rsidR="007D5CED" w:rsidRPr="00353390" w:rsidRDefault="007D5CED" w:rsidP="00AB0027">
      <w:pPr>
        <w:pStyle w:val="ListBullet"/>
        <w:rPr>
          <w:lang w:val="en-US"/>
        </w:rPr>
      </w:pPr>
      <w:r w:rsidRPr="00353390">
        <w:rPr>
          <w:lang w:val="en-US"/>
        </w:rPr>
        <w:lastRenderedPageBreak/>
        <w:t>anticipated peer support or criticism, with most young respondents (79–89%) who reported that they would show disapproval upon witnessing disrespectful behaviour also anticipating that their friends would support them</w:t>
      </w:r>
    </w:p>
    <w:p w14:paraId="57C80125" w14:textId="77777777" w:rsidR="007D5CED" w:rsidRPr="00353390" w:rsidRDefault="007D5CED" w:rsidP="00AB0027">
      <w:pPr>
        <w:pStyle w:val="ListBullet"/>
        <w:rPr>
          <w:lang w:val="en-US"/>
        </w:rPr>
      </w:pPr>
      <w:r w:rsidRPr="00353390">
        <w:rPr>
          <w:lang w:val="en-US"/>
        </w:rPr>
        <w:t>barriers to intervention, including fear of negative consequences (65–92%) and discomfort with speaking up (74–79%)</w:t>
      </w:r>
    </w:p>
    <w:p w14:paraId="2EE0DBFB" w14:textId="77777777" w:rsidR="007D5CED" w:rsidRPr="007D5CED" w:rsidRDefault="007D5CED" w:rsidP="00AB0027">
      <w:pPr>
        <w:pStyle w:val="ListBullet"/>
        <w:rPr>
          <w:lang w:val="en-GB"/>
        </w:rPr>
      </w:pPr>
      <w:r w:rsidRPr="00353390">
        <w:rPr>
          <w:lang w:val="en-US"/>
        </w:rPr>
        <w:t>demographic factors, with young men respondents (63%) being significantly less likely than young</w:t>
      </w:r>
      <w:r w:rsidRPr="007D5CED">
        <w:rPr>
          <w:lang w:val="en-GB"/>
        </w:rPr>
        <w:t xml:space="preserve"> women respondents (90%) to report that they would be bothered by sexist jokes.</w:t>
      </w:r>
    </w:p>
    <w:p w14:paraId="03640979" w14:textId="283D0AFC" w:rsidR="007D5CED" w:rsidRPr="007D5CED" w:rsidRDefault="0043684C" w:rsidP="0084332B">
      <w:pPr>
        <w:pStyle w:val="Heading4indented"/>
      </w:pPr>
      <w:r>
        <w:rPr>
          <w:noProof/>
        </w:rPr>
        <mc:AlternateContent>
          <mc:Choice Requires="wps">
            <w:drawing>
              <wp:anchor distT="0" distB="0" distL="114300" distR="114300" simplePos="0" relativeHeight="251658253" behindDoc="0" locked="0" layoutInCell="1" allowOverlap="1" wp14:anchorId="11E5DDE8" wp14:editId="00F0717B">
                <wp:simplePos x="0" y="0"/>
                <wp:positionH relativeFrom="column">
                  <wp:posOffset>-22216</wp:posOffset>
                </wp:positionH>
                <wp:positionV relativeFrom="paragraph">
                  <wp:posOffset>157907</wp:posOffset>
                </wp:positionV>
                <wp:extent cx="225870" cy="225870"/>
                <wp:effectExtent l="0" t="0" r="3175" b="3175"/>
                <wp:wrapSquare wrapText="bothSides"/>
                <wp:docPr id="210016816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C5044" id="Rectangle 2" o:spid="_x0000_s1026" alt="&quot;&quot;" style="position:absolute;margin-left:-1.75pt;margin-top:12.45pt;width:17.8pt;height:1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" fillcolor="#ffcd00" stroked="f" strokeweight="1pt">
                <w10:wrap type="square"/>
              </v:rect>
            </w:pict>
          </mc:Fallback>
        </mc:AlternateContent>
      </w:r>
      <w:r w:rsidR="007D5CED" w:rsidRPr="007D5CED">
        <w:t>Key finding 5: Young men’s understanding and rejection of violence lags</w:t>
      </w:r>
      <w:r w:rsidR="0084332B">
        <w:t xml:space="preserve"> </w:t>
      </w:r>
      <w:r w:rsidR="007D5CED" w:rsidRPr="007D5CED">
        <w:t>behind that of</w:t>
      </w:r>
      <w:r>
        <w:t> </w:t>
      </w:r>
      <w:r w:rsidR="007D5CED" w:rsidRPr="007D5CED">
        <w:t>young women and young non-binary people</w:t>
      </w:r>
    </w:p>
    <w:p w14:paraId="2FCC1FE7" w14:textId="2A7C809B" w:rsidR="007D5CED" w:rsidRPr="007D5CED" w:rsidRDefault="007D5CED" w:rsidP="00607374">
      <w:pPr>
        <w:keepNext/>
        <w:keepLines/>
        <w:rPr>
          <w:lang w:val="en-GB"/>
        </w:rPr>
      </w:pPr>
      <w:r w:rsidRPr="007D5CED">
        <w:rPr>
          <w:lang w:val="en-GB"/>
        </w:rPr>
        <w:t>Gender differences were observed on most NCAS scales and subscales, and many items, with young men consistently lagging behind young women and young non-binary respondents. Compared to young men, young non-binary respondents had significantly higher rejection of some aspects of gender inequality and violence against women</w:t>
      </w:r>
      <w:r w:rsidR="007118BE">
        <w:rPr>
          <w:lang w:val="en-GB"/>
        </w:rPr>
        <w:t>.</w:t>
      </w:r>
      <w:r w:rsidR="007118BE">
        <w:rPr>
          <w:rStyle w:val="FootnoteReference"/>
          <w:rFonts w:cs="Open Sans"/>
          <w:color w:val="000000"/>
          <w:kern w:val="0"/>
          <w:szCs w:val="18"/>
          <w:lang w:val="en-GB"/>
        </w:rPr>
        <w:footnoteReference w:id="2"/>
      </w:r>
      <w:r w:rsidR="000B79B4">
        <w:rPr>
          <w:lang w:val="en-GB"/>
        </w:rPr>
        <w:t xml:space="preserve"> </w:t>
      </w:r>
      <w:r w:rsidRPr="007D5CED">
        <w:rPr>
          <w:lang w:val="en-GB"/>
        </w:rPr>
        <w:t xml:space="preserve">Also compared to young men, young women respondents had significantly greater: </w:t>
      </w:r>
    </w:p>
    <w:p w14:paraId="44F0BC8E" w14:textId="77777777" w:rsidR="007D5CED" w:rsidRPr="007D5CED" w:rsidRDefault="007D5CED" w:rsidP="00AB0027">
      <w:pPr>
        <w:pStyle w:val="ListBullet"/>
        <w:rPr>
          <w:lang w:val="en-GB"/>
        </w:rPr>
      </w:pPr>
      <w:r w:rsidRPr="007D5CED">
        <w:rPr>
          <w:lang w:val="en-GB"/>
        </w:rPr>
        <w:t xml:space="preserve">understanding of violence against women, including recognition of the behaviours that constitute violence against women and domestic violence (2 of 3 subscales) </w:t>
      </w:r>
    </w:p>
    <w:p w14:paraId="627E730B" w14:textId="77777777" w:rsidR="007D5CED" w:rsidRPr="007D5CED" w:rsidRDefault="007D5CED" w:rsidP="00AB0027">
      <w:pPr>
        <w:pStyle w:val="ListBullet"/>
        <w:rPr>
          <w:lang w:val="en-GB"/>
        </w:rPr>
      </w:pPr>
      <w:r w:rsidRPr="007D5CED">
        <w:rPr>
          <w:lang w:val="en-GB"/>
        </w:rPr>
        <w:t>rejection of gender inequality, including rejection of attitudes that deny inequality experiences, condone limiting women’s autonomy, normalise sexism, reinforce rigid gender roles and undermine women’s leadership (5 of 5 subscales)</w:t>
      </w:r>
    </w:p>
    <w:p w14:paraId="28105692" w14:textId="1A6D2BB9" w:rsidR="007D5CED" w:rsidRPr="007D5CED" w:rsidRDefault="007D5CED" w:rsidP="00AB0027">
      <w:pPr>
        <w:pStyle w:val="ListBullet"/>
        <w:rPr>
          <w:lang w:val="en-GB"/>
        </w:rPr>
      </w:pPr>
      <w:r w:rsidRPr="007D5CED">
        <w:rPr>
          <w:lang w:val="en-GB"/>
        </w:rPr>
        <w:t>rejection of violence against women, including rejection of attitudes that minimise violence against women, mistrust women’s reports of violence, and objectify women and disregard their consent (3</w:t>
      </w:r>
      <w:r w:rsidR="00607374">
        <w:rPr>
          <w:lang w:val="en-GB"/>
        </w:rPr>
        <w:t> </w:t>
      </w:r>
      <w:r w:rsidRPr="007D5CED">
        <w:rPr>
          <w:lang w:val="en-GB"/>
        </w:rPr>
        <w:t>of 3 subscales).</w:t>
      </w:r>
    </w:p>
    <w:p w14:paraId="15D5F642" w14:textId="49931118" w:rsidR="007D5CED" w:rsidRPr="007D5CED" w:rsidRDefault="0043684C" w:rsidP="0084332B">
      <w:pPr>
        <w:pStyle w:val="Heading4indented"/>
      </w:pPr>
      <w:r>
        <w:rPr>
          <w:noProof/>
        </w:rPr>
        <mc:AlternateContent>
          <mc:Choice Requires="wps">
            <w:drawing>
              <wp:anchor distT="0" distB="0" distL="114300" distR="114300" simplePos="0" relativeHeight="251658254" behindDoc="0" locked="0" layoutInCell="1" allowOverlap="1" wp14:anchorId="4A9B4DC3" wp14:editId="13EEC1F2">
                <wp:simplePos x="0" y="0"/>
                <wp:positionH relativeFrom="column">
                  <wp:posOffset>5124</wp:posOffset>
                </wp:positionH>
                <wp:positionV relativeFrom="paragraph">
                  <wp:posOffset>156779</wp:posOffset>
                </wp:positionV>
                <wp:extent cx="225870" cy="225870"/>
                <wp:effectExtent l="0" t="0" r="3175" b="3175"/>
                <wp:wrapSquare wrapText="bothSides"/>
                <wp:docPr id="10885561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08381" id="Rectangle 2" o:spid="_x0000_s1026" alt="&quot;&quot;" style="position:absolute;margin-left:.4pt;margin-top:12.35pt;width:17.8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" fillcolor="#ffcd00" stroked="f" strokeweight="1pt">
                <w10:wrap type="square"/>
              </v:rect>
            </w:pict>
          </mc:Fallback>
        </mc:AlternateContent>
      </w:r>
      <w:r w:rsidR="007D5CED" w:rsidRPr="007D5CED">
        <w:t xml:space="preserve">Key </w:t>
      </w:r>
      <w:r w:rsidR="007D5CED" w:rsidRPr="0084332B">
        <w:t>finding</w:t>
      </w:r>
      <w:r w:rsidR="007D5CED" w:rsidRPr="007D5CED">
        <w:t xml:space="preserve"> 6: Young people have similar attitudes to people aged 25 years or older, but weaker understanding of violence against women</w:t>
      </w:r>
    </w:p>
    <w:p w14:paraId="4C5505F0" w14:textId="691CF5AC" w:rsidR="007D5CED" w:rsidRPr="007D5CED" w:rsidRDefault="007D5CED" w:rsidP="0084332B">
      <w:pPr>
        <w:pStyle w:val="Heading5"/>
      </w:pPr>
      <w:r w:rsidRPr="007D5CED">
        <w:t>Young respondents had weaker understanding of violence against women compared to respondents aged 25</w:t>
      </w:r>
      <w:r w:rsidR="00607374">
        <w:t> </w:t>
      </w:r>
      <w:r w:rsidRPr="007D5CED">
        <w:t xml:space="preserve">years or older </w:t>
      </w:r>
    </w:p>
    <w:p w14:paraId="74D1985C" w14:textId="77777777" w:rsidR="007D5CED" w:rsidRDefault="007D5CED" w:rsidP="007E32E7">
      <w:pPr>
        <w:rPr>
          <w:lang w:val="en-GB"/>
        </w:rPr>
      </w:pPr>
      <w:r w:rsidRPr="007D5CED">
        <w:rPr>
          <w:lang w:val="en-GB"/>
        </w:rPr>
        <w:t xml:space="preserve">Compared to respondents aged 25 years or older, young respondents demonstrated weaker understanding of violence against women, including recognition of behaviours as forms of violence against women and domestic violence, and understanding of the gendered nature of violence. </w:t>
      </w:r>
    </w:p>
    <w:p w14:paraId="27CEE8E6" w14:textId="77777777" w:rsidR="007D5CED" w:rsidRPr="007D5CED" w:rsidRDefault="007D5CED" w:rsidP="0084332B">
      <w:pPr>
        <w:pStyle w:val="Heading5"/>
      </w:pPr>
      <w:r w:rsidRPr="007D5CED">
        <w:t xml:space="preserve">Young respondents had similar attitudes to respondents aged 25 years or older </w:t>
      </w:r>
    </w:p>
    <w:p w14:paraId="47C9938D" w14:textId="79001600" w:rsidR="007D5CED" w:rsidRPr="007D5CED" w:rsidRDefault="007D5CED" w:rsidP="007E32E7">
      <w:pPr>
        <w:rPr>
          <w:lang w:val="en-GB"/>
        </w:rPr>
      </w:pPr>
      <w:r w:rsidRPr="007D5CED">
        <w:rPr>
          <w:lang w:val="en-GB"/>
        </w:rPr>
        <w:t>Young respondents had similar attitudes towards gender inequality and violence against women as</w:t>
      </w:r>
      <w:r w:rsidR="00607374">
        <w:rPr>
          <w:lang w:val="en-GB"/>
        </w:rPr>
        <w:t> </w:t>
      </w:r>
      <w:r w:rsidRPr="007D5CED">
        <w:rPr>
          <w:lang w:val="en-GB"/>
        </w:rPr>
        <w:t>respondents aged 25 years or older, with only two exceptions. Compared to respondents aged 25</w:t>
      </w:r>
      <w:r w:rsidR="00607374">
        <w:rPr>
          <w:lang w:val="en-GB"/>
        </w:rPr>
        <w:t> </w:t>
      </w:r>
      <w:r w:rsidRPr="007D5CED">
        <w:rPr>
          <w:lang w:val="en-GB"/>
        </w:rPr>
        <w:t>years or older, young respondents demonstrated weaker rejection of attitudes that condone limiting women’s autonomy and attitudes that excuse or minimise violence against women.</w:t>
      </w:r>
    </w:p>
    <w:p w14:paraId="5B444AB4" w14:textId="77777777" w:rsidR="007D5CED" w:rsidRPr="007D5CED" w:rsidRDefault="007D5CED" w:rsidP="0084332B">
      <w:pPr>
        <w:pStyle w:val="Heading5"/>
      </w:pPr>
      <w:r w:rsidRPr="007D5CED">
        <w:t>Young respondents were more likely than those aged 25 years or older to say they would be bothered but would not intervene if a boss told a sexist joke</w:t>
      </w:r>
    </w:p>
    <w:p w14:paraId="65F2B2C1" w14:textId="56B592E1" w:rsidR="007D5CED" w:rsidRPr="007D5CED" w:rsidRDefault="007D5CED" w:rsidP="007E32E7">
      <w:pPr>
        <w:rPr>
          <w:lang w:val="en-GB"/>
        </w:rPr>
      </w:pPr>
      <w:r w:rsidRPr="007D5CED">
        <w:rPr>
          <w:lang w:val="en-GB"/>
        </w:rPr>
        <w:t>Regarding bystander responses, young respondents were significantly more likely than respondents aged 25 years or older to say that they would be bothered but would not intervene upon hearing a</w:t>
      </w:r>
      <w:r w:rsidR="00607374">
        <w:rPr>
          <w:lang w:val="en-GB"/>
        </w:rPr>
        <w:t> </w:t>
      </w:r>
      <w:r w:rsidRPr="007D5CED">
        <w:rPr>
          <w:lang w:val="en-GB"/>
        </w:rPr>
        <w:t>boss tell a sexist joke.</w:t>
      </w:r>
    </w:p>
    <w:p w14:paraId="2AC08E60" w14:textId="05FFC1F1" w:rsidR="007D5CED" w:rsidRPr="007D5CED" w:rsidRDefault="0084332B" w:rsidP="0084332B">
      <w:pPr>
        <w:pStyle w:val="Heading4indented"/>
      </w:pPr>
      <w:r>
        <w:rPr>
          <w:noProof/>
        </w:rPr>
        <w:lastRenderedPageBreak/>
        <mc:AlternateContent>
          <mc:Choice Requires="wps">
            <w:drawing>
              <wp:anchor distT="0" distB="0" distL="114300" distR="114300" simplePos="0" relativeHeight="251658271" behindDoc="0" locked="0" layoutInCell="1" allowOverlap="1" wp14:anchorId="64B13D6C" wp14:editId="13342346">
                <wp:simplePos x="0" y="0"/>
                <wp:positionH relativeFrom="column">
                  <wp:posOffset>-87464</wp:posOffset>
                </wp:positionH>
                <wp:positionV relativeFrom="paragraph">
                  <wp:posOffset>34262</wp:posOffset>
                </wp:positionV>
                <wp:extent cx="225870" cy="225870"/>
                <wp:effectExtent l="0" t="0" r="3175" b="3175"/>
                <wp:wrapSquare wrapText="bothSides"/>
                <wp:docPr id="27258411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870" cy="225870"/>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5075D" id="Rectangle 2" o:spid="_x0000_s1026" alt="&quot;&quot;" style="position:absolute;margin-left:-6.9pt;margin-top:2.7pt;width:17.8pt;height:17.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" fillcolor="#ffcd00" stroked="f" strokeweight="1pt">
                <w10:wrap type="square"/>
              </v:rect>
            </w:pict>
          </mc:Fallback>
        </mc:AlternateContent>
      </w:r>
      <w:r w:rsidR="007D5CED" w:rsidRPr="007D5CED">
        <w:t>Key finding 7: Within the cohort of young people, 16- to 17-year-olds and 18- to 24-year-olds have similar understanding of violence against women and attitudes towards gender inequality, but rejection of violence against women strengthens with age</w:t>
      </w:r>
    </w:p>
    <w:p w14:paraId="3822C0CF" w14:textId="77777777" w:rsidR="007D5CED" w:rsidRPr="007D5CED" w:rsidRDefault="007D5CED" w:rsidP="0084332B">
      <w:pPr>
        <w:pStyle w:val="Heading5"/>
      </w:pPr>
      <w:r w:rsidRPr="007D5CED">
        <w:t>Young respondents aged 16 to 17 years and 18 to 24 years had similar understanding of violence against women and attitudes towards gender inequality</w:t>
      </w:r>
    </w:p>
    <w:p w14:paraId="284B8710" w14:textId="6A30BA90" w:rsidR="007D5CED" w:rsidRPr="007D5CED" w:rsidRDefault="007D5CED" w:rsidP="007E32E7">
      <w:pPr>
        <w:rPr>
          <w:lang w:val="en-GB"/>
        </w:rPr>
      </w:pPr>
      <w:r w:rsidRPr="007D5CED">
        <w:rPr>
          <w:lang w:val="en-GB"/>
        </w:rPr>
        <w:t>The two youth age groups had similar levels of understanding of violence against women and attitudes</w:t>
      </w:r>
      <w:r w:rsidR="00607374" w:rsidRPr="00EA1044">
        <w:rPr>
          <w:lang w:val="en-AU"/>
        </w:rPr>
        <w:t> </w:t>
      </w:r>
      <w:r w:rsidRPr="007D5CED">
        <w:rPr>
          <w:lang w:val="en-GB"/>
        </w:rPr>
        <w:t xml:space="preserve">towards gender inequality, with two exceptions. Compared to 16- to 17-year-olds, 18- to 24-year-olds were significantly more likely to: </w:t>
      </w:r>
    </w:p>
    <w:p w14:paraId="74893DB0" w14:textId="77777777" w:rsidR="007D5CED" w:rsidRPr="007D5CED" w:rsidRDefault="007D5CED" w:rsidP="007E32E7">
      <w:pPr>
        <w:pStyle w:val="ListBullet"/>
        <w:rPr>
          <w:lang w:val="en-GB"/>
        </w:rPr>
      </w:pPr>
      <w:r w:rsidRPr="007D5CED">
        <w:rPr>
          <w:lang w:val="en-GB"/>
        </w:rPr>
        <w:t>correctly identify a range of abusive behaviours as domestic violence</w:t>
      </w:r>
    </w:p>
    <w:p w14:paraId="501070B6" w14:textId="77777777" w:rsidR="007D5CED" w:rsidRPr="007D5CED" w:rsidRDefault="007D5CED" w:rsidP="007E32E7">
      <w:pPr>
        <w:pStyle w:val="ListBullet"/>
        <w:rPr>
          <w:lang w:val="en-GB"/>
        </w:rPr>
      </w:pPr>
      <w:r w:rsidRPr="007D5CED">
        <w:rPr>
          <w:lang w:val="en-GB"/>
        </w:rPr>
        <w:t>strongly reject attitudes that condone limiting women’s autonomy.</w:t>
      </w:r>
    </w:p>
    <w:p w14:paraId="21C0E5FD" w14:textId="24312498" w:rsidR="007D5CED" w:rsidRPr="007D5CED" w:rsidRDefault="007D5CED" w:rsidP="0084332B">
      <w:pPr>
        <w:pStyle w:val="Heading5"/>
      </w:pPr>
      <w:r w:rsidRPr="007D5CED">
        <w:t>Young respondents aged 18 to 24 years had stronger rejection of violence against women compared to</w:t>
      </w:r>
      <w:r w:rsidR="00607374">
        <w:t> </w:t>
      </w:r>
      <w:r w:rsidRPr="007D5CED">
        <w:t>16-</w:t>
      </w:r>
      <w:r w:rsidR="00607374">
        <w:t> </w:t>
      </w:r>
      <w:r w:rsidRPr="007D5CED">
        <w:t>to</w:t>
      </w:r>
      <w:r w:rsidR="00607374">
        <w:t> </w:t>
      </w:r>
      <w:r w:rsidRPr="007D5CED">
        <w:t>17-year-olds</w:t>
      </w:r>
    </w:p>
    <w:p w14:paraId="0043D5A8" w14:textId="116760B3" w:rsidR="007D5CED" w:rsidRPr="007D5CED" w:rsidRDefault="007D5CED" w:rsidP="007E32E7">
      <w:pPr>
        <w:rPr>
          <w:lang w:val="en-GB"/>
        </w:rPr>
      </w:pPr>
      <w:r w:rsidRPr="007D5CED">
        <w:rPr>
          <w:lang w:val="en-GB"/>
        </w:rPr>
        <w:t>Rejection of violence against women strengthened with age. Compared to 16- to 17-year-olds, 18-</w:t>
      </w:r>
      <w:r w:rsidR="00607374">
        <w:rPr>
          <w:lang w:val="en-GB"/>
        </w:rPr>
        <w:t> </w:t>
      </w:r>
      <w:r w:rsidRPr="007D5CED">
        <w:rPr>
          <w:lang w:val="en-GB"/>
        </w:rPr>
        <w:t>to</w:t>
      </w:r>
      <w:r w:rsidR="00607374">
        <w:rPr>
          <w:lang w:val="en-GB"/>
        </w:rPr>
        <w:t> </w:t>
      </w:r>
      <w:r w:rsidRPr="007D5CED">
        <w:rPr>
          <w:lang w:val="en-GB"/>
        </w:rPr>
        <w:t>24-year-olds demonstrated significantly stronger rejection of:</w:t>
      </w:r>
    </w:p>
    <w:p w14:paraId="45685118" w14:textId="722537A3" w:rsidR="007D5CED" w:rsidRPr="007D5CED" w:rsidRDefault="007D5CED" w:rsidP="007E32E7">
      <w:pPr>
        <w:pStyle w:val="ListBullet"/>
        <w:rPr>
          <w:lang w:val="en-GB"/>
        </w:rPr>
      </w:pPr>
      <w:r w:rsidRPr="007D5CED">
        <w:rPr>
          <w:lang w:val="en-GB"/>
        </w:rPr>
        <w:t>violence against women, including attitudes that excuse and minimise violence and mistrust and</w:t>
      </w:r>
      <w:r w:rsidR="00607374">
        <w:rPr>
          <w:lang w:val="en-GB"/>
        </w:rPr>
        <w:t> </w:t>
      </w:r>
      <w:r w:rsidRPr="007D5CED">
        <w:rPr>
          <w:lang w:val="en-GB"/>
        </w:rPr>
        <w:t>objectify women</w:t>
      </w:r>
    </w:p>
    <w:p w14:paraId="4DFBCF00" w14:textId="77777777" w:rsidR="007D5CED" w:rsidRPr="007D5CED" w:rsidRDefault="007D5CED" w:rsidP="007E32E7">
      <w:pPr>
        <w:pStyle w:val="ListBullet"/>
        <w:rPr>
          <w:lang w:val="en-GB"/>
        </w:rPr>
      </w:pPr>
      <w:r w:rsidRPr="007D5CED">
        <w:rPr>
          <w:lang w:val="en-GB"/>
        </w:rPr>
        <w:t>attitudes that condone domestic violence</w:t>
      </w:r>
    </w:p>
    <w:p w14:paraId="50410D96" w14:textId="77777777" w:rsidR="007D5CED" w:rsidRPr="007D5CED" w:rsidRDefault="007D5CED" w:rsidP="007E32E7">
      <w:pPr>
        <w:pStyle w:val="ListBullet"/>
        <w:rPr>
          <w:lang w:val="en-GB"/>
        </w:rPr>
      </w:pPr>
      <w:r w:rsidRPr="007D5CED">
        <w:rPr>
          <w:lang w:val="en-GB"/>
        </w:rPr>
        <w:t>attitudes that condone sexual violence, including sexual harassment and sexual assault.</w:t>
      </w:r>
    </w:p>
    <w:p w14:paraId="6AB3247B" w14:textId="25387F55" w:rsidR="007D5CED" w:rsidRDefault="007D5CED" w:rsidP="007E32E7">
      <w:pPr>
        <w:rPr>
          <w:lang w:val="en-GB"/>
        </w:rPr>
      </w:pPr>
      <w:r w:rsidRPr="007D5CED">
        <w:rPr>
          <w:lang w:val="en-GB"/>
        </w:rPr>
        <w:t>In addition, compared to 16- to 17-year</w:t>
      </w:r>
      <w:r w:rsidR="00D37C7D">
        <w:rPr>
          <w:lang w:val="en-GB"/>
        </w:rPr>
        <w:t>-</w:t>
      </w:r>
      <w:r w:rsidRPr="007D5CED">
        <w:rPr>
          <w:lang w:val="en-GB"/>
        </w:rPr>
        <w:t>olds, 18- to 24-year-olds had stronger rejection and stronger</w:t>
      </w:r>
      <w:r w:rsidR="00607374">
        <w:rPr>
          <w:lang w:val="en-GB"/>
        </w:rPr>
        <w:t> </w:t>
      </w:r>
      <w:r w:rsidRPr="007D5CED">
        <w:rPr>
          <w:lang w:val="en-GB"/>
        </w:rPr>
        <w:t xml:space="preserve">understanding of technology-facilitated abuse. </w:t>
      </w:r>
    </w:p>
    <w:p w14:paraId="758B7F96" w14:textId="77777777" w:rsidR="007D5CED" w:rsidRPr="007D5CED" w:rsidRDefault="007D5CED" w:rsidP="00DC3FE8">
      <w:pPr>
        <w:pStyle w:val="Heading3"/>
      </w:pPr>
      <w:bookmarkStart w:id="35" w:name="_Toc152532370"/>
      <w:bookmarkStart w:id="36" w:name="_Toc190941656"/>
      <w:bookmarkStart w:id="37" w:name="_Toc190942356"/>
      <w:r w:rsidRPr="007D5CED">
        <w:t>Implications</w:t>
      </w:r>
      <w:bookmarkEnd w:id="35"/>
      <w:bookmarkEnd w:id="36"/>
      <w:bookmarkEnd w:id="37"/>
    </w:p>
    <w:p w14:paraId="03AA95D5" w14:textId="385C0634" w:rsidR="007D5CED" w:rsidRPr="007D5CED" w:rsidRDefault="007D5CED" w:rsidP="007E32E7">
      <w:pPr>
        <w:rPr>
          <w:lang w:val="en-GB"/>
        </w:rPr>
      </w:pPr>
      <w:r w:rsidRPr="007D5CED">
        <w:rPr>
          <w:lang w:val="en-GB"/>
        </w:rPr>
        <w:t>The NCAS findings indicate that careful consideration needs to be given to the timing, setting and focus of effective violence prevention strategies with young people. As attitudes towards relationships, equality and violence begin developing early and continue to mature in adolescence and young adulthood, prevention initiatives with young people should begin in early childhood and continue throughout school and post-school contexts. Given the broad context of influence on young people’s attitudes (e.g. peers, families, schools, institutions, communities, online environments), multi-setting and whole-of-school and community approaches are needed to foster cultural change. For example, school-based programs should adopt a whole-of-school approach that brings together young people’s main agents of socialisation, including peers, parents and teachers, and supports key stakeholders in</w:t>
      </w:r>
      <w:r w:rsidR="00607374">
        <w:rPr>
          <w:lang w:val="en-GB"/>
        </w:rPr>
        <w:t> </w:t>
      </w:r>
      <w:r w:rsidRPr="007D5CED">
        <w:rPr>
          <w:lang w:val="en-GB"/>
        </w:rPr>
        <w:t>the delivery of effective programs.</w:t>
      </w:r>
    </w:p>
    <w:p w14:paraId="4242B511" w14:textId="2B928E69" w:rsidR="007D5CED" w:rsidRPr="007D5CED" w:rsidRDefault="007D5CED" w:rsidP="007E32E7">
      <w:pPr>
        <w:rPr>
          <w:lang w:val="en-GB"/>
        </w:rPr>
      </w:pPr>
      <w:r w:rsidRPr="007D5CED">
        <w:rPr>
          <w:lang w:val="en-GB"/>
        </w:rPr>
        <w:t>The 2021 NCAS findings also highlight specific areas where prevention effort is needed to address gaps in young people’s understanding and challenge persisting harmful attitudes towards gender inequality and violence against women. For example, key areas for prevention focus include improving young people’s identification of technology-facilitated abuse and how to navigate consent in situations involving alcohol and drugs, as well as increasing young people’s awareness of the gendered drivers of</w:t>
      </w:r>
      <w:r w:rsidR="00607374" w:rsidRPr="00EA1044">
        <w:rPr>
          <w:lang w:val="en-AU"/>
        </w:rPr>
        <w:t> </w:t>
      </w:r>
      <w:r w:rsidRPr="007D5CED">
        <w:rPr>
          <w:lang w:val="en-GB"/>
        </w:rPr>
        <w:t>violence against women.</w:t>
      </w:r>
    </w:p>
    <w:p w14:paraId="142918DB" w14:textId="77777777" w:rsidR="007D5CED" w:rsidRPr="007D5CED" w:rsidRDefault="007D5CED" w:rsidP="007E32E7">
      <w:pPr>
        <w:rPr>
          <w:lang w:val="en-GB"/>
        </w:rPr>
      </w:pPr>
      <w:r w:rsidRPr="007D5CED">
        <w:rPr>
          <w:lang w:val="en-GB"/>
        </w:rPr>
        <w:t xml:space="preserve">The following implications arise from the NCAS results that are unique for young people. These implications </w:t>
      </w:r>
      <w:r w:rsidRPr="007D5CED">
        <w:rPr>
          <w:rStyle w:val="Strong"/>
          <w:lang w:val="en-GB"/>
        </w:rPr>
        <w:t>supplement</w:t>
      </w:r>
      <w:r w:rsidRPr="007D5CED">
        <w:rPr>
          <w:lang w:val="en-GB"/>
        </w:rPr>
        <w:t xml:space="preserve"> the implications in the Main report that apply to Australians of all ages, including young people.</w:t>
      </w:r>
    </w:p>
    <w:p w14:paraId="07AB4E92" w14:textId="77777777" w:rsidR="007D5CED" w:rsidRPr="007D5CED" w:rsidRDefault="007D5CED" w:rsidP="007E32E7">
      <w:pPr>
        <w:rPr>
          <w:lang w:val="en-GB"/>
        </w:rPr>
      </w:pPr>
      <w:r w:rsidRPr="007D5CED">
        <w:rPr>
          <w:lang w:val="en-GB"/>
        </w:rPr>
        <w:t>As detailed in Chapter 10, the implications of the unique NCAS results for young people are as follows:</w:t>
      </w:r>
    </w:p>
    <w:p w14:paraId="51F1F5AE" w14:textId="0B6F6D2F" w:rsidR="007D5CED" w:rsidRPr="007D5CED" w:rsidRDefault="007D5CED" w:rsidP="00D31A1A">
      <w:pPr>
        <w:pStyle w:val="ListBullet"/>
        <w:rPr>
          <w:rFonts w:cs="Open Sans"/>
          <w:color w:val="000000"/>
          <w:kern w:val="0"/>
          <w:szCs w:val="18"/>
          <w:lang w:val="en-GB"/>
        </w:rPr>
      </w:pPr>
      <w:r w:rsidRPr="007D5CED">
        <w:rPr>
          <w:rStyle w:val="Strong"/>
          <w:lang w:val="en-US"/>
        </w:rPr>
        <w:t>Begin violence prevention early because understanding and attitudes develop early</w:t>
      </w:r>
      <w:r w:rsidRPr="007D5CED">
        <w:rPr>
          <w:rFonts w:cs="Open Sans"/>
          <w:color w:val="000000"/>
          <w:kern w:val="0"/>
          <w:szCs w:val="18"/>
          <w:lang w:val="en-GB"/>
        </w:rPr>
        <w:t xml:space="preserve"> </w:t>
      </w:r>
      <w:r w:rsidRPr="00EA1044">
        <w:rPr>
          <w:lang w:val="en-AU"/>
        </w:rPr>
        <w:t>(Section</w:t>
      </w:r>
      <w:r w:rsidR="00607374" w:rsidRPr="00EA1044">
        <w:rPr>
          <w:lang w:val="en-AU"/>
        </w:rPr>
        <w:t> </w:t>
      </w:r>
      <w:r w:rsidRPr="00EA1044">
        <w:rPr>
          <w:lang w:val="en-AU"/>
        </w:rPr>
        <w:t xml:space="preserve">10.1). </w:t>
      </w:r>
    </w:p>
    <w:p w14:paraId="4A6AE85B" w14:textId="77777777" w:rsidR="007D5CED" w:rsidRPr="007D5CED" w:rsidRDefault="007D5CED" w:rsidP="00D31A1A">
      <w:pPr>
        <w:pStyle w:val="ListBullet"/>
        <w:rPr>
          <w:rFonts w:cs="Open Sans"/>
          <w:color w:val="000000"/>
          <w:kern w:val="0"/>
          <w:szCs w:val="18"/>
          <w:lang w:val="en-GB"/>
        </w:rPr>
      </w:pPr>
      <w:r w:rsidRPr="007D5CED">
        <w:rPr>
          <w:rStyle w:val="Strong"/>
          <w:lang w:val="en-US"/>
        </w:rPr>
        <w:t>Continue prevention efforts throughout the formative years in an age-appropriate way</w:t>
      </w:r>
      <w:r w:rsidRPr="007D5CED">
        <w:rPr>
          <w:rFonts w:cs="Open Sans"/>
          <w:color w:val="000000"/>
          <w:kern w:val="0"/>
          <w:szCs w:val="18"/>
          <w:lang w:val="en-GB"/>
        </w:rPr>
        <w:t xml:space="preserve"> </w:t>
      </w:r>
      <w:r w:rsidRPr="00EA1044">
        <w:rPr>
          <w:lang w:val="en-AU"/>
        </w:rPr>
        <w:t>(Section 10.1).</w:t>
      </w:r>
    </w:p>
    <w:p w14:paraId="0260C43A" w14:textId="03D7D0B1" w:rsidR="007D5CED" w:rsidRPr="007D5CED" w:rsidRDefault="007D5CED" w:rsidP="00D31A1A">
      <w:pPr>
        <w:pStyle w:val="ListBullet"/>
        <w:rPr>
          <w:rFonts w:cs="Open Sans"/>
          <w:color w:val="000000"/>
          <w:kern w:val="0"/>
          <w:szCs w:val="18"/>
          <w:lang w:val="en-GB"/>
        </w:rPr>
      </w:pPr>
      <w:r w:rsidRPr="007D5CED">
        <w:rPr>
          <w:rStyle w:val="Strong"/>
          <w:lang w:val="en-US"/>
        </w:rPr>
        <w:t>Work across genders and particularly with boys and men to address gender differences</w:t>
      </w:r>
      <w:r w:rsidRPr="007D5CED">
        <w:rPr>
          <w:rFonts w:cs="Open Sans"/>
          <w:color w:val="000000"/>
          <w:kern w:val="0"/>
          <w:szCs w:val="18"/>
          <w:lang w:val="en-GB"/>
        </w:rPr>
        <w:t xml:space="preserve"> </w:t>
      </w:r>
      <w:r w:rsidRPr="00EA1044">
        <w:rPr>
          <w:lang w:val="en-AU"/>
        </w:rPr>
        <w:t>(Section 10.1).</w:t>
      </w:r>
    </w:p>
    <w:p w14:paraId="55549E64" w14:textId="77777777" w:rsidR="007D5CED" w:rsidRPr="007D5CED" w:rsidRDefault="007D5CED" w:rsidP="00D31A1A">
      <w:pPr>
        <w:pStyle w:val="ListBullet"/>
        <w:rPr>
          <w:rFonts w:cs="Open Sans"/>
          <w:color w:val="000000"/>
          <w:kern w:val="0"/>
          <w:szCs w:val="18"/>
          <w:lang w:val="en-GB"/>
        </w:rPr>
      </w:pPr>
      <w:r w:rsidRPr="007D5CED">
        <w:rPr>
          <w:rStyle w:val="Strong"/>
          <w:lang w:val="en-US"/>
        </w:rPr>
        <w:lastRenderedPageBreak/>
        <w:t>Investigate drivers of continued improvement in young people’s rejection of violence against women</w:t>
      </w:r>
      <w:r w:rsidRPr="007D5CED">
        <w:rPr>
          <w:rFonts w:cs="Open Sans"/>
          <w:color w:val="000000"/>
          <w:kern w:val="0"/>
          <w:szCs w:val="18"/>
          <w:lang w:val="en-GB"/>
        </w:rPr>
        <w:t xml:space="preserve"> (Section 10.2).</w:t>
      </w:r>
    </w:p>
    <w:p w14:paraId="2A4D3A73" w14:textId="77777777" w:rsidR="007D5CED" w:rsidRPr="007D5CED" w:rsidRDefault="007D5CED" w:rsidP="00D31A1A">
      <w:pPr>
        <w:pStyle w:val="ListBullet"/>
        <w:rPr>
          <w:rFonts w:cs="Open Sans"/>
          <w:color w:val="000000"/>
          <w:kern w:val="0"/>
          <w:szCs w:val="18"/>
          <w:lang w:val="en-GB"/>
        </w:rPr>
      </w:pPr>
      <w:r w:rsidRPr="007D5CED">
        <w:rPr>
          <w:rStyle w:val="Strong"/>
          <w:lang w:val="en-US"/>
        </w:rPr>
        <w:t>Investigate and support young people’s recognition that violence is a problem in their local area</w:t>
      </w:r>
      <w:r w:rsidRPr="007D5CED">
        <w:rPr>
          <w:rFonts w:cs="Open Sans"/>
          <w:color w:val="000000"/>
          <w:kern w:val="0"/>
          <w:szCs w:val="18"/>
          <w:lang w:val="en-GB"/>
        </w:rPr>
        <w:t xml:space="preserve"> </w:t>
      </w:r>
      <w:r w:rsidRPr="00EA1044">
        <w:rPr>
          <w:lang w:val="en-AU"/>
        </w:rPr>
        <w:t>(Section 10.2).</w:t>
      </w:r>
    </w:p>
    <w:p w14:paraId="6FC80945" w14:textId="6EDC8063" w:rsidR="007D5CED" w:rsidRPr="007D5CED" w:rsidRDefault="007D5CED" w:rsidP="00D31A1A">
      <w:pPr>
        <w:pStyle w:val="ListBullet"/>
        <w:rPr>
          <w:rFonts w:cs="Open Sans"/>
          <w:color w:val="000000"/>
          <w:kern w:val="0"/>
          <w:szCs w:val="18"/>
          <w:lang w:val="en-GB"/>
        </w:rPr>
      </w:pPr>
      <w:r w:rsidRPr="007D5CED">
        <w:rPr>
          <w:rStyle w:val="Strong"/>
          <w:lang w:val="en-US"/>
        </w:rPr>
        <w:t>Challenge gender-ignoring biases by highlighting pervasive gendered differences in</w:t>
      </w:r>
      <w:r w:rsidR="00607374" w:rsidRPr="00EA1044">
        <w:rPr>
          <w:lang w:val="en-AU"/>
        </w:rPr>
        <w:t> </w:t>
      </w:r>
      <w:r w:rsidRPr="007D5CED">
        <w:rPr>
          <w:rStyle w:val="Strong"/>
          <w:lang w:val="en-US"/>
        </w:rPr>
        <w:t>structures and systems</w:t>
      </w:r>
      <w:r w:rsidRPr="007D5CED">
        <w:rPr>
          <w:rFonts w:cs="Open Sans"/>
          <w:color w:val="000000"/>
          <w:kern w:val="0"/>
          <w:szCs w:val="18"/>
          <w:lang w:val="en-GB"/>
        </w:rPr>
        <w:t xml:space="preserve"> </w:t>
      </w:r>
      <w:r w:rsidRPr="00EA1044">
        <w:rPr>
          <w:lang w:val="en-AU"/>
        </w:rPr>
        <w:t>(Section 10.3).</w:t>
      </w:r>
    </w:p>
    <w:p w14:paraId="68187E72" w14:textId="480021F8" w:rsidR="007D5CED" w:rsidRPr="007D5CED" w:rsidRDefault="007D5CED" w:rsidP="00D31A1A">
      <w:pPr>
        <w:pStyle w:val="ListBullet"/>
        <w:rPr>
          <w:lang w:val="en-GB"/>
        </w:rPr>
      </w:pPr>
      <w:r w:rsidRPr="007D5CED">
        <w:rPr>
          <w:rStyle w:val="Strong"/>
          <w:lang w:val="en-US"/>
        </w:rPr>
        <w:t>Reframe “care and concern” to support young people to recognise abusive behaviour</w:t>
      </w:r>
      <w:r w:rsidRPr="007D5CED">
        <w:rPr>
          <w:lang w:val="en-GB"/>
        </w:rPr>
        <w:t xml:space="preserve"> (Section</w:t>
      </w:r>
      <w:r w:rsidR="00607374">
        <w:rPr>
          <w:lang w:val="en-GB"/>
        </w:rPr>
        <w:t> </w:t>
      </w:r>
      <w:r w:rsidRPr="007D5CED">
        <w:rPr>
          <w:lang w:val="en-GB"/>
        </w:rPr>
        <w:t>10.3). Highlight what respectful relationships look like (in person and online) and how problematic or</w:t>
      </w:r>
      <w:r w:rsidR="00607374">
        <w:rPr>
          <w:lang w:val="en-GB"/>
        </w:rPr>
        <w:t> </w:t>
      </w:r>
      <w:r w:rsidRPr="007D5CED">
        <w:rPr>
          <w:lang w:val="en-GB"/>
        </w:rPr>
        <w:t>abusive behaviours are not acceptable even if ostensibly motivated by care and</w:t>
      </w:r>
      <w:r w:rsidR="00C2563D">
        <w:rPr>
          <w:lang w:val="en-GB"/>
        </w:rPr>
        <w:t> </w:t>
      </w:r>
      <w:r w:rsidRPr="007D5CED">
        <w:rPr>
          <w:lang w:val="en-GB"/>
        </w:rPr>
        <w:t>concern.</w:t>
      </w:r>
    </w:p>
    <w:p w14:paraId="0EB7C84A" w14:textId="77777777" w:rsidR="007D5CED" w:rsidRPr="007D5CED" w:rsidRDefault="007D5CED" w:rsidP="00D31A1A">
      <w:pPr>
        <w:pStyle w:val="ListBullet"/>
        <w:rPr>
          <w:rFonts w:cs="Open Sans"/>
          <w:color w:val="000000"/>
          <w:kern w:val="0"/>
          <w:szCs w:val="18"/>
          <w:lang w:val="en-GB"/>
        </w:rPr>
      </w:pPr>
      <w:r w:rsidRPr="007D5CED">
        <w:rPr>
          <w:rStyle w:val="Strong"/>
          <w:lang w:val="en-US"/>
        </w:rPr>
        <w:t>Adopt gender-transformative approaches to break down rigid gender norms among young people</w:t>
      </w:r>
      <w:r w:rsidRPr="007D5CED">
        <w:rPr>
          <w:rFonts w:cs="Open Sans"/>
          <w:color w:val="000000"/>
          <w:kern w:val="0"/>
          <w:szCs w:val="18"/>
          <w:lang w:val="en-GB"/>
        </w:rPr>
        <w:t xml:space="preserve"> </w:t>
      </w:r>
      <w:r w:rsidRPr="00EA1044">
        <w:rPr>
          <w:lang w:val="en-AU"/>
        </w:rPr>
        <w:t>(Section 10.4).</w:t>
      </w:r>
    </w:p>
    <w:p w14:paraId="3B8B6F70" w14:textId="77777777" w:rsidR="007D5CED" w:rsidRPr="007D5CED" w:rsidRDefault="007D5CED" w:rsidP="00D31A1A">
      <w:pPr>
        <w:pStyle w:val="ListBullet"/>
        <w:rPr>
          <w:rFonts w:cs="Open Sans"/>
          <w:color w:val="000000"/>
          <w:kern w:val="0"/>
          <w:szCs w:val="18"/>
          <w:lang w:val="en-GB"/>
        </w:rPr>
      </w:pPr>
      <w:r w:rsidRPr="007D5CED">
        <w:rPr>
          <w:rStyle w:val="Strong"/>
          <w:lang w:val="en-US"/>
        </w:rPr>
        <w:t>Challenge young people’s acceptance of male power in intimate relationships and dating scripts</w:t>
      </w:r>
      <w:r w:rsidRPr="007D5CED">
        <w:rPr>
          <w:rFonts w:cs="Open Sans"/>
          <w:color w:val="000000"/>
          <w:kern w:val="0"/>
          <w:szCs w:val="18"/>
          <w:lang w:val="en-GB"/>
        </w:rPr>
        <w:t xml:space="preserve"> </w:t>
      </w:r>
      <w:r w:rsidRPr="00EA1044">
        <w:rPr>
          <w:lang w:val="en-AU"/>
        </w:rPr>
        <w:t>(Section 10.4).</w:t>
      </w:r>
    </w:p>
    <w:p w14:paraId="6F3EEA23" w14:textId="77777777" w:rsidR="007D5CED" w:rsidRPr="007D5CED" w:rsidRDefault="007D5CED" w:rsidP="00D31A1A">
      <w:pPr>
        <w:pStyle w:val="ListBullet"/>
        <w:rPr>
          <w:lang w:val="en-GB"/>
        </w:rPr>
      </w:pPr>
      <w:r w:rsidRPr="007D5CED">
        <w:rPr>
          <w:rStyle w:val="Strong"/>
          <w:lang w:val="en-US"/>
        </w:rPr>
        <w:t>Strengthen co-design with young people and victims and survivors</w:t>
      </w:r>
      <w:r w:rsidRPr="007D5CED">
        <w:rPr>
          <w:lang w:val="en-GB"/>
        </w:rPr>
        <w:t xml:space="preserve"> (Section 10.5). Policymakers and practitioners could consider working directly with young people, including young victims and survivors, to co-design prevention initiatives.</w:t>
      </w:r>
    </w:p>
    <w:p w14:paraId="5BA9215F" w14:textId="77777777" w:rsidR="007D5CED" w:rsidRPr="007D5CED" w:rsidRDefault="007D5CED" w:rsidP="00D31A1A">
      <w:pPr>
        <w:pStyle w:val="ListBullet"/>
        <w:rPr>
          <w:lang w:val="en-GB"/>
        </w:rPr>
      </w:pPr>
      <w:r w:rsidRPr="007D5CED">
        <w:rPr>
          <w:rStyle w:val="Strong"/>
          <w:lang w:val="en-US"/>
        </w:rPr>
        <w:t>Conduct research with perpetrators and develop early intervention</w:t>
      </w:r>
      <w:r w:rsidRPr="007D5CED">
        <w:rPr>
          <w:lang w:val="en-GB"/>
        </w:rPr>
        <w:t xml:space="preserve"> (Section 10.5).</w:t>
      </w:r>
    </w:p>
    <w:p w14:paraId="02721FA5" w14:textId="77777777" w:rsidR="007D5CED" w:rsidRPr="007D5CED" w:rsidRDefault="007D5CED" w:rsidP="00D31A1A">
      <w:pPr>
        <w:pStyle w:val="ListBullet"/>
        <w:rPr>
          <w:lang w:val="en-GB"/>
        </w:rPr>
      </w:pPr>
      <w:r w:rsidRPr="007D5CED">
        <w:rPr>
          <w:rStyle w:val="Strong"/>
          <w:lang w:val="en-US"/>
        </w:rPr>
        <w:t>Learn from the finding that most young people know where to seek help for domestic violence</w:t>
      </w:r>
      <w:r w:rsidRPr="007D5CED">
        <w:rPr>
          <w:lang w:val="en-GB"/>
        </w:rPr>
        <w:t xml:space="preserve"> (Section 10.6).</w:t>
      </w:r>
    </w:p>
    <w:p w14:paraId="6F34A028" w14:textId="77777777" w:rsidR="007D5CED" w:rsidRPr="007D5CED" w:rsidRDefault="007D5CED" w:rsidP="00D31A1A">
      <w:pPr>
        <w:pStyle w:val="ListBullet"/>
        <w:rPr>
          <w:lang w:val="en-GB"/>
        </w:rPr>
      </w:pPr>
      <w:r w:rsidRPr="007D5CED">
        <w:rPr>
          <w:rStyle w:val="Strong"/>
          <w:lang w:val="en-US"/>
        </w:rPr>
        <w:t>Implement sexual violence prevention initiatives across the population</w:t>
      </w:r>
      <w:r w:rsidRPr="007D5CED">
        <w:rPr>
          <w:lang w:val="en-GB"/>
        </w:rPr>
        <w:t xml:space="preserve"> (Section 10.6).</w:t>
      </w:r>
    </w:p>
    <w:p w14:paraId="50F1069C" w14:textId="77777777" w:rsidR="007D5CED" w:rsidRPr="007D5CED" w:rsidRDefault="007D5CED" w:rsidP="00D31A1A">
      <w:pPr>
        <w:pStyle w:val="ListBullet"/>
        <w:rPr>
          <w:rFonts w:cs="Open Sans"/>
          <w:color w:val="000000"/>
          <w:kern w:val="0"/>
          <w:szCs w:val="18"/>
          <w:lang w:val="en-GB"/>
        </w:rPr>
      </w:pPr>
      <w:r w:rsidRPr="007D5CED">
        <w:rPr>
          <w:rStyle w:val="Strong"/>
          <w:lang w:val="en-US"/>
        </w:rPr>
        <w:t>Increase young</w:t>
      </w:r>
      <w:r w:rsidRPr="007D5CED">
        <w:rPr>
          <w:rStyle w:val="Strong"/>
          <w:lang w:val="en-GB"/>
        </w:rPr>
        <w:t xml:space="preserve"> </w:t>
      </w:r>
      <w:r w:rsidRPr="007D5CED">
        <w:rPr>
          <w:rStyle w:val="Strong"/>
          <w:lang w:val="en-US"/>
        </w:rPr>
        <w:t>people’s knowledge, skills and confidence to act as prosocial bystanders</w:t>
      </w:r>
      <w:r w:rsidRPr="007D5CED">
        <w:rPr>
          <w:rFonts w:cs="Open Sans"/>
          <w:color w:val="000000"/>
          <w:kern w:val="0"/>
          <w:szCs w:val="18"/>
          <w:lang w:val="en-GB"/>
        </w:rPr>
        <w:t xml:space="preserve"> </w:t>
      </w:r>
      <w:r w:rsidRPr="00EA1044">
        <w:rPr>
          <w:lang w:val="en-AU"/>
        </w:rPr>
        <w:t>(Section 10.7).</w:t>
      </w:r>
    </w:p>
    <w:p w14:paraId="4997649D" w14:textId="77777777" w:rsidR="007D5CED" w:rsidRPr="007D5CED" w:rsidRDefault="007D5CED" w:rsidP="00D31A1A">
      <w:pPr>
        <w:pStyle w:val="ListBullet"/>
        <w:rPr>
          <w:rFonts w:cs="Open Sans"/>
          <w:color w:val="000000"/>
          <w:kern w:val="0"/>
          <w:szCs w:val="18"/>
          <w:lang w:val="en-GB"/>
        </w:rPr>
      </w:pPr>
      <w:r w:rsidRPr="007D5CED">
        <w:rPr>
          <w:rStyle w:val="Strong"/>
          <w:lang w:val="en-US"/>
        </w:rPr>
        <w:t>Policies in workplaces and other settings should consider power dynamics to facilitate prosocial bystander behaviour</w:t>
      </w:r>
      <w:r w:rsidRPr="007D5CED">
        <w:rPr>
          <w:rFonts w:cs="Open Sans"/>
          <w:color w:val="000000"/>
          <w:kern w:val="0"/>
          <w:szCs w:val="18"/>
          <w:lang w:val="en-US"/>
        </w:rPr>
        <w:t xml:space="preserve"> </w:t>
      </w:r>
      <w:r w:rsidRPr="00EA1044">
        <w:rPr>
          <w:lang w:val="en-AU"/>
        </w:rPr>
        <w:t>(Section 10.7).</w:t>
      </w:r>
    </w:p>
    <w:p w14:paraId="5131BCE5" w14:textId="4ACFD4B6" w:rsidR="00D31A1A" w:rsidRPr="0084332B" w:rsidRDefault="007D5CED" w:rsidP="0084332B">
      <w:pPr>
        <w:pStyle w:val="ListBullet"/>
        <w:rPr>
          <w:rFonts w:cs="Open Sans"/>
          <w:color w:val="000000"/>
          <w:kern w:val="0"/>
          <w:szCs w:val="18"/>
          <w:lang w:val="en-GB"/>
        </w:rPr>
      </w:pPr>
      <w:r w:rsidRPr="007D5CED">
        <w:rPr>
          <w:rStyle w:val="Strong"/>
          <w:lang w:val="en-US"/>
        </w:rPr>
        <w:t>Primary prevention with young people is important because gendered differences in</w:t>
      </w:r>
      <w:r w:rsidR="0082490C">
        <w:rPr>
          <w:rStyle w:val="Strong"/>
          <w:lang w:val="en-US"/>
        </w:rPr>
        <w:t> </w:t>
      </w:r>
      <w:r w:rsidRPr="007D5CED">
        <w:rPr>
          <w:rStyle w:val="Strong"/>
          <w:lang w:val="en-US"/>
        </w:rPr>
        <w:t>understanding and attitudes start early</w:t>
      </w:r>
      <w:r w:rsidRPr="007D5CED">
        <w:rPr>
          <w:rFonts w:cs="Open Sans"/>
          <w:color w:val="000000"/>
          <w:kern w:val="0"/>
          <w:szCs w:val="18"/>
          <w:lang w:val="en-GB"/>
        </w:rPr>
        <w:t xml:space="preserve"> </w:t>
      </w:r>
      <w:r w:rsidRPr="00EA1044">
        <w:rPr>
          <w:lang w:val="en-AU"/>
        </w:rPr>
        <w:t>(Section 10.8).</w:t>
      </w:r>
    </w:p>
    <w:bookmarkStart w:id="38" w:name="_Toc152532371"/>
    <w:bookmarkStart w:id="39" w:name="_Toc190941657"/>
    <w:bookmarkStart w:id="40" w:name="_Toc190942357"/>
    <w:p w14:paraId="084DD06B" w14:textId="7C1AF6B1" w:rsidR="007D5CED" w:rsidRDefault="00C2563D" w:rsidP="008C29F3">
      <w:pPr>
        <w:pStyle w:val="H2SectionTitle"/>
      </w:pPr>
      <w:r>
        <w:rPr>
          <w:noProof/>
        </w:rPr>
        <w:lastRenderedPageBreak/>
        <mc:AlternateContent>
          <mc:Choice Requires="wps">
            <w:drawing>
              <wp:anchor distT="0" distB="0" distL="114300" distR="114300" simplePos="0" relativeHeight="251658255" behindDoc="0" locked="0" layoutInCell="1" allowOverlap="1" wp14:anchorId="4796F01E" wp14:editId="716CF5B4">
                <wp:simplePos x="0" y="0"/>
                <wp:positionH relativeFrom="column">
                  <wp:posOffset>5124</wp:posOffset>
                </wp:positionH>
                <wp:positionV relativeFrom="paragraph">
                  <wp:posOffset>109</wp:posOffset>
                </wp:positionV>
                <wp:extent cx="382138" cy="382138"/>
                <wp:effectExtent l="0" t="0" r="0" b="0"/>
                <wp:wrapSquare wrapText="bothSides"/>
                <wp:docPr id="70985196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C9388" id="Rectangle 2" o:spid="_x0000_s1026" alt="&quot;&quot;" style="position:absolute;margin-left:.4pt;margin-top:0;width:30.1pt;height:30.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rPr>
          <w:bCs/>
        </w:rPr>
        <w:t xml:space="preserve">1 </w:t>
      </w:r>
      <w:r w:rsidR="007D5CED" w:rsidRPr="00D32C21">
        <w:t>Introduction: Young people, gendered attitudes and violence against</w:t>
      </w:r>
      <w:r w:rsidR="00342F2C" w:rsidRPr="00D32C21">
        <w:t xml:space="preserve"> </w:t>
      </w:r>
      <w:r w:rsidR="007D5CED" w:rsidRPr="00D32C21">
        <w:t>women</w:t>
      </w:r>
      <w:bookmarkEnd w:id="38"/>
      <w:bookmarkEnd w:id="39"/>
      <w:bookmarkEnd w:id="40"/>
    </w:p>
    <w:p w14:paraId="6FD48C80" w14:textId="3EB9E1CD" w:rsidR="00B24264" w:rsidRPr="00DA4C6A" w:rsidRDefault="00B24264" w:rsidP="00DC3FE8">
      <w:pPr>
        <w:pStyle w:val="Heading3"/>
      </w:pPr>
      <w:bookmarkStart w:id="41" w:name="_Toc190941658"/>
      <w:bookmarkStart w:id="42" w:name="_Toc190942358"/>
      <w:r w:rsidRPr="00DA4C6A">
        <w:t>1.</w:t>
      </w:r>
      <w:r w:rsidR="0084332B">
        <w:t xml:space="preserve">1 </w:t>
      </w:r>
      <w:r w:rsidRPr="00DA4C6A">
        <w:t>Violence against women is a widespread problem</w:t>
      </w:r>
      <w:bookmarkEnd w:id="41"/>
      <w:bookmarkEnd w:id="42"/>
    </w:p>
    <w:tbl>
      <w:tblPr>
        <w:tblStyle w:val="Yellowcalloutboxlayout"/>
        <w:tblW w:w="9781" w:type="dxa"/>
        <w:tblLayout w:type="fixed"/>
        <w:tblLook w:val="0000" w:firstRow="0" w:lastRow="0" w:firstColumn="0" w:lastColumn="0" w:noHBand="0" w:noVBand="0"/>
      </w:tblPr>
      <w:tblGrid>
        <w:gridCol w:w="9781"/>
      </w:tblGrid>
      <w:tr w:rsidR="007D5CED" w:rsidRPr="00EA1044" w14:paraId="468C5326" w14:textId="77777777" w:rsidTr="00B24264">
        <w:trPr>
          <w:trHeight w:val="60"/>
        </w:trPr>
        <w:tc>
          <w:tcPr>
            <w:tcW w:w="9781" w:type="dxa"/>
          </w:tcPr>
          <w:p w14:paraId="61319775" w14:textId="32A4990C" w:rsidR="007D5CED" w:rsidRPr="007D5CED" w:rsidRDefault="007D5CED" w:rsidP="00B83062">
            <w:pPr>
              <w:pStyle w:val="ChapterIntro"/>
              <w:rPr>
                <w:rFonts w:cs="Open Sans"/>
                <w:color w:val="000000"/>
                <w:kern w:val="0"/>
                <w:szCs w:val="18"/>
              </w:rPr>
            </w:pPr>
            <w:r w:rsidRPr="007D5CED">
              <w:t>Violence against women is a widespread health, social and economic problem, affecting approximately one third of women globally (KPMG, 2016; Our Watch, 2021a; World Health Organization [WHO], 2021a). Violence against women occurs in many forms and contexts. Major forms of violence against women include physical, sexual, emotional, psychological, social, cultural, spiritual, financial and technology-facilitated violence, abuse or control. Contexts include homes, workplaces, social environments, the public domain, residential care facilities or institutions, and the virtual or online world (Cox, 2015a; Our Watch, 2021a). Violence can take structural or symbolic forms when embedded within the policies and practices of institutions that interact with wider systems of oppression and discrimination against particular groups of women (Hourani et al., 2021). Violence against women thus presents a complex, multidimensional challenge that requires long-term cross-sector collaboration and coordination, including among community</w:t>
            </w:r>
            <w:r w:rsidRPr="007D5CED">
              <w:rPr>
                <w:rFonts w:cs="Open Sans"/>
                <w:color w:val="000000"/>
                <w:kern w:val="0"/>
                <w:szCs w:val="18"/>
              </w:rPr>
              <w:t>, health, education, business and government</w:t>
            </w:r>
            <w:r w:rsidR="00B24264">
              <w:rPr>
                <w:rFonts w:cs="Open Sans"/>
                <w:color w:val="000000"/>
                <w:kern w:val="0"/>
                <w:szCs w:val="18"/>
              </w:rPr>
              <w:t xml:space="preserve"> </w:t>
            </w:r>
            <w:r w:rsidRPr="007D5CED">
              <w:rPr>
                <w:rFonts w:cs="Open Sans"/>
                <w:color w:val="000000"/>
                <w:kern w:val="0"/>
                <w:szCs w:val="18"/>
              </w:rPr>
              <w:t>stakeholders.</w:t>
            </w:r>
          </w:p>
        </w:tc>
      </w:tr>
    </w:tbl>
    <w:p w14:paraId="19ED0D27" w14:textId="1ABB539B" w:rsidR="00D31A1A" w:rsidRPr="008C29F3" w:rsidRDefault="00D31A1A">
      <w:pPr>
        <w:spacing w:before="0" w:after="0" w:line="240" w:lineRule="auto"/>
        <w:rPr>
          <w:rFonts w:cs="Open Sans"/>
          <w:color w:val="000000"/>
          <w:kern w:val="0"/>
          <w:sz w:val="4"/>
          <w:szCs w:val="4"/>
          <w:lang w:val="en-GB"/>
        </w:rPr>
      </w:pPr>
      <w:r w:rsidRPr="008C29F3">
        <w:rPr>
          <w:rFonts w:cs="Open Sans"/>
          <w:color w:val="000000"/>
          <w:kern w:val="0"/>
          <w:sz w:val="4"/>
          <w:szCs w:val="4"/>
          <w:lang w:val="en-GB"/>
        </w:rPr>
        <w:br w:type="page"/>
      </w:r>
    </w:p>
    <w:p w14:paraId="361E5953" w14:textId="77777777" w:rsidR="007D5CED" w:rsidRPr="007D5CED" w:rsidRDefault="007D5CED" w:rsidP="0084332B">
      <w:pPr>
        <w:pStyle w:val="Heading4"/>
      </w:pPr>
      <w:r w:rsidRPr="007D5CED">
        <w:lastRenderedPageBreak/>
        <w:t>Violence against women in Australia</w:t>
      </w:r>
    </w:p>
    <w:p w14:paraId="45559BEB" w14:textId="77777777" w:rsidR="007D5CED" w:rsidRPr="007D5CED" w:rsidRDefault="007D5CED" w:rsidP="00DF673B">
      <w:pPr>
        <w:rPr>
          <w:lang w:val="en-GB"/>
        </w:rPr>
      </w:pPr>
      <w:r w:rsidRPr="007D5CED">
        <w:rPr>
          <w:lang w:val="en-GB"/>
        </w:rPr>
        <w:t xml:space="preserve">In Australia, population-based prevalence data from the 2021–2022 Personal Safety Survey (PSS) shows that violence against women remains a pervasive problem. For example, after the age of 15 years: </w:t>
      </w:r>
    </w:p>
    <w:p w14:paraId="004B6D40" w14:textId="3B6A834B" w:rsidR="007D5CED" w:rsidRPr="00DF673B" w:rsidRDefault="007D5CED" w:rsidP="00DF673B">
      <w:pPr>
        <w:pStyle w:val="ListBullet"/>
        <w:rPr>
          <w:position w:val="6"/>
          <w:sz w:val="12"/>
          <w:szCs w:val="12"/>
          <w:lang w:val="en-US"/>
        </w:rPr>
      </w:pPr>
      <w:r w:rsidRPr="00DF673B">
        <w:rPr>
          <w:lang w:val="en-GB"/>
        </w:rPr>
        <w:t>1 in 2 women have experienced sexual harassment (Australian Bureau of Statistics [ABS], 2017)</w:t>
      </w:r>
      <w:r w:rsidRPr="007D5CED">
        <w:rPr>
          <w:vertAlign w:val="superscript"/>
          <w:lang w:val="en-GB"/>
        </w:rPr>
        <w:footnoteReference w:id="3"/>
      </w:r>
      <w:r w:rsidRPr="00DF673B">
        <w:rPr>
          <w:position w:val="6"/>
          <w:sz w:val="12"/>
          <w:szCs w:val="12"/>
          <w:vertAlign w:val="superscript"/>
          <w:lang w:val="en-US"/>
        </w:rPr>
        <w:t xml:space="preserve"> </w:t>
      </w:r>
    </w:p>
    <w:p w14:paraId="68AAF2C9" w14:textId="77777777" w:rsidR="007D5CED" w:rsidRPr="007D5CED" w:rsidRDefault="007D5CED" w:rsidP="00D31A1A">
      <w:pPr>
        <w:pStyle w:val="ListBullet"/>
        <w:rPr>
          <w:lang w:val="en-GB"/>
        </w:rPr>
      </w:pPr>
      <w:r w:rsidRPr="007D5CED">
        <w:rPr>
          <w:lang w:val="en-GB"/>
        </w:rPr>
        <w:t xml:space="preserve">1 in 4 women have experienced violence by an intimate partner (ABS, 2023a) </w:t>
      </w:r>
    </w:p>
    <w:p w14:paraId="0130EE41" w14:textId="77777777" w:rsidR="007D5CED" w:rsidRPr="007D5CED" w:rsidRDefault="007D5CED" w:rsidP="00D31A1A">
      <w:pPr>
        <w:pStyle w:val="ListBullet"/>
        <w:rPr>
          <w:lang w:val="en-GB"/>
        </w:rPr>
      </w:pPr>
      <w:r w:rsidRPr="007D5CED">
        <w:rPr>
          <w:lang w:val="en-GB"/>
        </w:rPr>
        <w:t xml:space="preserve">1 in 5 women have experienced sexual violence (ABS, 2023a) </w:t>
      </w:r>
    </w:p>
    <w:p w14:paraId="4D30DE52" w14:textId="77777777" w:rsidR="007D5CED" w:rsidRPr="007D5CED" w:rsidRDefault="007D5CED" w:rsidP="00D31A1A">
      <w:pPr>
        <w:pStyle w:val="ListBullet"/>
        <w:rPr>
          <w:lang w:val="en-GB"/>
        </w:rPr>
      </w:pPr>
      <w:r w:rsidRPr="007D5CED">
        <w:rPr>
          <w:lang w:val="en-GB"/>
        </w:rPr>
        <w:t>1 in 5 women have experienced stalking (ABS, 2023a).</w:t>
      </w:r>
    </w:p>
    <w:p w14:paraId="66CDDE28" w14:textId="77777777" w:rsidR="007D5CED" w:rsidRPr="007D5CED" w:rsidRDefault="007D5CED" w:rsidP="00D31A1A">
      <w:pPr>
        <w:rPr>
          <w:lang w:val="en-GB"/>
        </w:rPr>
      </w:pPr>
      <w:r w:rsidRPr="007D5CED">
        <w:rPr>
          <w:lang w:val="en-GB"/>
        </w:rPr>
        <w:t xml:space="preserve">Global population-level data demonstrates that domestic violence and sexual violence are predominantly gendered, with women being the main victims and men being the main perpetrators (European Union Agency for Fundamental Rights, 2014; WHO, 2021a). </w:t>
      </w:r>
    </w:p>
    <w:p w14:paraId="02D09F31" w14:textId="5562E34E" w:rsidR="007D5CED" w:rsidRPr="00A51720" w:rsidRDefault="007D5CED" w:rsidP="00D31A1A">
      <w:pPr>
        <w:rPr>
          <w:lang w:val="en-GB"/>
        </w:rPr>
      </w:pPr>
      <w:r w:rsidRPr="00A51720">
        <w:rPr>
          <w:lang w:val="en-GB"/>
        </w:rPr>
        <w:t>In Australia, the 2021–2022 PSS confirms that men experience lower rates than women of domestic violence (7% versus 23%) and sexual violence (6% versus 22%; ABS, 2023a). Furthermore, according to</w:t>
      </w:r>
      <w:r w:rsidR="00C2563D" w:rsidRPr="00A51720">
        <w:rPr>
          <w:lang w:val="en-GB"/>
        </w:rPr>
        <w:t> </w:t>
      </w:r>
      <w:r w:rsidRPr="00A51720">
        <w:rPr>
          <w:lang w:val="en-GB"/>
        </w:rPr>
        <w:t>the PSS, the perpetrator was a man in the overwhelming majority (97%) of cases of sexual violence experienced by women after the age of 15 years (ABS, 2023c). Women are also more likely than men to</w:t>
      </w:r>
      <w:r w:rsidR="00C2563D" w:rsidRPr="00A51720">
        <w:rPr>
          <w:lang w:val="en-GB"/>
        </w:rPr>
        <w:t> </w:t>
      </w:r>
      <w:r w:rsidRPr="00A51720">
        <w:rPr>
          <w:lang w:val="en-GB"/>
        </w:rPr>
        <w:t>suffer adverse impacts from domestic violence victimisation, including fear, anxiety and physical injury (ABS, 2017). A recent population-level analysis of homicide cases involving intimate partners in</w:t>
      </w:r>
      <w:r w:rsidR="00C2563D" w:rsidRPr="00A51720">
        <w:rPr>
          <w:lang w:val="en-GB"/>
        </w:rPr>
        <w:t> </w:t>
      </w:r>
      <w:r w:rsidRPr="00A51720">
        <w:rPr>
          <w:lang w:val="en-GB"/>
        </w:rPr>
        <w:t>Australia similarly demonstrated the gendered nature of domestic violence. Approximately three quarters of these cases (77%) involved a male offender murdering a female (current or former) partner (Australian Domestic and Family Violence Death Review Network &amp; Australia’s National Research Organisation for Women’s Safety [ANROWS], 2022). Only a minority of cases (21%) involved a female offender, and most of these female offenders were known to be the primary victim of domestic violence in the relationship (71%; Australian Domestic and Family Violence Death Review Network &amp;</w:t>
      </w:r>
      <w:r w:rsidR="00C2563D" w:rsidRPr="00A51720">
        <w:rPr>
          <w:lang w:val="en-GB"/>
        </w:rPr>
        <w:t> </w:t>
      </w:r>
      <w:r w:rsidRPr="00A51720">
        <w:rPr>
          <w:lang w:val="en-GB"/>
        </w:rPr>
        <w:t>ANROWS, 2022).</w:t>
      </w:r>
    </w:p>
    <w:p w14:paraId="1877DB8B" w14:textId="02A636A6" w:rsidR="007D5CED" w:rsidRPr="00A51720" w:rsidRDefault="007D5CED" w:rsidP="00D31A1A">
      <w:pPr>
        <w:rPr>
          <w:lang w:val="en-GB"/>
        </w:rPr>
      </w:pPr>
      <w:r w:rsidRPr="00A51720">
        <w:rPr>
          <w:lang w:val="en-GB"/>
        </w:rPr>
        <w:t>Violence against women has a profound and long-term toll on victims and survivors, their families, communities and broader society. Debilitating effects on victims and survivors and their children include acute and chronic mental and physical health issues, and increased risk of experiencing child abuse and neglect, homelessness and homicide (ANROWS, 2018; Lum On et al., 2016; WHO, 2021b). Broader societal impacts include costs related to health, welfare, housing, employment and justice services, as well as costs related to prevention initiatives (ABS, 2023a; ANROWS, 2018; Australian Institute of Health and Welfare [AIHW], 2019; Dembo et al., 2018; KPMG, 2016; Miller-Graff et al., 2016; Serpell et al., 2022). The total economic cost of violence against women and their children in 2015–16 in</w:t>
      </w:r>
      <w:r w:rsidR="00C2563D" w:rsidRPr="00A51720">
        <w:rPr>
          <w:lang w:val="en-GB"/>
        </w:rPr>
        <w:t> </w:t>
      </w:r>
      <w:r w:rsidRPr="00A51720">
        <w:rPr>
          <w:lang w:val="en-GB"/>
        </w:rPr>
        <w:t xml:space="preserve">Australia was estimated to be $22–26 billion, which is likely to be an under-estimate due to factors such as under-reporting and under-representation of at-risk minority groups (KPMG, 2016). </w:t>
      </w:r>
    </w:p>
    <w:p w14:paraId="07D83B46" w14:textId="5EC8C6C6" w:rsidR="007D5CED" w:rsidRPr="007D5CED" w:rsidRDefault="007D5CED" w:rsidP="00A51720">
      <w:pPr>
        <w:keepLines/>
        <w:rPr>
          <w:lang w:val="en-GB"/>
        </w:rPr>
      </w:pPr>
      <w:r w:rsidRPr="007D5CED">
        <w:rPr>
          <w:lang w:val="en-GB"/>
        </w:rPr>
        <w:t>The Australian Government response to the unacceptable prevalence of violence against women is</w:t>
      </w:r>
      <w:r w:rsidR="00C2563D">
        <w:rPr>
          <w:lang w:val="en-GB"/>
        </w:rPr>
        <w:t> </w:t>
      </w:r>
      <w:r w:rsidRPr="007D5CED">
        <w:rPr>
          <w:lang w:val="en-GB"/>
        </w:rPr>
        <w:t xml:space="preserve">embodied in the </w:t>
      </w:r>
      <w:r w:rsidRPr="00DB4795">
        <w:rPr>
          <w:rStyle w:val="Emphasis"/>
          <w:lang w:val="en-US"/>
        </w:rPr>
        <w:t>National Plan to Reduce Violence Against Women and their Children 2010–2022</w:t>
      </w:r>
      <w:r w:rsidRPr="007D5CED">
        <w:rPr>
          <w:lang w:val="en-GB"/>
        </w:rPr>
        <w:t xml:space="preserve"> (hereafter the National Plan 2010–2022; Council of Australian Governments [COAG], 2010) and the </w:t>
      </w:r>
      <w:r w:rsidRPr="00DB4795">
        <w:rPr>
          <w:rStyle w:val="Emphasis"/>
          <w:lang w:val="en-US"/>
        </w:rPr>
        <w:t>National Plan to End Violence against Women and Children 2022–2032</w:t>
      </w:r>
      <w:r w:rsidRPr="007D5CED">
        <w:rPr>
          <w:lang w:val="en-GB"/>
        </w:rPr>
        <w:t xml:space="preserve"> (hereafter the National Plan 2022–2032; Department of Social Services [DSS], 2022). The National Community Attitudes towards Violence against Women Survey (NCAS) is a key means of measuring progress against the National Plans. Community understanding and attitudes regarding violence against women are shaped by, and in part reflect, social norms embedded in organisational, community, institutional and societal practices, systems and structures. Thus, the NCAS functions as a gauge for how Australia is progressing in</w:t>
      </w:r>
      <w:r w:rsidR="00C2563D">
        <w:rPr>
          <w:lang w:val="en-GB"/>
        </w:rPr>
        <w:t> </w:t>
      </w:r>
      <w:r w:rsidRPr="007D5CED">
        <w:rPr>
          <w:lang w:val="en-GB"/>
        </w:rPr>
        <w:t>changing the broader climate that facilitates and maintains violence against women.</w:t>
      </w:r>
    </w:p>
    <w:p w14:paraId="0D66A72D" w14:textId="5596A119" w:rsidR="007D5CED" w:rsidRPr="00342F2C" w:rsidRDefault="007D5CED" w:rsidP="00DC3FE8">
      <w:pPr>
        <w:pStyle w:val="Heading3"/>
      </w:pPr>
      <w:bookmarkStart w:id="43" w:name="_Toc152532373"/>
      <w:bookmarkStart w:id="44" w:name="_Toc190941659"/>
      <w:bookmarkStart w:id="45" w:name="_Toc190942359"/>
      <w:r w:rsidRPr="00342F2C">
        <w:t>1.2</w:t>
      </w:r>
      <w:r w:rsidR="0084332B">
        <w:t xml:space="preserve"> </w:t>
      </w:r>
      <w:r w:rsidRPr="00342F2C">
        <w:t>Drivers of violence against women</w:t>
      </w:r>
      <w:bookmarkEnd w:id="43"/>
      <w:bookmarkEnd w:id="44"/>
      <w:bookmarkEnd w:id="45"/>
    </w:p>
    <w:p w14:paraId="36282C69" w14:textId="77777777" w:rsidR="007D5CED" w:rsidRPr="007D5CED" w:rsidRDefault="007D5CED" w:rsidP="00D31A1A">
      <w:pPr>
        <w:rPr>
          <w:lang w:val="en-GB"/>
        </w:rPr>
      </w:pPr>
      <w:r w:rsidRPr="007D5CED">
        <w:rPr>
          <w:lang w:val="en-GB"/>
        </w:rPr>
        <w:t xml:space="preserve">Violence against women is a complex phenomenon that is underpinned by multiple factors (Centers for Disease Control and Prevention, 2022; Heise, 1998; Our Watch, 2021a). Gender inequality is one key factor that drives violence against women (Flood, 2019b; Webster et al., 2018; WHO, 2022). </w:t>
      </w:r>
      <w:r w:rsidRPr="0073256E">
        <w:rPr>
          <w:rStyle w:val="Emphasis"/>
          <w:lang w:val="en-US"/>
        </w:rPr>
        <w:t xml:space="preserve">Change the Story: A </w:t>
      </w:r>
      <w:r w:rsidRPr="0073256E">
        <w:rPr>
          <w:rStyle w:val="Emphasis"/>
          <w:lang w:val="en-US"/>
        </w:rPr>
        <w:lastRenderedPageBreak/>
        <w:t>Shared Framework for the Primary Prevention of Violence against Women in Australia</w:t>
      </w:r>
      <w:r w:rsidRPr="007D5CED">
        <w:rPr>
          <w:lang w:val="en-GB"/>
        </w:rPr>
        <w:t xml:space="preserve"> outlines four key gendered drivers of violence against women, namely attitudes that condone violence against women, support rigid gender roles, tolerate disrespect or aggression towards women, and endorse limits to women’s decision-making and independence (Our Watch, 2021a). Attitudes that condone violence towards women and gender inequality are intricately linked to other factors within society that contribute to violence against women (García-Moreno et al., 2015; Sardinha &amp; Catalán, 2018). </w:t>
      </w:r>
    </w:p>
    <w:p w14:paraId="3E3C816D" w14:textId="70F18E45" w:rsidR="007D5CED" w:rsidRDefault="007D5CED" w:rsidP="00D31A1A">
      <w:pPr>
        <w:rPr>
          <w:lang w:val="en-GB"/>
        </w:rPr>
      </w:pPr>
      <w:r w:rsidRPr="007D5CED">
        <w:rPr>
          <w:lang w:val="en-GB"/>
        </w:rPr>
        <w:t>As Figure 1-1 and Table 1-1 show, the socioecological model of violence against women considers the complex interplay between all these contributory factors that operate at different levels within society: the individual and relationship level; the organisational and community level; the system and institutional level; and the societal level (Centers for Disease Control and Prevention, 2022; Heise, 1998). Crucially, this model recognises both gender inequality and other inequalities underpinned by</w:t>
      </w:r>
      <w:r w:rsidR="00C2563D">
        <w:rPr>
          <w:lang w:val="en-GB"/>
        </w:rPr>
        <w:t> </w:t>
      </w:r>
      <w:r w:rsidRPr="007D5CED">
        <w:rPr>
          <w:lang w:val="en-GB"/>
        </w:rPr>
        <w:t xml:space="preserve">oppression and discrimination, such as racism, ableism, classism, cissexism and heteronormativity, as key </w:t>
      </w:r>
      <w:r w:rsidRPr="0073256E">
        <w:rPr>
          <w:rStyle w:val="Emphasis"/>
          <w:lang w:val="en-US"/>
        </w:rPr>
        <w:t>interacting</w:t>
      </w:r>
      <w:r w:rsidRPr="007D5CED">
        <w:rPr>
          <w:lang w:val="en-GB"/>
        </w:rPr>
        <w:t xml:space="preserve"> drivers</w:t>
      </w:r>
      <w:r w:rsidRPr="0073256E">
        <w:rPr>
          <w:rStyle w:val="Emphasis"/>
          <w:lang w:val="en-US"/>
        </w:rPr>
        <w:t xml:space="preserve"> </w:t>
      </w:r>
      <w:r w:rsidRPr="007D5CED">
        <w:rPr>
          <w:lang w:val="en-GB"/>
        </w:rPr>
        <w:t xml:space="preserve">of violence against women (Carman et al., 2020; Hulley et al., 2023; Our Watch, 2021a; Weldon &amp; Kerr, 2020). The sociological model is thus consistent with an </w:t>
      </w:r>
      <w:r w:rsidRPr="0073256E">
        <w:rPr>
          <w:rStyle w:val="Emphasis"/>
          <w:lang w:val="en-US"/>
        </w:rPr>
        <w:t>intersectional approach</w:t>
      </w:r>
      <w:r w:rsidRPr="007D5CED">
        <w:rPr>
          <w:lang w:val="en-GB"/>
        </w:rPr>
        <w:t xml:space="preserve"> to violence, which posits that different types of oppression and discrimination can be experienced by</w:t>
      </w:r>
      <w:r w:rsidR="00C2563D">
        <w:rPr>
          <w:lang w:val="en-GB"/>
        </w:rPr>
        <w:t> </w:t>
      </w:r>
      <w:r w:rsidRPr="007D5CED">
        <w:rPr>
          <w:lang w:val="en-GB"/>
        </w:rPr>
        <w:t xml:space="preserve">some people </w:t>
      </w:r>
      <w:r w:rsidRPr="0073256E">
        <w:rPr>
          <w:rStyle w:val="Emphasis"/>
          <w:lang w:val="en-US"/>
        </w:rPr>
        <w:t xml:space="preserve">simultaneously </w:t>
      </w:r>
      <w:r w:rsidRPr="007D5CED">
        <w:rPr>
          <w:lang w:val="en-GB"/>
        </w:rPr>
        <w:t>(Crenshaw, 1991). These simultaneous oppressions can interact to</w:t>
      </w:r>
      <w:r w:rsidR="00C2563D">
        <w:rPr>
          <w:lang w:val="en-GB"/>
        </w:rPr>
        <w:t> </w:t>
      </w:r>
      <w:r w:rsidRPr="007D5CED">
        <w:rPr>
          <w:lang w:val="en-GB"/>
        </w:rPr>
        <w:t>produce distinct forms of inequalities and violence for some marginalised groups, as well as</w:t>
      </w:r>
      <w:r w:rsidR="00C2563D">
        <w:rPr>
          <w:lang w:val="en-GB"/>
        </w:rPr>
        <w:t> </w:t>
      </w:r>
      <w:r w:rsidRPr="007D5CED">
        <w:rPr>
          <w:lang w:val="en-GB"/>
        </w:rPr>
        <w:t>differential outcomes from this victimisation (Carman et al., 2020; Hulley et al., 2023; Our Watch, 2021a; Weldon &amp; Kerr, 2020). For example, intersecting inequalities have been argued to increase risk of</w:t>
      </w:r>
      <w:r w:rsidR="00C2563D">
        <w:rPr>
          <w:lang w:val="en-GB"/>
        </w:rPr>
        <w:t> </w:t>
      </w:r>
      <w:r w:rsidRPr="007D5CED">
        <w:rPr>
          <w:lang w:val="en-GB"/>
        </w:rPr>
        <w:t>certain forms of violence or to produce specific barriers to help-seeking or worse outcomes for Aboriginal and/or Torres Strait Islander women, migrant and refugee women, women with disability and LGBTQ+ women (Callander et al., 2019; Calton et al., 2015; Cripps, 2021; Edwards et al., 2015; Femi</w:t>
      </w:r>
      <w:r w:rsidR="00C2563D">
        <w:rPr>
          <w:lang w:val="en-GB"/>
        </w:rPr>
        <w:noBreakHyphen/>
      </w:r>
      <w:r w:rsidRPr="007D5CED">
        <w:rPr>
          <w:lang w:val="en-GB"/>
        </w:rPr>
        <w:t>Ajao et al., 2020; Frawley &amp; Wilson, 2016; Hulley et al., 2023; Koh et al., 2021; Langton et al., 2020; Messinger, 2017; Murray et al., 2019; Nancarrow et al., 2020; Serrato Calero et al., 2020; Stein et al., 2018; Streur et al., 2019; Ussher et al., 2020; Watego et al., 2021).</w:t>
      </w:r>
    </w:p>
    <w:p w14:paraId="2C8C238A" w14:textId="173C4186" w:rsidR="00A72624" w:rsidRDefault="00A72624">
      <w:pPr>
        <w:spacing w:before="0" w:after="0" w:line="240" w:lineRule="auto"/>
        <w:rPr>
          <w:lang w:val="en-GB"/>
        </w:rPr>
      </w:pPr>
      <w:r>
        <w:rPr>
          <w:lang w:val="en-GB"/>
        </w:rPr>
        <w:br w:type="page"/>
      </w:r>
    </w:p>
    <w:p w14:paraId="323DFECD" w14:textId="4F4424E9" w:rsidR="007D5CED" w:rsidRDefault="000334CE" w:rsidP="002A2C0C">
      <w:pPr>
        <w:pStyle w:val="figuretableheading"/>
      </w:pPr>
      <w:bookmarkStart w:id="46" w:name="_Toc187401231"/>
      <w:r>
        <w:lastRenderedPageBreak/>
        <w:t xml:space="preserve">Figure </w:t>
      </w:r>
      <w:r w:rsidR="005B3A89">
        <w:fldChar w:fldCharType="begin"/>
      </w:r>
      <w:r w:rsidR="005B3A89">
        <w:instrText xml:space="preserve"> STYLEREF 1 \s </w:instrText>
      </w:r>
      <w:r w:rsidR="005B3A89">
        <w:fldChar w:fldCharType="separate"/>
      </w:r>
      <w:r w:rsidR="005B3A89">
        <w:t>1</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1</w:t>
      </w:r>
      <w:r w:rsidR="005B3A89">
        <w:fldChar w:fldCharType="end"/>
      </w:r>
      <w:r w:rsidR="007D5CED" w:rsidRPr="007D5CED">
        <w:t>: The socioecological model of violence against women</w:t>
      </w:r>
      <w:bookmarkEnd w:id="46"/>
    </w:p>
    <w:p w14:paraId="6F9BBF31" w14:textId="24AA7FF2" w:rsidR="00C62695" w:rsidRPr="00C62695" w:rsidRDefault="00A72624" w:rsidP="00A72624">
      <w:pPr>
        <w:jc w:val="center"/>
        <w:rPr>
          <w:lang w:val="en-GB"/>
        </w:rPr>
      </w:pPr>
      <w:r>
        <w:rPr>
          <w:noProof/>
          <w:lang w:val="en-GB"/>
        </w:rPr>
        <w:drawing>
          <wp:inline distT="0" distB="0" distL="0" distR="0" wp14:anchorId="3BFB2DB9" wp14:editId="1BE69315">
            <wp:extent cx="3429000" cy="3429000"/>
            <wp:effectExtent l="0" t="0" r="0" b="0"/>
            <wp:docPr id="1733409912" name="Immagine 1" descr="INFOGRAPHIC&#10;&#10;Circle 1: Societal&#10;Circle 2: System and institutional&#10;Circle 3: Organisational and Community&#10;Circle 4: Individual and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09912" name="Immagine 1" descr="INFOGRAPHIC&#10;&#10;Circle 1: Societal&#10;Circle 2: System and institutional&#10;Circle 3: Organisational and Community&#10;Circle 4: Individual and relationshi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93BB8B6" w14:textId="1F946F11" w:rsidR="00EC2246" w:rsidRPr="00EC2246" w:rsidRDefault="007D5CED" w:rsidP="00EC2246">
      <w:pPr>
        <w:pStyle w:val="Caption"/>
      </w:pPr>
      <w:r w:rsidRPr="00EC2246">
        <w:t xml:space="preserve">Source: </w:t>
      </w:r>
      <w:r w:rsidRPr="0013577A">
        <w:rPr>
          <w:b w:val="0"/>
          <w:bCs w:val="0"/>
        </w:rPr>
        <w:t>Adapted from Our Watch (2021a, p. 34).</w:t>
      </w:r>
    </w:p>
    <w:p w14:paraId="1C759367" w14:textId="77777777" w:rsidR="00EC2246" w:rsidRPr="00EC2246" w:rsidRDefault="00EC2246" w:rsidP="00EC2246">
      <w:r>
        <w:rPr>
          <w:b/>
          <w:bCs/>
        </w:rPr>
        <w:br w:type="page"/>
      </w:r>
    </w:p>
    <w:p w14:paraId="5C2C03A3" w14:textId="77777777" w:rsidR="007D5CED" w:rsidRPr="007D5CED" w:rsidRDefault="007D5CED" w:rsidP="00EC2246">
      <w:pPr>
        <w:pStyle w:val="Caption"/>
      </w:pPr>
    </w:p>
    <w:p w14:paraId="7329F4E2" w14:textId="10D50229" w:rsidR="007D5CED" w:rsidRDefault="006A3338" w:rsidP="002A2C0C">
      <w:pPr>
        <w:pStyle w:val="figuretableheading"/>
      </w:pPr>
      <w:bookmarkStart w:id="47" w:name="_Toc187402240"/>
      <w:r>
        <w:t xml:space="preserve">Table </w:t>
      </w:r>
      <w:r w:rsidR="004A7ED7">
        <w:fldChar w:fldCharType="begin"/>
      </w:r>
      <w:r w:rsidR="004A7ED7">
        <w:instrText xml:space="preserve"> STYLEREF 1 \s </w:instrText>
      </w:r>
      <w:r w:rsidR="004A7ED7">
        <w:fldChar w:fldCharType="separate"/>
      </w:r>
      <w:r w:rsidR="004A7ED7">
        <w:t>1</w:t>
      </w:r>
      <w:r w:rsidR="004A7ED7">
        <w:fldChar w:fldCharType="end"/>
      </w:r>
      <w:r w:rsidR="004A7ED7">
        <w:noBreakHyphen/>
      </w:r>
      <w:r w:rsidR="004A7ED7">
        <w:fldChar w:fldCharType="begin"/>
      </w:r>
      <w:r w:rsidR="004A7ED7">
        <w:instrText xml:space="preserve"> SEQ Table \* ARABIC \s 1 </w:instrText>
      </w:r>
      <w:r w:rsidR="004A7ED7">
        <w:fldChar w:fldCharType="separate"/>
      </w:r>
      <w:r w:rsidR="004A7ED7">
        <w:t>1</w:t>
      </w:r>
      <w:r w:rsidR="004A7ED7">
        <w:fldChar w:fldCharType="end"/>
      </w:r>
      <w:r w:rsidR="007D5CED" w:rsidRPr="007D5CED">
        <w:t>: Socioecological factors that contribute to or facilitate violence against women</w:t>
      </w:r>
      <w:bookmarkEnd w:id="47"/>
    </w:p>
    <w:p w14:paraId="0A84F150" w14:textId="6DFE489D" w:rsidR="00F514E2" w:rsidRDefault="00F514E2" w:rsidP="00F514E2">
      <w:pPr>
        <w:rPr>
          <w:b/>
          <w:bCs/>
          <w:sz w:val="40"/>
          <w:szCs w:val="48"/>
        </w:rPr>
      </w:pPr>
      <w:r w:rsidRPr="00F514E2">
        <w:rPr>
          <w:b/>
          <w:bCs/>
          <w:sz w:val="40"/>
          <w:szCs w:val="48"/>
        </w:rPr>
        <w:t>Socioecological factors that contribute to or facilitate violence against women</w:t>
      </w:r>
    </w:p>
    <w:tbl>
      <w:tblPr>
        <w:tblStyle w:val="Table-SingleHeaderRow"/>
        <w:tblW w:w="0" w:type="auto"/>
        <w:tblLook w:val="04A0" w:firstRow="1" w:lastRow="0" w:firstColumn="1" w:lastColumn="0" w:noHBand="0" w:noVBand="1"/>
      </w:tblPr>
      <w:tblGrid>
        <w:gridCol w:w="2547"/>
        <w:gridCol w:w="7081"/>
      </w:tblGrid>
      <w:tr w:rsidR="00EC2246" w14:paraId="5625039B" w14:textId="77777777" w:rsidTr="00EC22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6956EDD" w14:textId="241DD614" w:rsidR="00EC2246" w:rsidRDefault="00EC2246" w:rsidP="00EC2246">
            <w:r>
              <w:t>Factors</w:t>
            </w:r>
          </w:p>
        </w:tc>
        <w:tc>
          <w:tcPr>
            <w:tcW w:w="7081" w:type="dxa"/>
          </w:tcPr>
          <w:p w14:paraId="2DCABF98" w14:textId="15E5AD28" w:rsidR="00EC2246" w:rsidRDefault="00EC2246" w:rsidP="00EC2246">
            <w:pPr>
              <w:cnfStyle w:val="100000000000" w:firstRow="1" w:lastRow="0" w:firstColumn="0" w:lastColumn="0" w:oddVBand="0" w:evenVBand="0" w:oddHBand="0" w:evenHBand="0" w:firstRowFirstColumn="0" w:firstRowLastColumn="0" w:lastRowFirstColumn="0" w:lastRowLastColumn="0"/>
            </w:pPr>
            <w:r>
              <w:t>Findings</w:t>
            </w:r>
          </w:p>
        </w:tc>
      </w:tr>
      <w:tr w:rsidR="00EC2246" w14:paraId="793D95D5" w14:textId="77777777" w:rsidTr="00EC2246">
        <w:tc>
          <w:tcPr>
            <w:cnfStyle w:val="001000000000" w:firstRow="0" w:lastRow="0" w:firstColumn="1" w:lastColumn="0" w:oddVBand="0" w:evenVBand="0" w:oddHBand="0" w:evenHBand="0" w:firstRowFirstColumn="0" w:firstRowLastColumn="0" w:lastRowFirstColumn="0" w:lastRowLastColumn="0"/>
            <w:tcW w:w="2547" w:type="dxa"/>
          </w:tcPr>
          <w:p w14:paraId="27F22598" w14:textId="1FB12983" w:rsidR="00EC2246" w:rsidRDefault="00EC2246" w:rsidP="00EC2246">
            <w:r w:rsidRPr="00F514E2">
              <w:t>Societal</w:t>
            </w:r>
          </w:p>
        </w:tc>
        <w:tc>
          <w:tcPr>
            <w:tcW w:w="7081" w:type="dxa"/>
          </w:tcPr>
          <w:p w14:paraId="16118C04"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Broad societal factors can facilitate or create a context in which violence is encouraged or inhibited, such as via social and cultural norms that endorse or normalise gender inequality and violence against women</w:t>
            </w:r>
          </w:p>
          <w:p w14:paraId="3A35348B" w14:textId="77777777" w:rsidR="00EC2246" w:rsidRPr="00F514E2"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(Flood, 2020; Rizzo et al., 2020; Sabol et al., 2020; Tomsen &amp; Gadd, 2019)</w:t>
            </w:r>
          </w:p>
          <w:p w14:paraId="262D9017"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For example, dominant (or hegemonic) patterns of masculinity associated with control, dominance, aggression and hypersexuality have been found to be associated with violence against women</w:t>
            </w:r>
          </w:p>
          <w:p w14:paraId="3CFD82CB"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(Collins, 2012; Gallagher &amp; Parrott, 2011; McCarthy et al., 2018; Morrison et al., 2018; Peralta &amp; Tuttle, 2013; Willie et al., 2018)</w:t>
            </w:r>
          </w:p>
          <w:p w14:paraId="648F87AD"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Societal factors that create the context for the marginalisation and discrimination faced by particular groups of women, including Aboriginal and/or Torres Strait Islander women, women from LGBTQ+ communities, migrant women and women with disability, can also perpetuate violence against women from these communities</w:t>
            </w:r>
          </w:p>
          <w:p w14:paraId="7154E132"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(Brown et al., 2021; Carman et al., 2020; Dyson et al., 2017; Langton et al., 2020; Mailhot Amborski et al., 2021; Our Watch, 2018; Tomsa et al., 2021)</w:t>
            </w:r>
          </w:p>
          <w:p w14:paraId="605023D6"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Broad health, economic, educational and social policies can also serve to maintain or disrupt gender, economic and social inequalities</w:t>
            </w:r>
          </w:p>
          <w:p w14:paraId="0F98F00B" w14:textId="7D7BBF80"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(Centers for Disease Control and Prevention, 2022; Lowe et al., 2022)</w:t>
            </w:r>
          </w:p>
        </w:tc>
      </w:tr>
      <w:tr w:rsidR="00EC2246" w14:paraId="36167859" w14:textId="77777777" w:rsidTr="00EC2246">
        <w:tc>
          <w:tcPr>
            <w:cnfStyle w:val="001000000000" w:firstRow="0" w:lastRow="0" w:firstColumn="1" w:lastColumn="0" w:oddVBand="0" w:evenVBand="0" w:oddHBand="0" w:evenHBand="0" w:firstRowFirstColumn="0" w:firstRowLastColumn="0" w:lastRowFirstColumn="0" w:lastRowLastColumn="0"/>
            <w:tcW w:w="2547" w:type="dxa"/>
          </w:tcPr>
          <w:p w14:paraId="7530354C" w14:textId="013BF640" w:rsidR="00EC2246" w:rsidRPr="00F514E2" w:rsidRDefault="00EC2246" w:rsidP="00EC2246">
            <w:r w:rsidRPr="00F514E2">
              <w:t>System and instituional</w:t>
            </w:r>
          </w:p>
        </w:tc>
        <w:tc>
          <w:tcPr>
            <w:tcW w:w="7081" w:type="dxa"/>
          </w:tcPr>
          <w:p w14:paraId="76C9F4C9"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Formal and informal arrangements in policies, systems and institutions may support and maintain, or challenge, the conditions that facilitate the perpetration or experience of violence, including gender inequality and other intersecting sources of inequality and oppression</w:t>
            </w:r>
          </w:p>
          <w:p w14:paraId="480E8A79"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(Hardesty &amp; Ogolsky, 2020; Our Watch, 2021a; Song et al., 2020)</w:t>
            </w:r>
          </w:p>
          <w:p w14:paraId="0B562FD5"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Formal structures include rules and legislation that fail to address violence against women and gender inequality, while informal structures include patriarchal hierarchies that serve to embed and maintain inequalities for women, particularly those who experience intersecting oppressions and discrimination</w:t>
            </w:r>
          </w:p>
          <w:p w14:paraId="34207A1E"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(Our Watch, 2021a; Pease, 2021)</w:t>
            </w:r>
          </w:p>
          <w:p w14:paraId="3D497B97"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Examples at this level include policies and practices that hinder active participation and leadership of women based on sexism, racism, classism, ableism etc.</w:t>
            </w:r>
          </w:p>
          <w:p w14:paraId="5D7C70C9"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(Burton et al., 2020; Clark et al., 2021; Hideg &amp; Shen, 2019; Liu, 2021; Our Watch, 2021a; Sokoloff &amp; Dupont, 2005)</w:t>
            </w:r>
          </w:p>
          <w:p w14:paraId="09EC78A5"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 xml:space="preserve">Similarly, rewarding hegemonic masculinity traits such as hypersexuality, dominance and aggression in systems and institutions creates an </w:t>
            </w:r>
            <w:r w:rsidRPr="00F514E2">
              <w:lastRenderedPageBreak/>
              <w:t>environment in which women are targets for objectification, hostility and denigration, increasing the acceptability and likelihood of violence against women</w:t>
            </w:r>
          </w:p>
          <w:p w14:paraId="5579A0B1" w14:textId="30E986FE"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(Dahl et al., 2015; Murnen, 2015; Our Watch, 2019; Pease, 2021; Rizzo et al., 2020)</w:t>
            </w:r>
          </w:p>
        </w:tc>
      </w:tr>
      <w:tr w:rsidR="00EC2246" w14:paraId="451A6AF2" w14:textId="77777777" w:rsidTr="00EC2246">
        <w:tc>
          <w:tcPr>
            <w:cnfStyle w:val="001000000000" w:firstRow="0" w:lastRow="0" w:firstColumn="1" w:lastColumn="0" w:oddVBand="0" w:evenVBand="0" w:oddHBand="0" w:evenHBand="0" w:firstRowFirstColumn="0" w:firstRowLastColumn="0" w:lastRowFirstColumn="0" w:lastRowLastColumn="0"/>
            <w:tcW w:w="2547" w:type="dxa"/>
          </w:tcPr>
          <w:p w14:paraId="44678651" w14:textId="21859D5C" w:rsidR="00EC2246" w:rsidRPr="00F514E2" w:rsidRDefault="00EC2246" w:rsidP="00EC2246">
            <w:r w:rsidRPr="00F514E2">
              <w:lastRenderedPageBreak/>
              <w:t>Organisational and community</w:t>
            </w:r>
          </w:p>
        </w:tc>
        <w:tc>
          <w:tcPr>
            <w:tcW w:w="7081" w:type="dxa"/>
          </w:tcPr>
          <w:p w14:paraId="2D3E404A"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Organisational and community norms, structures and practices that endorse or fail to challenge gender inequality, other inequalities and violence can influence large numbers of people. Therefore, the characteristics of schools, workplaces and neighbourhoods can increase the likelihood of becoming either a victim or a perpetrator of violence</w:t>
            </w:r>
          </w:p>
          <w:p w14:paraId="3AF44261"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(Banyard et al., 2019; Copp et al., 2019; Jackson &amp; Sundaram, 2018; Kidman &amp; Kohler, 2020; Yeo et al., 2021)</w:t>
            </w:r>
          </w:p>
          <w:p w14:paraId="4A04915A"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Dominant forms of masculinity and heteronormativity which are associated with violence can also be expressed and maintained at this level</w:t>
            </w:r>
          </w:p>
          <w:p w14:paraId="62788B74" w14:textId="75F4C3B3"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(Carman et al., 2020; The Men’s Project &amp; Flood, 2018)</w:t>
            </w:r>
          </w:p>
          <w:p w14:paraId="27320D54"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Examples include organisational and social responses to workplace sexual harassment that suggest harassment is based on men’s inability to control their sexual desires or that women should be flattered by male attention</w:t>
            </w:r>
          </w:p>
          <w:p w14:paraId="5298A5B8" w14:textId="0AE2505F"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(Carman et al., 2020; Hlavka, 2014; E. A. Taylor et al., 2018)</w:t>
            </w:r>
          </w:p>
        </w:tc>
      </w:tr>
      <w:tr w:rsidR="00EC2246" w14:paraId="5E940016" w14:textId="77777777" w:rsidTr="00EC2246">
        <w:tc>
          <w:tcPr>
            <w:cnfStyle w:val="001000000000" w:firstRow="0" w:lastRow="0" w:firstColumn="1" w:lastColumn="0" w:oddVBand="0" w:evenVBand="0" w:oddHBand="0" w:evenHBand="0" w:firstRowFirstColumn="0" w:firstRowLastColumn="0" w:lastRowFirstColumn="0" w:lastRowLastColumn="0"/>
            <w:tcW w:w="2547" w:type="dxa"/>
          </w:tcPr>
          <w:p w14:paraId="0C127107" w14:textId="7D94BB91" w:rsidR="00EC2246" w:rsidRPr="00F514E2" w:rsidRDefault="00EC2246" w:rsidP="00EC2246">
            <w:r w:rsidRPr="00F514E2">
              <w:t>Individual and relationship</w:t>
            </w:r>
          </w:p>
        </w:tc>
        <w:tc>
          <w:tcPr>
            <w:tcW w:w="7081" w:type="dxa"/>
          </w:tcPr>
          <w:p w14:paraId="63138AD9"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The individual’s unique experiences, attitudes, knowledge, skills and relationships may affect their likelihood of becoming either a perpetrator or a victim of violence</w:t>
            </w:r>
          </w:p>
          <w:p w14:paraId="64255446"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(Bell &amp; Higgins, 2015; Cano-Gonzalez et al., 2020; Hamai et al., 2021; Jouriles et al., 2014; Kimber et al., 2015; Ogilvie et al., 2022; Reyes et al., 2017; White &amp; Geffner, 2022)</w:t>
            </w:r>
          </w:p>
          <w:p w14:paraId="023DCC32"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Other individual factors that may be associated with both perpetration and victimisation include alcohol use, income, education level, psychopathology (including depression, anxiety, post-traumatic stress disorder and personality disorders) and poor self-esteem</w:t>
            </w:r>
          </w:p>
          <w:p w14:paraId="0427DDAF"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(Armenti et al., 2018; Cortés-Treviño et al., 2022; Graham et al., 2018; Mannell et al., 2021; Renner et al., 2015; Spencer et al., 2019)</w:t>
            </w:r>
          </w:p>
          <w:p w14:paraId="53143B5B"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Similarly, individual attitudes towards gender inequality, rigid gender roles and the use of violence to solve interpersonal disputes may also be associated with the perpetration of violence against women</w:t>
            </w:r>
          </w:p>
          <w:p w14:paraId="128ABE03" w14:textId="77777777"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(Flood, 2019b; Latzman et al., 2018; Our Watch, 2019)</w:t>
            </w:r>
          </w:p>
          <w:p w14:paraId="73A5E5B2" w14:textId="77777777" w:rsidR="00EC2246" w:rsidRDefault="00EC2246" w:rsidP="00EC2246">
            <w:pPr>
              <w:cnfStyle w:val="000000000000" w:firstRow="0" w:lastRow="0" w:firstColumn="0" w:lastColumn="0" w:oddVBand="0" w:evenVBand="0" w:oddHBand="0" w:evenHBand="0" w:firstRowFirstColumn="0" w:firstRowLastColumn="0" w:lastRowFirstColumn="0" w:lastRowLastColumn="0"/>
            </w:pPr>
            <w:r w:rsidRPr="00F514E2">
              <w:t>At the relationship level, a person’s closest social circle of peers, their partners and their family members influence the person’s behaviour and understanding of violence against women. Specifically, membership in social networks characterised by violence- and rape-supportive norms is associated with increased risk for perpetration among men. These peer associations reinforce a shared hostility and aggression towards women that is associated with violence against women and failure to act prosocially when witnessing this violence</w:t>
            </w:r>
          </w:p>
          <w:p w14:paraId="3A86C082" w14:textId="24A5471D" w:rsidR="00EC2246" w:rsidRDefault="00EC2246" w:rsidP="00EC2246">
            <w:pPr>
              <w:pStyle w:val="Normal8pt"/>
              <w:cnfStyle w:val="000000000000" w:firstRow="0" w:lastRow="0" w:firstColumn="0" w:lastColumn="0" w:oddVBand="0" w:evenVBand="0" w:oddHBand="0" w:evenHBand="0" w:firstRowFirstColumn="0" w:firstRowLastColumn="0" w:lastRowFirstColumn="0" w:lastRowLastColumn="0"/>
            </w:pPr>
            <w:r w:rsidRPr="00F514E2">
              <w:t>(Corboz et al., 2016; DeKeseredy, Hall-Sanchez, et al., 2018; Flood, 2008, 2019a; Ha et al., 2019; Leen et al., 2012)</w:t>
            </w:r>
          </w:p>
        </w:tc>
      </w:tr>
    </w:tbl>
    <w:p w14:paraId="2BA468FB" w14:textId="77777777" w:rsidR="007D5CED" w:rsidRDefault="007D5CED" w:rsidP="008C29F3">
      <w:pPr>
        <w:pStyle w:val="Normal8pt"/>
      </w:pPr>
      <w:r w:rsidRPr="008C29F3">
        <w:rPr>
          <w:b/>
        </w:rPr>
        <w:t>Note:</w:t>
      </w:r>
      <w:r w:rsidRPr="007D5CED">
        <w:t xml:space="preserve"> Informed by the socioecological model of violence against women (Centers for Disease Control and Prevention, 2022) and </w:t>
      </w:r>
      <w:r w:rsidRPr="0073256E">
        <w:rPr>
          <w:rStyle w:val="Emphasis"/>
        </w:rPr>
        <w:t>Change the Story</w:t>
      </w:r>
      <w:r w:rsidRPr="007D5CED">
        <w:t xml:space="preserve"> (Our Watch, 2021a, p. 34).</w:t>
      </w:r>
    </w:p>
    <w:p w14:paraId="5D5C27CB" w14:textId="77777777" w:rsidR="007D5CED" w:rsidRPr="007D5CED" w:rsidRDefault="007D5CED" w:rsidP="00445D8C">
      <w:pPr>
        <w:rPr>
          <w:lang w:val="en-GB"/>
        </w:rPr>
      </w:pPr>
      <w:r w:rsidRPr="007D5CED">
        <w:rPr>
          <w:lang w:val="en-GB"/>
        </w:rPr>
        <w:lastRenderedPageBreak/>
        <w:t xml:space="preserve">The drivers of violence against women can be facilitated or disrupted at each level within the social ecology, can increase or lower different people’s risk of experiencing or perpetrating violence, and can produce different outcomes of violence for different people (Centers for Disease Control and Prevention, 2022; Heise, 1998). </w:t>
      </w:r>
    </w:p>
    <w:p w14:paraId="336F82F2" w14:textId="5EB2651F" w:rsidR="007D5CED" w:rsidRPr="007D5CED" w:rsidRDefault="007D5CED" w:rsidP="00445D8C">
      <w:pPr>
        <w:rPr>
          <w:lang w:val="en-GB"/>
        </w:rPr>
      </w:pPr>
      <w:r w:rsidRPr="007D5CED">
        <w:rPr>
          <w:lang w:val="en-GB"/>
        </w:rPr>
        <w:t>The model acknowledges that individuals’ attitudes can both influence and be influenced by factors at</w:t>
      </w:r>
      <w:r w:rsidR="00C2563D">
        <w:rPr>
          <w:lang w:val="en-GB"/>
        </w:rPr>
        <w:t> </w:t>
      </w:r>
      <w:r w:rsidRPr="007D5CED">
        <w:rPr>
          <w:lang w:val="en-GB"/>
        </w:rPr>
        <w:t xml:space="preserve">higher levels in the social ecology. Problematic attitudes not only directly contribute to the incidence of violence against women but also indirectly influence responses to this violence both from victims’ and survivors’ informal support networks, including family, friends and work colleagues, and from service providers and law enforcement (Tekkas Kerman &amp; Betrus, 2020). Individual attitudes also reflect the norms of inequality and violence encoded in health, economic, educational and social practices, policies, structures and systems that reinforce the culture of violence against women throughout all levels of society (Nayak et al., 2003). </w:t>
      </w:r>
    </w:p>
    <w:p w14:paraId="57FF3C7A" w14:textId="19A7424E" w:rsidR="007D5CED" w:rsidRPr="007D5CED" w:rsidRDefault="007D5CED" w:rsidP="00DC3FE8">
      <w:pPr>
        <w:pStyle w:val="Heading3"/>
      </w:pPr>
      <w:bookmarkStart w:id="48" w:name="_Toc152532374"/>
      <w:bookmarkStart w:id="49" w:name="_Toc190941660"/>
      <w:bookmarkStart w:id="50" w:name="_Toc190942360"/>
      <w:r w:rsidRPr="007D5CED">
        <w:t>1.3</w:t>
      </w:r>
      <w:r w:rsidR="00F514E2">
        <w:t xml:space="preserve"> </w:t>
      </w:r>
      <w:r w:rsidRPr="007D5CED">
        <w:t>Violence against women and young Australians</w:t>
      </w:r>
      <w:bookmarkEnd w:id="48"/>
      <w:bookmarkEnd w:id="49"/>
      <w:bookmarkEnd w:id="50"/>
    </w:p>
    <w:p w14:paraId="75C007DB" w14:textId="7B827FFA" w:rsidR="007D5CED" w:rsidRPr="007D5CED" w:rsidRDefault="007D5CED" w:rsidP="00445D8C">
      <w:pPr>
        <w:rPr>
          <w:lang w:val="en-GB"/>
        </w:rPr>
      </w:pPr>
      <w:r w:rsidRPr="007D5CED">
        <w:rPr>
          <w:lang w:val="en-GB"/>
        </w:rPr>
        <w:t>For young Australians, the problem of violence against women is particularly concerning for a number of reasons. First, young women are a group who are at high risk of victimisation, with many types of</w:t>
      </w:r>
      <w:r w:rsidR="00C2563D">
        <w:rPr>
          <w:lang w:val="en-GB"/>
        </w:rPr>
        <w:t> </w:t>
      </w:r>
      <w:r w:rsidRPr="007D5CED">
        <w:rPr>
          <w:lang w:val="en-GB"/>
        </w:rPr>
        <w:t>violence, including stalking, sexual assault and intimate partner violence, being experienced more commonly by young Australian women under 25 years of age compared to both young Australian men and Australian women 25 years or older (ABS, 2017; AIHW, 2022; Cox, 2015b). For example, the 2021–2022 PSS revealed that young women aged 18 to 24 years had the highest rate of experiencing sexual violence in the previous two years (12.4%) compared to older age groups (4.5% of 25- to 34-year-old women; 2.5% of 35- to 44-year-old women; ABS, 2023c). Sexual harassment followed a similar pattern, with women aged 18 to 24 years being the most likely to have experienced sexual harassment in the previous 12 months (35%), and women aged 65 years and over being the least likely (3.2%; ABS, 2023b). Further, the Australian Child Maltreatment Study (Haslam et al., 2023) provides evidence of the gendered nature of child sexual assault, finding that 1 in 3 young women aged 16 to 24 years had experienced child sexual abuse (35.2%) compared with 1 in 7 young men (14.5%; Haslam et al., 2023). Young women also reported substantially higher rates than young men of lifetime emotional abuse (40.5% versus 26.9%) and neglect (12.5% versus 7.2%; Haslam et al., 2023). This study also found that lifetime exposure to domestic violence was higher for young people than for those aged 25 years or</w:t>
      </w:r>
      <w:r w:rsidR="00C2563D">
        <w:rPr>
          <w:lang w:val="en-GB"/>
        </w:rPr>
        <w:t> </w:t>
      </w:r>
      <w:r w:rsidRPr="007D5CED">
        <w:rPr>
          <w:lang w:val="en-GB"/>
        </w:rPr>
        <w:t>older, with young women and young men having similarly high rates (Haslam et al., 2023).</w:t>
      </w:r>
    </w:p>
    <w:p w14:paraId="62FA6035" w14:textId="463BBF47" w:rsidR="007D5CED" w:rsidRPr="007D5CED" w:rsidRDefault="007D5CED" w:rsidP="00445D8C">
      <w:pPr>
        <w:rPr>
          <w:lang w:val="en-GB"/>
        </w:rPr>
      </w:pPr>
      <w:r w:rsidRPr="007D5CED">
        <w:rPr>
          <w:lang w:val="en-GB"/>
        </w:rPr>
        <w:t>Second, research spanning four decades demonstrates that the detrimental impact of early experiences of violence on children’s physical and mental health continues across the lifespan (Carlson et al., 2019; Haslam et al., 2023). Exposure to violence in childhood, including to sexual violence and family violence, increases the risk of re-exposure or of experiencing other types of concurrent gender-based violence (poly-victimisation) across social contexts (Yount &amp; Carrera, 2006). For example, a large population-based Australian study found that women who had experienced childhood sexual violence were twice as likely as women of the same age without a history of childhood sexual violence to have experienced recent sexual violence, 33 to 59 per cent more likely to have experienced recent domestic violence and 60 to 63 per cent more likely to have experienced recent physical violence (Townsend</w:t>
      </w:r>
      <w:r w:rsidR="00C2563D">
        <w:rPr>
          <w:lang w:val="en-GB"/>
        </w:rPr>
        <w:t> </w:t>
      </w:r>
      <w:r w:rsidRPr="007D5CED">
        <w:rPr>
          <w:lang w:val="en-GB"/>
        </w:rPr>
        <w:t>et</w:t>
      </w:r>
      <w:r w:rsidR="00C2563D">
        <w:rPr>
          <w:lang w:val="en-GB"/>
        </w:rPr>
        <w:t> </w:t>
      </w:r>
      <w:r w:rsidRPr="007D5CED">
        <w:rPr>
          <w:lang w:val="en-GB"/>
        </w:rPr>
        <w:t>al., 2022).</w:t>
      </w:r>
    </w:p>
    <w:p w14:paraId="3A49B0A3" w14:textId="5BC73B26" w:rsidR="007D5CED" w:rsidRPr="007D5CED" w:rsidRDefault="007D5CED" w:rsidP="00445D8C">
      <w:pPr>
        <w:rPr>
          <w:lang w:val="en-GB"/>
        </w:rPr>
      </w:pPr>
      <w:r w:rsidRPr="007D5CED">
        <w:rPr>
          <w:lang w:val="en-GB"/>
        </w:rPr>
        <w:t>Furthermore, in Australia, exposure to family violence is increasingly recognised as a form of child abuse (Campo, 2015). For certain professions, mandatory reporting of child abuse following exposure to family violence is enforced under the law in New South Wales, Tasmania and the Northern Territory (Child Family Community Australia, 2020). Such legislation is underpinned by research documenting the impacts of family violence on children’s brain development and key psychological functioning, including interpersonal and emotional regulation. Children who experience family or domestic violence are susceptible to developing poor self-regulation skills and insecure attachment styles, which can impede their ability to navigate social (e.g. school) and romantic interactions (Carlson et al., 2019; Maughan &amp;</w:t>
      </w:r>
      <w:r w:rsidR="00C2563D">
        <w:rPr>
          <w:lang w:val="en-GB"/>
        </w:rPr>
        <w:t> </w:t>
      </w:r>
      <w:r w:rsidRPr="007D5CED">
        <w:rPr>
          <w:lang w:val="en-GB"/>
        </w:rPr>
        <w:t>Cicchetti, 2002; Puzzo et al., 2016). In addition, these developmental trajectories for children exposed to</w:t>
      </w:r>
      <w:r w:rsidR="00C2563D">
        <w:rPr>
          <w:lang w:val="en-GB"/>
        </w:rPr>
        <w:t> </w:t>
      </w:r>
      <w:r w:rsidRPr="007D5CED">
        <w:rPr>
          <w:lang w:val="en-GB"/>
        </w:rPr>
        <w:t>violence may result in neurological and psychological changes that increase their risk of subsequent victimisation or perpetration (Carlson et al., 2019; Dodge &amp; Pettit, 2003).</w:t>
      </w:r>
    </w:p>
    <w:p w14:paraId="380A3FD2" w14:textId="02BF0092" w:rsidR="007D5CED" w:rsidRPr="007D5CED" w:rsidRDefault="007D5CED" w:rsidP="00445D8C">
      <w:pPr>
        <w:rPr>
          <w:lang w:val="en-GB"/>
        </w:rPr>
      </w:pPr>
      <w:r w:rsidRPr="007D5CED">
        <w:rPr>
          <w:lang w:val="en-GB"/>
        </w:rPr>
        <w:t>However, not all children exposed to violence against women experience long-term harms and some may thrive (Kitzmann et al., 2003). Certain factors (including individual, peer and parental factors) can</w:t>
      </w:r>
      <w:r w:rsidR="00C2563D">
        <w:rPr>
          <w:lang w:val="en-GB"/>
        </w:rPr>
        <w:t> </w:t>
      </w:r>
      <w:r w:rsidRPr="007D5CED">
        <w:rPr>
          <w:lang w:val="en-GB"/>
        </w:rPr>
        <w:t xml:space="preserve">sometimes </w:t>
      </w:r>
      <w:r w:rsidRPr="007D5CED">
        <w:rPr>
          <w:lang w:val="en-GB"/>
        </w:rPr>
        <w:lastRenderedPageBreak/>
        <w:t>protect children exposed to violence from subsequent development of psychological and physical problems (Carlson et al., 2019). Interventions designed to promote childhood protective factors and prevent early experiences of violence are critical for minimising lifelong harm, including</w:t>
      </w:r>
      <w:r w:rsidR="00C2563D">
        <w:rPr>
          <w:lang w:val="en-GB"/>
        </w:rPr>
        <w:t> </w:t>
      </w:r>
      <w:r w:rsidRPr="007D5CED">
        <w:rPr>
          <w:lang w:val="en-GB"/>
        </w:rPr>
        <w:t>re</w:t>
      </w:r>
      <w:r w:rsidR="006062AD">
        <w:rPr>
          <w:lang w:val="en-GB"/>
        </w:rPr>
        <w:noBreakHyphen/>
      </w:r>
      <w:r w:rsidRPr="007D5CED">
        <w:rPr>
          <w:lang w:val="en-GB"/>
        </w:rPr>
        <w:t>victimisation, and stopping cyclical violence in the community. Promoting young people’s</w:t>
      </w:r>
      <w:r w:rsidR="00C2563D">
        <w:rPr>
          <w:lang w:val="en-GB"/>
        </w:rPr>
        <w:t> </w:t>
      </w:r>
      <w:r w:rsidRPr="007D5CED">
        <w:rPr>
          <w:lang w:val="en-GB"/>
        </w:rPr>
        <w:t>wellbeing potentially carries immense benefit to the community in facilitating the prevention</w:t>
      </w:r>
      <w:r w:rsidR="00C2563D">
        <w:rPr>
          <w:lang w:val="en-GB"/>
        </w:rPr>
        <w:t> </w:t>
      </w:r>
      <w:r w:rsidRPr="007D5CED">
        <w:rPr>
          <w:lang w:val="en-GB"/>
        </w:rPr>
        <w:t>of violence against</w:t>
      </w:r>
      <w:r w:rsidR="006062AD">
        <w:rPr>
          <w:lang w:val="en-GB"/>
        </w:rPr>
        <w:t> </w:t>
      </w:r>
      <w:r w:rsidRPr="007D5CED">
        <w:rPr>
          <w:lang w:val="en-GB"/>
        </w:rPr>
        <w:t>women.</w:t>
      </w:r>
    </w:p>
    <w:p w14:paraId="7C3F36A0" w14:textId="743BF2E4" w:rsidR="007D5CED" w:rsidRPr="007D5CED" w:rsidRDefault="007D5CED" w:rsidP="00DC3FE8">
      <w:pPr>
        <w:pStyle w:val="Heading3"/>
      </w:pPr>
      <w:bookmarkStart w:id="51" w:name="_Toc152532375"/>
      <w:bookmarkStart w:id="52" w:name="_Toc190941661"/>
      <w:bookmarkStart w:id="53" w:name="_Toc190942361"/>
      <w:r w:rsidRPr="007D5CED">
        <w:t>1.4</w:t>
      </w:r>
      <w:r w:rsidR="00F514E2">
        <w:t xml:space="preserve"> </w:t>
      </w:r>
      <w:r w:rsidRPr="007D5CED">
        <w:t>Attitude formation among young people</w:t>
      </w:r>
      <w:bookmarkEnd w:id="51"/>
      <w:bookmarkEnd w:id="52"/>
      <w:bookmarkEnd w:id="53"/>
    </w:p>
    <w:p w14:paraId="201F8213" w14:textId="2E5EE4D1" w:rsidR="007D5CED" w:rsidRPr="007D5CED" w:rsidRDefault="007D5CED" w:rsidP="00445D8C">
      <w:pPr>
        <w:rPr>
          <w:lang w:val="en-GB"/>
        </w:rPr>
      </w:pPr>
      <w:r w:rsidRPr="007D5CED">
        <w:rPr>
          <w:lang w:val="en-GB"/>
        </w:rPr>
        <w:t>Young people are at a life stage when their values, attitudes, understanding and expressions of gender are developing. Values of respect, equality and care and a flexible understanding of gender roles, relationships and identities are associated with healthy relationships (Chandra-Mouli et al., 2017). Exposure to attitudes, settings, practices, systems, structures and social norms that support violence against women and gender inequality can undermine the foundations for respectful relationships (Chandra-Mouli et al., 2017). Values and gender identities formed at this developmental stage can persist and influence future experiences into the life-course (Chandra-Mouli et al., 2017; Flood</w:t>
      </w:r>
      <w:r w:rsidR="00C2563D">
        <w:rPr>
          <w:lang w:val="en-GB"/>
        </w:rPr>
        <w:t> </w:t>
      </w:r>
      <w:r w:rsidRPr="007D5CED">
        <w:rPr>
          <w:lang w:val="en-GB"/>
        </w:rPr>
        <w:t>&amp;</w:t>
      </w:r>
      <w:r w:rsidR="00C2563D">
        <w:rPr>
          <w:lang w:val="en-GB"/>
        </w:rPr>
        <w:t> </w:t>
      </w:r>
      <w:r w:rsidRPr="007D5CED">
        <w:rPr>
          <w:lang w:val="en-GB"/>
        </w:rPr>
        <w:t xml:space="preserve">Fergus, 2008). </w:t>
      </w:r>
    </w:p>
    <w:p w14:paraId="73CDE6BF" w14:textId="2348BCD7" w:rsidR="007D5CED" w:rsidRPr="007D5CED" w:rsidRDefault="007D5CED" w:rsidP="00445D8C">
      <w:pPr>
        <w:rPr>
          <w:lang w:val="en-GB"/>
        </w:rPr>
      </w:pPr>
      <w:r w:rsidRPr="007D5CED">
        <w:rPr>
          <w:lang w:val="en-GB"/>
        </w:rPr>
        <w:t>Young people have limited personal experience to draw on to navigate gender roles, identities and relationships (Flood &amp; Fergus, 2008). Research indicates that young people’s socialisation, including in</w:t>
      </w:r>
      <w:r w:rsidR="00C2563D">
        <w:rPr>
          <w:lang w:val="en-GB"/>
        </w:rPr>
        <w:t> </w:t>
      </w:r>
      <w:r w:rsidRPr="007D5CED">
        <w:rPr>
          <w:lang w:val="en-GB"/>
        </w:rPr>
        <w:t>relation to gender identities and violence, is influenced largely by their family, peers, educational institutions and broader systems and structures, and by popular culture experienced through the media and other online and digital technologies (Dueñas et al., 2020; Heyder et al., 2021; Senekal</w:t>
      </w:r>
      <w:r w:rsidR="00C2563D">
        <w:rPr>
          <w:lang w:val="en-GB"/>
        </w:rPr>
        <w:t> </w:t>
      </w:r>
      <w:r w:rsidRPr="007D5CED">
        <w:rPr>
          <w:lang w:val="en-GB"/>
        </w:rPr>
        <w:t>et</w:t>
      </w:r>
      <w:r w:rsidR="00C2563D">
        <w:rPr>
          <w:lang w:val="en-GB"/>
        </w:rPr>
        <w:t> </w:t>
      </w:r>
      <w:r w:rsidRPr="007D5CED">
        <w:rPr>
          <w:lang w:val="en-GB"/>
        </w:rPr>
        <w:t>al.,</w:t>
      </w:r>
      <w:r w:rsidR="00C2563D">
        <w:rPr>
          <w:lang w:val="en-GB"/>
        </w:rPr>
        <w:t> </w:t>
      </w:r>
      <w:r w:rsidRPr="007D5CED">
        <w:rPr>
          <w:lang w:val="en-GB"/>
        </w:rPr>
        <w:t xml:space="preserve">2023). </w:t>
      </w:r>
    </w:p>
    <w:p w14:paraId="3D1A110B" w14:textId="33B008F5" w:rsidR="007D5CED" w:rsidRPr="007D5CED" w:rsidRDefault="007D5CED" w:rsidP="00445D8C">
      <w:pPr>
        <w:rPr>
          <w:lang w:val="en-GB"/>
        </w:rPr>
      </w:pPr>
      <w:r w:rsidRPr="007D5CED">
        <w:rPr>
          <w:lang w:val="en-GB"/>
        </w:rPr>
        <w:t>Growing recognition of the diverse contexts influencing young people’s attitude formation has led to</w:t>
      </w:r>
      <w:r w:rsidR="00C2563D">
        <w:rPr>
          <w:lang w:val="en-GB"/>
        </w:rPr>
        <w:t> </w:t>
      </w:r>
      <w:r w:rsidRPr="007D5CED">
        <w:rPr>
          <w:lang w:val="en-GB"/>
        </w:rPr>
        <w:t>a</w:t>
      </w:r>
      <w:r w:rsidR="00C2563D">
        <w:rPr>
          <w:lang w:val="en-GB"/>
        </w:rPr>
        <w:t> </w:t>
      </w:r>
      <w:r w:rsidRPr="007D5CED">
        <w:rPr>
          <w:lang w:val="en-GB"/>
        </w:rPr>
        <w:t>wide range of primary prevention strategies aiming to harness the positive influence of families, role models and peer groups in online and offline environments. For example, these primary prevention strategies have included positive parenting programs, respectful relationships education and whole-of-school approaches (Moura et al., 2023; Our Watch, 2021d; Stern et al., 2023).</w:t>
      </w:r>
    </w:p>
    <w:p w14:paraId="2C0C9CF4" w14:textId="77777777" w:rsidR="007D5CED" w:rsidRPr="006062AD" w:rsidRDefault="007D5CED" w:rsidP="0084332B">
      <w:pPr>
        <w:pStyle w:val="Heading4"/>
      </w:pPr>
      <w:r w:rsidRPr="006062AD">
        <w:t>Influence of peers on young people’s attitude formation</w:t>
      </w:r>
    </w:p>
    <w:p w14:paraId="7AEDFAD4" w14:textId="43B7D41C" w:rsidR="007D5CED" w:rsidRPr="007D5CED" w:rsidRDefault="007D5CED" w:rsidP="00445D8C">
      <w:pPr>
        <w:rPr>
          <w:lang w:val="en-GB"/>
        </w:rPr>
      </w:pPr>
      <w:r w:rsidRPr="007D5CED">
        <w:rPr>
          <w:lang w:val="en-GB"/>
        </w:rPr>
        <w:t>Peer relationships play a significant role in shaping young people’s understanding, attitudes and behaviours regarding many social and cultural issues, including gender inequality and violence against women (DeKeseredy &amp; Schwartz, 2013; Powell, 2014). Young individuals tend to gravitate towards friends with similar interests and behaviours, producing homogenous peer groups over time (Dishion</w:t>
      </w:r>
      <w:r w:rsidR="00C2563D">
        <w:rPr>
          <w:lang w:val="en-GB"/>
        </w:rPr>
        <w:t> </w:t>
      </w:r>
      <w:r w:rsidRPr="007D5CED">
        <w:rPr>
          <w:lang w:val="en-GB"/>
        </w:rPr>
        <w:t>&amp;</w:t>
      </w:r>
      <w:r w:rsidR="00C2563D">
        <w:rPr>
          <w:lang w:val="en-GB"/>
        </w:rPr>
        <w:t> </w:t>
      </w:r>
      <w:r w:rsidRPr="007D5CED">
        <w:rPr>
          <w:lang w:val="en-GB"/>
        </w:rPr>
        <w:t>Patterson, 2015). This phenomenon can have positive influence when peer groups hold respectful attitudes towards women and girls, support gender equality and resist ideologies about male entitlement in relation to sex and social status. Conversely, research shows that young men affiliated with peers who harbour problematic views of women and sexual relationships are more likely to</w:t>
      </w:r>
      <w:r w:rsidR="00C2563D">
        <w:rPr>
          <w:lang w:val="en-GB"/>
        </w:rPr>
        <w:t> </w:t>
      </w:r>
      <w:r w:rsidRPr="007D5CED">
        <w:rPr>
          <w:lang w:val="en-GB"/>
        </w:rPr>
        <w:t xml:space="preserve">commit violence against women (Arriaga &amp; Foshee, 2004; Flood et al., 2022; Foshee et al., 2011, 2013; Schad et al., 2008). </w:t>
      </w:r>
    </w:p>
    <w:p w14:paraId="16BC8E14" w14:textId="68433283" w:rsidR="007D5CED" w:rsidRPr="007D5CED" w:rsidRDefault="007D5CED" w:rsidP="00445D8C">
      <w:pPr>
        <w:rPr>
          <w:lang w:val="en-GB"/>
        </w:rPr>
      </w:pPr>
      <w:r w:rsidRPr="007D5CED">
        <w:rPr>
          <w:lang w:val="en-GB"/>
        </w:rPr>
        <w:t>Further, men’s “locker room talk”, “banter”, “fighting for fun” and “lad culture” have been identified as</w:t>
      </w:r>
      <w:r w:rsidR="00C2563D">
        <w:rPr>
          <w:lang w:val="en-GB"/>
        </w:rPr>
        <w:t> </w:t>
      </w:r>
      <w:r w:rsidRPr="007D5CED">
        <w:rPr>
          <w:lang w:val="en-GB"/>
        </w:rPr>
        <w:t>common in interactions between Australian men and have been associated with rape myth acceptance and the normalisation of disrespectful attitudes towards women and gender and sexual minorities (Bolton et al., 2021; Flood, 2008; Jackson &amp; Sundaram, 2018; Jeffries, 2020; Johansson &amp; Odenbring, 2021; Nichols, 2018; Odenbring &amp; Johansson, 2021; Vaynman et al., 2020; Whittle et al., 2019). Also noteworthy is that “backlash” attitudes, which resist progressive movement to address gender inequality and violence against women, are more common among men than women (Carian,</w:t>
      </w:r>
      <w:r w:rsidR="00C2563D">
        <w:rPr>
          <w:lang w:val="en-GB"/>
        </w:rPr>
        <w:t> </w:t>
      </w:r>
      <w:r w:rsidRPr="007D5CED">
        <w:rPr>
          <w:lang w:val="en-GB"/>
        </w:rPr>
        <w:t xml:space="preserve">2022; Flood et al., 2020; Kidder et al., 2004). </w:t>
      </w:r>
    </w:p>
    <w:p w14:paraId="5AA360DE" w14:textId="77777777" w:rsidR="007D5CED" w:rsidRPr="007D5CED" w:rsidRDefault="007D5CED" w:rsidP="00445D8C">
      <w:pPr>
        <w:rPr>
          <w:lang w:val="en-GB"/>
        </w:rPr>
      </w:pPr>
      <w:r w:rsidRPr="007D5CED">
        <w:rPr>
          <w:lang w:val="en-GB"/>
        </w:rPr>
        <w:t>Youth-focused, peer-led interventions are based on the assumptions that youth is a critical developmental period for gender-related attitudinal and knowledge formation and that peer groups play a prominent role in young people’s socialisation (Johnson et al., 2022; Menesini et al., 2012; Morean et al., 2021). Youth-focused, peer-led interventions aim to address detrimental peer influences and promote respectful attitudes and relationships among young people. Such interventions have been shown to assist young people to develop skills for cultivating healthy relationships, to improve confidence and agency for challenging violence against women and to interact safely in online environments (Johnson et al., 2022; Menesini et al., 2012; Morean et al., 2021).</w:t>
      </w:r>
    </w:p>
    <w:p w14:paraId="48C8090D" w14:textId="62EA9DEC" w:rsidR="007D5CED" w:rsidRPr="007D5CED" w:rsidRDefault="007D5CED" w:rsidP="0084332B">
      <w:pPr>
        <w:pStyle w:val="Heading5"/>
      </w:pPr>
      <w:r w:rsidRPr="008C29F3">
        <w:rPr>
          <w:shd w:val="clear" w:color="auto" w:fill="FFFFFF" w:themeFill="background1"/>
        </w:rPr>
        <w:lastRenderedPageBreak/>
        <w:t>Influence of media and digital technologies on young people’s attitude formation</w:t>
      </w:r>
      <w:r w:rsidR="006D643E">
        <w:rPr>
          <w:shd w:val="clear" w:color="auto" w:fill="FFFFFF" w:themeFill="background1"/>
        </w:rPr>
        <w:tab/>
      </w:r>
    </w:p>
    <w:p w14:paraId="3D1020D9" w14:textId="08250CB0" w:rsidR="007D5CED" w:rsidRPr="007D5CED" w:rsidRDefault="007D5CED" w:rsidP="00445D8C">
      <w:pPr>
        <w:rPr>
          <w:lang w:val="en-GB"/>
        </w:rPr>
      </w:pPr>
      <w:r w:rsidRPr="007D5CED">
        <w:rPr>
          <w:lang w:val="en-GB"/>
        </w:rPr>
        <w:t>Popular culture is also a key influence on young people’s attitudes and values, including through media and other digital technologies. The present generation of young people is immersed in online and digital technologies at unprecedented levels (Ofcom, 2019). In addition, young people’s online activities are associated with significant and novel challenges for parental cyber control (Altarturi et al., 2020; Elsaesser et al., 2017). For example, young people today face unparalleled risks related to breaches of</w:t>
      </w:r>
      <w:r w:rsidR="00C2563D">
        <w:rPr>
          <w:lang w:val="en-GB"/>
        </w:rPr>
        <w:t> </w:t>
      </w:r>
      <w:r w:rsidRPr="007D5CED">
        <w:rPr>
          <w:lang w:val="en-GB"/>
        </w:rPr>
        <w:t>privacy and security, encountering misinformation and exposure to age-inappropriate material (e.g.</w:t>
      </w:r>
      <w:r w:rsidR="00C2563D">
        <w:rPr>
          <w:lang w:val="en-GB"/>
        </w:rPr>
        <w:t> </w:t>
      </w:r>
      <w:r w:rsidRPr="007D5CED">
        <w:rPr>
          <w:lang w:val="en-GB"/>
        </w:rPr>
        <w:t>violent pornography) and experiencing online bullying (Australian Communications and Media Authority, 2021; eSafety Commissioner, 2022b).</w:t>
      </w:r>
    </w:p>
    <w:p w14:paraId="0B377B81" w14:textId="789C2A93" w:rsidR="00445D8C" w:rsidRDefault="007D5CED" w:rsidP="0084332B">
      <w:pPr>
        <w:pStyle w:val="Quote"/>
      </w:pPr>
      <w:r w:rsidRPr="007D5CED">
        <w:t>I think social media has a really big impact … on the way young people view some of this stuff. So a lot of people … will agree in</w:t>
      </w:r>
      <w:r w:rsidR="00445D8C">
        <w:t xml:space="preserve"> </w:t>
      </w:r>
      <w:r w:rsidRPr="007D5CED">
        <w:t>theory. But when it comes to</w:t>
      </w:r>
      <w:r w:rsidR="00C2563D">
        <w:t> </w:t>
      </w:r>
      <w:r w:rsidRPr="007D5CED">
        <w:t>practice … the culture around it is still taboo.</w:t>
      </w:r>
    </w:p>
    <w:p w14:paraId="2EC8F89A" w14:textId="6A89B34A" w:rsidR="007D5CED" w:rsidRPr="0084332B" w:rsidRDefault="007D5CED" w:rsidP="0084332B">
      <w:pPr>
        <w:pStyle w:val="QuoteSignatureLine"/>
      </w:pPr>
      <w:r w:rsidRPr="007D5CED">
        <w:t>– Youth Ambassador</w:t>
      </w:r>
    </w:p>
    <w:p w14:paraId="6EF608A1" w14:textId="6DA3BEE1" w:rsidR="007D5CED" w:rsidRPr="007D5CED" w:rsidRDefault="007D5CED" w:rsidP="00445D8C">
      <w:pPr>
        <w:rPr>
          <w:lang w:val="en-GB"/>
        </w:rPr>
      </w:pPr>
      <w:r w:rsidRPr="007D5CED">
        <w:rPr>
          <w:lang w:val="en-GB"/>
        </w:rPr>
        <w:t>Young people’s attitudes towards violence against women are shaped by the objectification and dehumanisation of women that is common in mainstream media, television, movies, music videos, video games, social media, internet pornography and other digital and online platforms (Beck et al., 2012; Bernstein et al., 2022; Fox &amp; Potocki, 2016; Kahlor, 2011; Rhodes et al., 2018; Seabrook et al., 2019). In particular, the accessibility of pornography and the normalisation of pornography use by</w:t>
      </w:r>
      <w:r w:rsidR="00C2563D">
        <w:rPr>
          <w:lang w:val="en-GB"/>
        </w:rPr>
        <w:t> </w:t>
      </w:r>
      <w:r w:rsidRPr="007D5CED">
        <w:rPr>
          <w:lang w:val="en-GB"/>
        </w:rPr>
        <w:t>young people has led to growing concerns about its potential impacts on young men’s mental health and young women’s risk of experiencing sexual violence (Crabbe &amp; Flood, 2021; Davis et al., 2021). Pornography that is violent or portrays women disrespectfully can create and reinforce a culture in</w:t>
      </w:r>
      <w:r w:rsidR="00C2563D">
        <w:rPr>
          <w:lang w:val="en-GB"/>
        </w:rPr>
        <w:t> </w:t>
      </w:r>
      <w:r w:rsidRPr="007D5CED">
        <w:rPr>
          <w:lang w:val="en-GB"/>
        </w:rPr>
        <w:t xml:space="preserve">which violence against women is acceptable (Tarzia &amp; Tyler, 2021). Pornography frequently contains objectifying and dehumanising portrayals of women and often includes scenes of women experiencing aggressive and violent acts carried out by one or more men (Tarzia &amp; Tyler, 2021). Pornography that draws on sexist and racist stereotypes can further harm women and minority groups (Benard, 2016). Additionally, some pornography involves harm to women during its production and individuals may use pornography to facilitate violence against women and children (DeKeseredy &amp; Hall-Sanchez, 2017; Sinnamon, 2017; Tarzia &amp; Tyler, 2021; Tyler, 2015; Vera-Gray et al., 2021; Winters et al., 2020). </w:t>
      </w:r>
    </w:p>
    <w:p w14:paraId="6FB5FCC6" w14:textId="77777777" w:rsidR="007D5CED" w:rsidRPr="007D5CED" w:rsidRDefault="007D5CED" w:rsidP="00445D8C">
      <w:pPr>
        <w:rPr>
          <w:lang w:val="en-GB"/>
        </w:rPr>
      </w:pPr>
      <w:r w:rsidRPr="007D5CED">
        <w:rPr>
          <w:lang w:val="en-GB"/>
        </w:rPr>
        <w:t>A recent Australian study found 81 per cent of male respondents aged 15 to 29 years have been exposed to pornography, with the median age of first exposure being 13 years old (Lim et al., 2017). Within this study, 39 per cent of young male respondents reported accessing pornography daily over the past year, compared with 4 per cent of young female respondents (Lim et al., 2017). The exposure of young people to sexist and violence-supportive content before they have developed a healthy gender and sexual identity may encourage misogynistic, violent “scripts” in young people’s own sexual behaviour and relationships (Davis et al., 2018; Flood, 2009; Martellozzo et al., 2016; Massey et al., 2021; Peterson et al., 2022). For example, research shows associations between young men’s pornography use, greater rape myth acceptance and objectification of women (Seabrook &amp; Ward, 2019). Further, consumption of aggressive or violent internet pornography has been associated with increased likelihood of perpetrating intimate partner violence (Beymer et al., 2021; Brem et al., 2021; DeKeseredy &amp; Hall-Sanchez, 2017; Tarzia, 2020).</w:t>
      </w:r>
    </w:p>
    <w:p w14:paraId="6B9EA148" w14:textId="7CB1DA9F" w:rsidR="00445D8C" w:rsidRDefault="007D5CED" w:rsidP="0084332B">
      <w:pPr>
        <w:pStyle w:val="Quote"/>
      </w:pPr>
      <w:r w:rsidRPr="007D5CED">
        <w:t>… it’s difficult to have a conversation about, you know, the influences on our attitudes of sex without addressing pornography, given that … more than half of</w:t>
      </w:r>
      <w:r w:rsidR="00C2563D">
        <w:t> </w:t>
      </w:r>
      <w:r w:rsidRPr="007D5CED">
        <w:t xml:space="preserve">the population are seeing pornography before they’re 13. And given how accessible it is … do people view pornography as real life? Do they take sex tips from the porn that they see? </w:t>
      </w:r>
    </w:p>
    <w:p w14:paraId="33AF3489" w14:textId="251F70E3" w:rsidR="007D5CED" w:rsidRPr="007D5CED" w:rsidRDefault="007D5CED" w:rsidP="0084332B">
      <w:pPr>
        <w:pStyle w:val="QuoteSignatureLine"/>
        <w:rPr>
          <w:rFonts w:ascii="Hind Medium" w:hAnsi="Hind Medium" w:cs="Hind Medium"/>
        </w:rPr>
      </w:pPr>
      <w:r w:rsidRPr="007D5CED">
        <w:t>– Youth Ambassador</w:t>
      </w:r>
    </w:p>
    <w:p w14:paraId="637F484E" w14:textId="77777777" w:rsidR="007D5CED" w:rsidRPr="007D5CED" w:rsidRDefault="007D5CED" w:rsidP="00445D8C">
      <w:pPr>
        <w:rPr>
          <w:lang w:val="en-GB"/>
        </w:rPr>
      </w:pPr>
      <w:r w:rsidRPr="007D5CED">
        <w:rPr>
          <w:lang w:val="en-GB"/>
        </w:rPr>
        <w:t xml:space="preserve">Additionally, less is understood about the complex impacts of emerging forms of online abuse, such as non-consensual sexting and the unsolicited sending and receiving of nude images (Stanley et al., 2018). Sexting has been found to be a key form of sexual harassment of women by men in younger age groups (Mishna et </w:t>
      </w:r>
      <w:r w:rsidRPr="007D5CED">
        <w:rPr>
          <w:lang w:val="en-GB"/>
        </w:rPr>
        <w:lastRenderedPageBreak/>
        <w:t>al., 2023; Smith, 2018). For example, one study found that 40 per cent of young women aged 18 to 36 years reported having been sent unsolicited nude images by male peers (Smith, 2018). Furthermore, receiving unwanted sexts or sending nude images under coercion has been linked to increased symptoms of depression, anxiety and stress, and lower self-esteem (Klettke et al., 2019).</w:t>
      </w:r>
    </w:p>
    <w:p w14:paraId="41DEF24B" w14:textId="0563C8BE" w:rsidR="00DF673B" w:rsidRDefault="007D5CED" w:rsidP="00445D8C">
      <w:pPr>
        <w:rPr>
          <w:lang w:val="en-GB"/>
        </w:rPr>
      </w:pPr>
      <w:r w:rsidRPr="007D5CED">
        <w:rPr>
          <w:lang w:val="en-GB"/>
        </w:rPr>
        <w:t>The detrimental impact of sexist and abusive digital content on young people highlights the importance</w:t>
      </w:r>
      <w:r w:rsidR="00C2563D">
        <w:rPr>
          <w:lang w:val="en-GB"/>
        </w:rPr>
        <w:t> </w:t>
      </w:r>
      <w:r w:rsidRPr="007D5CED">
        <w:rPr>
          <w:lang w:val="en-GB"/>
        </w:rPr>
        <w:t>of promoting safe and respectful digital environments and providing young people with age-appropriate education on sexual consent and healthy relationships. Such strategies have a role to</w:t>
      </w:r>
      <w:r w:rsidR="00C2563D">
        <w:rPr>
          <w:lang w:val="en-GB"/>
        </w:rPr>
        <w:t> </w:t>
      </w:r>
      <w:r w:rsidRPr="007D5CED">
        <w:rPr>
          <w:lang w:val="en-GB"/>
        </w:rPr>
        <w:t>play in both facilitating young people’s wellbeing and changing the culture underlying violence against</w:t>
      </w:r>
      <w:r w:rsidR="00C2563D">
        <w:rPr>
          <w:lang w:val="en-GB"/>
        </w:rPr>
        <w:t> </w:t>
      </w:r>
      <w:r w:rsidRPr="007D5CED">
        <w:rPr>
          <w:lang w:val="en-GB"/>
        </w:rPr>
        <w:t>women.</w:t>
      </w:r>
    </w:p>
    <w:p w14:paraId="5C5ABEF2" w14:textId="75BF2ED5" w:rsidR="007D5CED" w:rsidRPr="007D5CED" w:rsidRDefault="007D5CED" w:rsidP="00DC3FE8">
      <w:pPr>
        <w:pStyle w:val="Heading3"/>
      </w:pPr>
      <w:bookmarkStart w:id="54" w:name="_Toc152532376"/>
      <w:bookmarkStart w:id="55" w:name="_Toc190941662"/>
      <w:bookmarkStart w:id="56" w:name="_Toc190942362"/>
      <w:r w:rsidRPr="007D5CED">
        <w:t>1.5</w:t>
      </w:r>
      <w:r w:rsidR="00F514E2">
        <w:t xml:space="preserve"> </w:t>
      </w:r>
      <w:r w:rsidRPr="007D5CED">
        <w:t>The impact of COVID-19 on young Australians</w:t>
      </w:r>
      <w:bookmarkEnd w:id="54"/>
      <w:bookmarkEnd w:id="55"/>
      <w:bookmarkEnd w:id="56"/>
      <w:r w:rsidRPr="007D5CED">
        <w:t xml:space="preserve"> </w:t>
      </w:r>
    </w:p>
    <w:p w14:paraId="205C3058" w14:textId="1D255C6D" w:rsidR="007D5CED" w:rsidRPr="007D5CED" w:rsidRDefault="007D5CED" w:rsidP="00445D8C">
      <w:pPr>
        <w:rPr>
          <w:lang w:val="en-GB"/>
        </w:rPr>
      </w:pPr>
      <w:r w:rsidRPr="007D5CED">
        <w:rPr>
          <w:lang w:val="en-GB"/>
        </w:rPr>
        <w:t>Key events in Australia and globally since the 2017 NCAS have amplified attention to violence against women. Notably, the balance of evidence indicates that the COVID-19 pandemic exacerbated violence against women and its adverse impacts (AIHW, 2021; Boxall &amp; Morgan, 2021; Dalton, 2020; Drotning</w:t>
      </w:r>
      <w:r w:rsidR="00A54F9F">
        <w:rPr>
          <w:lang w:val="en-GB"/>
        </w:rPr>
        <w:t> </w:t>
      </w:r>
      <w:r w:rsidRPr="007D5CED">
        <w:rPr>
          <w:lang w:val="en-GB"/>
        </w:rPr>
        <w:t>et</w:t>
      </w:r>
      <w:r w:rsidR="00A54F9F">
        <w:rPr>
          <w:lang w:val="en-GB"/>
        </w:rPr>
        <w:t> </w:t>
      </w:r>
      <w:r w:rsidRPr="007D5CED">
        <w:rPr>
          <w:lang w:val="en-GB"/>
        </w:rPr>
        <w:t>al., 2023; Gosangi et al., 2020; Kourti et al., 2021).</w:t>
      </w:r>
      <w:r w:rsidRPr="007D5CED">
        <w:rPr>
          <w:vertAlign w:val="superscript"/>
          <w:lang w:val="en-GB"/>
        </w:rPr>
        <w:footnoteReference w:id="4"/>
      </w:r>
      <w:r w:rsidRPr="007D5CED">
        <w:rPr>
          <w:lang w:val="en-GB"/>
        </w:rPr>
        <w:t xml:space="preserve"> </w:t>
      </w:r>
    </w:p>
    <w:p w14:paraId="4EC93936" w14:textId="68F5B3F6" w:rsidR="00445D8C" w:rsidRPr="00C2563D" w:rsidRDefault="007D5CED" w:rsidP="0084332B">
      <w:pPr>
        <w:pStyle w:val="Quote"/>
      </w:pPr>
      <w:r w:rsidRPr="00C2563D">
        <w:t>I think also, in a weird way, [the pandemic] sort of sense-checked a lot of</w:t>
      </w:r>
      <w:r w:rsidR="00C2563D" w:rsidRPr="00C2563D">
        <w:t> </w:t>
      </w:r>
      <w:r w:rsidRPr="00C2563D">
        <w:t>experiences for people. Like, it allowed them to check in with friends and family. And there was a lot more discussion on actually what you're going through. ”Is that OK?” And “that’s not normal”. I</w:t>
      </w:r>
      <w:r w:rsidR="00B95F39" w:rsidRPr="00C2563D">
        <w:t xml:space="preserve"> </w:t>
      </w:r>
      <w:r w:rsidRPr="00C2563D">
        <w:t>think it gave people an opportunity to realise their experiences were not acceptable because I think pre</w:t>
      </w:r>
      <w:r w:rsidRPr="00C2563D">
        <w:rPr>
          <w:rFonts w:ascii="Cambria Math" w:hAnsi="Cambria Math" w:cs="Cambria Math"/>
        </w:rPr>
        <w:t>‑</w:t>
      </w:r>
      <w:r w:rsidRPr="00C2563D">
        <w:t>pandemic there is just a lot of, like, “oh, he’s just being cute” or “he just misses me” or, you know, it’s just that sort of attitude that I was seeing. Or even with queer relationships, like, they’re just, you know, “they missed me” or “they’re</w:t>
      </w:r>
      <w:r w:rsidR="00B95F39" w:rsidRPr="00C2563D">
        <w:t xml:space="preserve"> </w:t>
      </w:r>
      <w:r w:rsidRPr="00C2563D">
        <w:t>just expressing themselves.”</w:t>
      </w:r>
    </w:p>
    <w:p w14:paraId="0BB75F10" w14:textId="18A4BA51" w:rsidR="007D5CED" w:rsidRPr="007D5CED" w:rsidRDefault="007D5CED" w:rsidP="0084332B">
      <w:pPr>
        <w:pStyle w:val="QuoteSignatureLine"/>
      </w:pPr>
      <w:r w:rsidRPr="007D5CED">
        <w:t>– Youth Ambassador</w:t>
      </w:r>
    </w:p>
    <w:p w14:paraId="14C69A0B" w14:textId="7787D494" w:rsidR="007D5CED" w:rsidRPr="007D5CED" w:rsidRDefault="007D5CED" w:rsidP="00B95F39">
      <w:pPr>
        <w:rPr>
          <w:lang w:val="en-GB"/>
        </w:rPr>
      </w:pPr>
      <w:r w:rsidRPr="007D5CED">
        <w:rPr>
          <w:lang w:val="en-GB"/>
        </w:rPr>
        <w:t>During the pandemic, young Australians’ increased use of digital technologies was found to surpass usage by older cohorts (Australian Communications and Media Authority, 2021). Both negative and positive impacts of this increased digital activity were reported. For example, greater use of social media by young people was linked to increased cyberbullying, sexting, sexual comments on pictures shared online by girls and pornography consumption (Islam et al., 2020; Mkhize &amp; Gopal, 2021). At the same time, young Australians’ use of digital technologies was also reported to have some positive impacts. An Australian study found that young people used social media during the pandemic for suicide-related help-seeking and offering peers online support (Bailey et al., 2022). Additionally, young Indigenous Australians’ use of and access to digital technologies during the pandemic was found to</w:t>
      </w:r>
      <w:r w:rsidR="00C2563D">
        <w:rPr>
          <w:lang w:val="en-GB"/>
        </w:rPr>
        <w:t> </w:t>
      </w:r>
      <w:r w:rsidRPr="007D5CED">
        <w:rPr>
          <w:lang w:val="en-GB"/>
        </w:rPr>
        <w:t xml:space="preserve">assist with their connection to culture, community and Country, and promoted positive mental health and wellbeing (Walker et al., 2021). </w:t>
      </w:r>
    </w:p>
    <w:p w14:paraId="22105870" w14:textId="7D7D4114" w:rsidR="007D5CED" w:rsidRPr="007D5CED" w:rsidRDefault="007D5CED" w:rsidP="00B95F39">
      <w:pPr>
        <w:rPr>
          <w:lang w:val="en-GB"/>
        </w:rPr>
      </w:pPr>
      <w:r w:rsidRPr="007D5CED">
        <w:rPr>
          <w:lang w:val="en-GB"/>
        </w:rPr>
        <w:t>These findings again highlight the impacts digital technologies can have on young people and the potential for using technology to foster healthy relationships and attitudes towards violence against</w:t>
      </w:r>
      <w:r w:rsidR="00C2563D">
        <w:rPr>
          <w:lang w:val="en-GB"/>
        </w:rPr>
        <w:t> </w:t>
      </w:r>
      <w:r w:rsidRPr="007D5CED">
        <w:rPr>
          <w:lang w:val="en-GB"/>
        </w:rPr>
        <w:t xml:space="preserve">women. </w:t>
      </w:r>
    </w:p>
    <w:p w14:paraId="681D7C41" w14:textId="0C934378" w:rsidR="007D5CED" w:rsidRPr="007D5CED" w:rsidRDefault="007D5CED" w:rsidP="00DC3FE8">
      <w:pPr>
        <w:pStyle w:val="Heading3"/>
      </w:pPr>
      <w:bookmarkStart w:id="57" w:name="_Toc152532377"/>
      <w:bookmarkStart w:id="58" w:name="_Toc190941663"/>
      <w:bookmarkStart w:id="59" w:name="_Toc190942363"/>
      <w:r w:rsidRPr="007D5CED">
        <w:t>1.6</w:t>
      </w:r>
      <w:r w:rsidR="00F514E2">
        <w:t xml:space="preserve"> </w:t>
      </w:r>
      <w:r w:rsidRPr="007D5CED">
        <w:t>Prevention of violence against women</w:t>
      </w:r>
      <w:bookmarkEnd w:id="57"/>
      <w:bookmarkEnd w:id="58"/>
      <w:bookmarkEnd w:id="59"/>
    </w:p>
    <w:p w14:paraId="4E34B2F6" w14:textId="275DF635" w:rsidR="007D5CED" w:rsidRPr="007D5CED" w:rsidRDefault="007D5CED" w:rsidP="00B95F39">
      <w:pPr>
        <w:rPr>
          <w:lang w:val="en-GB"/>
        </w:rPr>
      </w:pPr>
      <w:r w:rsidRPr="007D5CED">
        <w:rPr>
          <w:lang w:val="en-GB"/>
        </w:rPr>
        <w:t>The impacts of violence against women can be reduced by taking decisive action to prevent violence before it starts, intervening early, responding appropriately to violence when it occurs, and supporting recovery and healing (DSS, 2022). Ending violence against women requires addressing the range of</w:t>
      </w:r>
      <w:r w:rsidR="000978F5">
        <w:rPr>
          <w:lang w:val="en-GB"/>
        </w:rPr>
        <w:t> </w:t>
      </w:r>
      <w:r w:rsidRPr="007D5CED">
        <w:rPr>
          <w:lang w:val="en-GB"/>
        </w:rPr>
        <w:t xml:space="preserve">oppressions that drive and reinforce violence against women, including violence against the most marginalised groups of women who remain overrepresented in victimisation data and who confront unique challenges in accessing </w:t>
      </w:r>
      <w:r w:rsidRPr="007D5CED">
        <w:rPr>
          <w:lang w:val="en-GB"/>
        </w:rPr>
        <w:lastRenderedPageBreak/>
        <w:t>support and assistance (Kulkarni, 2019; Morgan et al., 2016; Our Watch, 2021a; Sokoloff &amp; Dupont, 2005; Thiara et al., 2011).</w:t>
      </w:r>
    </w:p>
    <w:p w14:paraId="56C2700A" w14:textId="58C573A8" w:rsidR="007D5CED" w:rsidRPr="007D5CED" w:rsidRDefault="007D5CED" w:rsidP="00B95F39">
      <w:pPr>
        <w:rPr>
          <w:lang w:val="en-GB"/>
        </w:rPr>
      </w:pPr>
      <w:r w:rsidRPr="007D5CED">
        <w:rPr>
          <w:lang w:val="en-GB"/>
        </w:rPr>
        <w:t>As outlined in the National Plan 2022–2032, initiatives for preventing violence against women can be</w:t>
      </w:r>
      <w:r w:rsidR="000978F5">
        <w:rPr>
          <w:lang w:val="en-GB"/>
        </w:rPr>
        <w:t> </w:t>
      </w:r>
      <w:r w:rsidRPr="007D5CED">
        <w:rPr>
          <w:lang w:val="en-GB"/>
        </w:rPr>
        <w:t xml:space="preserve">divided into four types (DSS, 2022; Our Watch, 2021a; VicHealth, 2017): </w:t>
      </w:r>
    </w:p>
    <w:p w14:paraId="7C512651" w14:textId="77777777" w:rsidR="007D5CED" w:rsidRPr="007D5CED" w:rsidRDefault="007D5CED" w:rsidP="00B95F39">
      <w:pPr>
        <w:pStyle w:val="ListBullet"/>
        <w:rPr>
          <w:lang w:val="en-GB"/>
        </w:rPr>
      </w:pPr>
      <w:r w:rsidRPr="00DB4795">
        <w:rPr>
          <w:rStyle w:val="Emphasis"/>
          <w:lang w:val="en-US"/>
        </w:rPr>
        <w:t xml:space="preserve">prevention </w:t>
      </w:r>
      <w:r w:rsidRPr="007D5CED">
        <w:rPr>
          <w:lang w:val="en-GB"/>
        </w:rPr>
        <w:t>(also described as primary prevention) – working to change the underlying social drivers of violence by addressing the attitudes and systems that drive violence against women and children to stop it before it starts</w:t>
      </w:r>
    </w:p>
    <w:p w14:paraId="5037E6D6" w14:textId="77777777" w:rsidR="007D5CED" w:rsidRPr="007D5CED" w:rsidRDefault="007D5CED" w:rsidP="00B95F39">
      <w:pPr>
        <w:pStyle w:val="ListBullet"/>
        <w:rPr>
          <w:lang w:val="en-GB"/>
        </w:rPr>
      </w:pPr>
      <w:r w:rsidRPr="00DB4795">
        <w:rPr>
          <w:rStyle w:val="Emphasis"/>
          <w:lang w:val="en-US"/>
        </w:rPr>
        <w:t xml:space="preserve">early intervention </w:t>
      </w:r>
      <w:r w:rsidRPr="007D5CED">
        <w:rPr>
          <w:lang w:val="en-GB"/>
        </w:rPr>
        <w:t>(also described as secondary prevention) – identifying and supporting individuals who are at high risk of experiencing or perpetrating violence and preventing violence from escalating or reoccurring</w:t>
      </w:r>
    </w:p>
    <w:p w14:paraId="0B9F91DD" w14:textId="77777777" w:rsidR="007D5CED" w:rsidRPr="007D5CED" w:rsidRDefault="007D5CED" w:rsidP="00B95F39">
      <w:pPr>
        <w:pStyle w:val="ListBullet"/>
        <w:rPr>
          <w:lang w:val="en-GB"/>
        </w:rPr>
      </w:pPr>
      <w:r w:rsidRPr="00DB4795">
        <w:rPr>
          <w:rStyle w:val="Emphasis"/>
          <w:lang w:val="en-US"/>
        </w:rPr>
        <w:t xml:space="preserve">response </w:t>
      </w:r>
      <w:r w:rsidRPr="007D5CED">
        <w:rPr>
          <w:lang w:val="en-GB"/>
        </w:rPr>
        <w:t>(also described as tertiary prevention) – providing services and supports to address existing violence, and support victims and survivors experiencing violence, including via crisis support and police intervention, and fostering a trauma-informed justice system that will hold people who use violence to account</w:t>
      </w:r>
    </w:p>
    <w:p w14:paraId="03AB70E7" w14:textId="43F3A9EA" w:rsidR="007D5CED" w:rsidRPr="007D5CED" w:rsidRDefault="007D5CED" w:rsidP="00B95F39">
      <w:pPr>
        <w:pStyle w:val="ListBullet"/>
        <w:rPr>
          <w:vertAlign w:val="superscript"/>
          <w:lang w:val="en-GB"/>
        </w:rPr>
      </w:pPr>
      <w:r w:rsidRPr="00DB4795">
        <w:rPr>
          <w:rStyle w:val="Emphasis"/>
          <w:lang w:val="en-US"/>
        </w:rPr>
        <w:t xml:space="preserve">recovery and healing </w:t>
      </w:r>
      <w:r w:rsidRPr="007D5CED">
        <w:rPr>
          <w:lang w:val="en-GB"/>
        </w:rPr>
        <w:t>(also described as tertiary prevention) – helping to reduce the risk of victim and</w:t>
      </w:r>
      <w:r w:rsidR="000978F5">
        <w:rPr>
          <w:lang w:val="en-GB"/>
        </w:rPr>
        <w:t> </w:t>
      </w:r>
      <w:r w:rsidRPr="007D5CED">
        <w:rPr>
          <w:lang w:val="en-GB"/>
        </w:rPr>
        <w:t>survivor re-traumatisation and supporting victims and survivors to be safe and healthy, and</w:t>
      </w:r>
      <w:r w:rsidR="000978F5">
        <w:rPr>
          <w:lang w:val="en-GB"/>
        </w:rPr>
        <w:t> </w:t>
      </w:r>
      <w:r w:rsidRPr="007D5CED">
        <w:rPr>
          <w:lang w:val="en-GB"/>
        </w:rPr>
        <w:t>to</w:t>
      </w:r>
      <w:r w:rsidR="000978F5">
        <w:rPr>
          <w:lang w:val="en-GB"/>
        </w:rPr>
        <w:t> </w:t>
      </w:r>
      <w:r w:rsidRPr="007D5CED">
        <w:rPr>
          <w:lang w:val="en-GB"/>
        </w:rPr>
        <w:t>recover from trauma and the physical, mental, emotional and economic impacts of violence (DSS, 2022).</w:t>
      </w:r>
      <w:r w:rsidRPr="007D5CED">
        <w:rPr>
          <w:vertAlign w:val="superscript"/>
          <w:lang w:val="en-GB"/>
        </w:rPr>
        <w:footnoteReference w:id="5"/>
      </w:r>
    </w:p>
    <w:p w14:paraId="6317086F" w14:textId="77777777" w:rsidR="007D5CED" w:rsidRPr="007D5CED" w:rsidRDefault="007D5CED" w:rsidP="0084332B">
      <w:pPr>
        <w:pStyle w:val="Heading4"/>
      </w:pPr>
      <w:r w:rsidRPr="007D5CED">
        <w:t>Young Australians as change agents</w:t>
      </w:r>
    </w:p>
    <w:p w14:paraId="541D0C18" w14:textId="41D10540" w:rsidR="000978F5" w:rsidRPr="00BC015D" w:rsidRDefault="007D5CED" w:rsidP="00BC015D">
      <w:pPr>
        <w:rPr>
          <w:lang w:val="en-GB"/>
        </w:rPr>
      </w:pPr>
      <w:r w:rsidRPr="007D5CED">
        <w:rPr>
          <w:lang w:val="en-GB"/>
        </w:rPr>
        <w:t>As noted above, young people are a key demographic group who could play a critical role in shaping a</w:t>
      </w:r>
      <w:r w:rsidR="000978F5">
        <w:rPr>
          <w:lang w:val="en-GB"/>
        </w:rPr>
        <w:t> </w:t>
      </w:r>
      <w:r w:rsidRPr="007D5CED">
        <w:rPr>
          <w:lang w:val="en-GB"/>
        </w:rPr>
        <w:t xml:space="preserve">culture that rejects violence against women and fosters gender equality (Hindin, 2014; Landry et al., 2020; S. Taylor et al., 2017). Young people are at a unique life stage encompassing wide-ranging physical and psychosocial development, when they are gaining independence, forming relationships and cementing their values and attitudes regarding important social issues, including violence against women and gender equality (Patton et al., 2016). When empowered, young people can be powerful catalysts as agents of social change in the area of violence against women, as active participants, advocates, peer leaders and educators (Struthers et al., 2019). Examples of young Australian advocates for reducing violence against women include Grace Tame (Australian of the Year in 2021), Brittany Higgins, Chanel Contos, Conor Pall, Dhanya Mani, Saxon Mullins, Tarang Chawla and Yasmin Poole, among others (e.g. Arrow, 2022; Chawla, 2023; Farid, 2022; Fitzsimons, 2021; Pall, 2023; Ross, 2022; Teach Us Consent, 2021; Tuohy, 2022; Turnbull, 2022). The advocacy of young people has been instrumental in ensuring that violence against women does not slip from the broader Australian consciousness, and garners powerful grassroots support for change (Struthers et al., 2019). </w:t>
      </w:r>
      <w:bookmarkStart w:id="60" w:name="_Toc152532378"/>
    </w:p>
    <w:p w14:paraId="202217E6" w14:textId="039BFB08" w:rsidR="007D5CED" w:rsidRPr="007D5CED" w:rsidRDefault="007D5CED" w:rsidP="00DC3FE8">
      <w:pPr>
        <w:pStyle w:val="Heading3"/>
      </w:pPr>
      <w:bookmarkStart w:id="61" w:name="_Toc190941664"/>
      <w:bookmarkStart w:id="62" w:name="_Toc190942364"/>
      <w:r w:rsidRPr="007D5CED">
        <w:t>1.7</w:t>
      </w:r>
      <w:r w:rsidR="00BC015D">
        <w:t xml:space="preserve"> </w:t>
      </w:r>
      <w:r w:rsidRPr="007D5CED">
        <w:t>Previous NCAS findings on young Australians’ attitudes towards violence against women</w:t>
      </w:r>
      <w:bookmarkEnd w:id="60"/>
      <w:bookmarkEnd w:id="61"/>
      <w:bookmarkEnd w:id="62"/>
    </w:p>
    <w:p w14:paraId="56FB9DA2" w14:textId="27FE79F6" w:rsidR="007D5CED" w:rsidRPr="007D5CED" w:rsidRDefault="007D5CED" w:rsidP="00B95F39">
      <w:pPr>
        <w:rPr>
          <w:lang w:val="en-GB"/>
        </w:rPr>
      </w:pPr>
      <w:r w:rsidRPr="007D5CED">
        <w:rPr>
          <w:lang w:val="en-GB"/>
        </w:rPr>
        <w:t>The 2017 NCAS found a few differences between young and other respondents in their understanding of the nature of violence against women. Although young respondents’ overall understanding of</w:t>
      </w:r>
      <w:r w:rsidR="000978F5">
        <w:rPr>
          <w:lang w:val="en-GB"/>
        </w:rPr>
        <w:t> </w:t>
      </w:r>
      <w:r w:rsidRPr="007D5CED">
        <w:rPr>
          <w:lang w:val="en-GB"/>
        </w:rPr>
        <w:t>violence had improved, they had lower recognition of non-physical forms of violence than respondents 25 to 64 years of age (Politoff et al., 2019). In addition, young respondents showed a</w:t>
      </w:r>
      <w:r w:rsidR="000978F5">
        <w:rPr>
          <w:lang w:val="en-GB"/>
        </w:rPr>
        <w:t> </w:t>
      </w:r>
      <w:r w:rsidRPr="007D5CED">
        <w:rPr>
          <w:lang w:val="en-GB"/>
        </w:rPr>
        <w:t>decline over time in their understanding of the gendered nature of domestic violence as a phenomenon mainly perpetrated by men against women. While all age groups showed this decline, it</w:t>
      </w:r>
      <w:r w:rsidR="000978F5">
        <w:rPr>
          <w:lang w:val="en-GB"/>
        </w:rPr>
        <w:t> </w:t>
      </w:r>
      <w:r w:rsidRPr="007D5CED">
        <w:rPr>
          <w:lang w:val="en-GB"/>
        </w:rPr>
        <w:t>was more marked for young respondents (Politoff et al., 2019). Young respondents were also less likely than others to say they would intervene if they witnessed abuse or disrespect towards women.</w:t>
      </w:r>
    </w:p>
    <w:p w14:paraId="0DDB29D8" w14:textId="0A15805C" w:rsidR="007D5CED" w:rsidRPr="007D5CED" w:rsidRDefault="007D5CED" w:rsidP="00B95F39">
      <w:pPr>
        <w:rPr>
          <w:lang w:val="en-GB"/>
        </w:rPr>
      </w:pPr>
      <w:r w:rsidRPr="007D5CED">
        <w:rPr>
          <w:lang w:val="en-GB"/>
        </w:rPr>
        <w:t xml:space="preserve">A mixed-methods investigation by Carlisle et al., (2022) delved further into the 2017 NCAS findings regarding young Australians’ understanding of domestic violence. This study revealed that young people had a </w:t>
      </w:r>
      <w:r w:rsidRPr="007D5CED">
        <w:rPr>
          <w:lang w:val="en-GB"/>
        </w:rPr>
        <w:lastRenderedPageBreak/>
        <w:t>nuanced understanding of domestic violence as a “snowballing” or escalating pattern of</w:t>
      </w:r>
      <w:r w:rsidR="000978F5">
        <w:rPr>
          <w:lang w:val="en-GB"/>
        </w:rPr>
        <w:t> </w:t>
      </w:r>
      <w:r w:rsidRPr="007D5CED">
        <w:rPr>
          <w:lang w:val="en-GB"/>
        </w:rPr>
        <w:t>multiple abusive and violent behaviours. Further, they felt that “domestic violence and abuse” was a</w:t>
      </w:r>
      <w:r w:rsidR="000978F5">
        <w:rPr>
          <w:lang w:val="en-GB"/>
        </w:rPr>
        <w:t> </w:t>
      </w:r>
      <w:r w:rsidRPr="007D5CED">
        <w:rPr>
          <w:lang w:val="en-GB"/>
        </w:rPr>
        <w:t>better term than “domestic violence” for capturing the range of physical and non-physical behaviours involved. Despite this nuanced understanding of domestic violence, the Carlisle et al., (2022) study also provided insights about the gaps in young people’s understanding of the gendered nature of domestic violence. They conceptualised domestic violence through a “gender-ignoring lens” influenced by</w:t>
      </w:r>
      <w:r w:rsidR="000978F5">
        <w:rPr>
          <w:lang w:val="en-GB"/>
        </w:rPr>
        <w:t> </w:t>
      </w:r>
      <w:r w:rsidRPr="007D5CED">
        <w:rPr>
          <w:lang w:val="en-GB"/>
        </w:rPr>
        <w:t>an</w:t>
      </w:r>
      <w:r w:rsidR="000978F5">
        <w:rPr>
          <w:lang w:val="en-GB"/>
        </w:rPr>
        <w:t> </w:t>
      </w:r>
      <w:r w:rsidRPr="007D5CED">
        <w:rPr>
          <w:lang w:val="en-GB"/>
        </w:rPr>
        <w:t>idealised notion of gender equality rather than through an understanding of the existing structural inequalities that result in women being the predominant victims of domestic violence and</w:t>
      </w:r>
      <w:r w:rsidR="000978F5">
        <w:rPr>
          <w:lang w:val="en-GB"/>
        </w:rPr>
        <w:t> </w:t>
      </w:r>
      <w:r w:rsidRPr="007D5CED">
        <w:rPr>
          <w:lang w:val="en-GB"/>
        </w:rPr>
        <w:t>men the main perpetrators.</w:t>
      </w:r>
    </w:p>
    <w:p w14:paraId="2BE0FCB7" w14:textId="77777777" w:rsidR="007D5CED" w:rsidRPr="007D5CED" w:rsidRDefault="007D5CED" w:rsidP="0084332B">
      <w:pPr>
        <w:pStyle w:val="Heading4"/>
      </w:pPr>
      <w:r w:rsidRPr="007D5CED">
        <w:t>Findings in the 2021 NCAS Main report on young Australians’ attitudes towards violence against women</w:t>
      </w:r>
    </w:p>
    <w:p w14:paraId="0382F477" w14:textId="3C59E3EE" w:rsidR="007D5CED" w:rsidRPr="007D5CED" w:rsidRDefault="007D5CED" w:rsidP="00B95F39">
      <w:pPr>
        <w:rPr>
          <w:lang w:val="en-GB"/>
        </w:rPr>
      </w:pPr>
      <w:r w:rsidRPr="007D5CED">
        <w:rPr>
          <w:lang w:val="en-GB"/>
        </w:rPr>
        <w:t>The Main report on the 2021 NCAS by Coumarelos, Weeks, et al., (2023a) focuses on the results for Australia as a whole, but also provides some age comparisons. As outlined in the Main report, demographic factors such as age and gender were associated with understanding and attitudes regarding violence against women and gender inequality. However, demographic factors only explained a portion of the picture, indicating that other factors are also important in shaping this understanding and these attitudes.</w:t>
      </w:r>
    </w:p>
    <w:p w14:paraId="51E93E17" w14:textId="2C053BD3" w:rsidR="007D5CED" w:rsidRPr="007D5CED" w:rsidRDefault="007D5CED" w:rsidP="00B95F39">
      <w:pPr>
        <w:rPr>
          <w:lang w:val="en-GB"/>
        </w:rPr>
      </w:pPr>
      <w:r w:rsidRPr="007D5CED">
        <w:rPr>
          <w:lang w:val="en-GB"/>
        </w:rPr>
        <w:t>Regarding young people’s understanding and attitudes, based on multiple regression analyses, the</w:t>
      </w:r>
      <w:r w:rsidR="000978F5">
        <w:rPr>
          <w:lang w:val="en-GB"/>
        </w:rPr>
        <w:t> </w:t>
      </w:r>
      <w:r w:rsidRPr="007D5CED">
        <w:rPr>
          <w:lang w:val="en-GB"/>
        </w:rPr>
        <w:t xml:space="preserve">Main report concludes that: </w:t>
      </w:r>
    </w:p>
    <w:p w14:paraId="7BFFCF6B" w14:textId="77777777" w:rsidR="007D5CED" w:rsidRPr="007D5CED" w:rsidRDefault="007D5CED" w:rsidP="00B95F39">
      <w:pPr>
        <w:pStyle w:val="ListBullet"/>
        <w:rPr>
          <w:lang w:val="en-GB"/>
        </w:rPr>
      </w:pPr>
      <w:r w:rsidRPr="007D5CED">
        <w:rPr>
          <w:lang w:val="en-GB"/>
        </w:rPr>
        <w:t xml:space="preserve">Young respondents aged 16 to 24 years had similar understanding and rejection of violence against women and similar rejection of gender inequality to respondents aged 25 years or older. </w:t>
      </w:r>
    </w:p>
    <w:p w14:paraId="1FC53EA0" w14:textId="02B3C1A0" w:rsidR="007D5CED" w:rsidRPr="007D5CED" w:rsidRDefault="007D5CED" w:rsidP="00B95F39">
      <w:pPr>
        <w:pStyle w:val="ListBullet"/>
        <w:rPr>
          <w:lang w:val="en-GB"/>
        </w:rPr>
      </w:pPr>
      <w:r w:rsidRPr="007D5CED">
        <w:rPr>
          <w:lang w:val="en-GB"/>
        </w:rPr>
        <w:t>Young respondents aged 16 to 24 years were less likely than all ages on average to intend to</w:t>
      </w:r>
      <w:r w:rsidR="000978F5">
        <w:rPr>
          <w:lang w:val="en-GB"/>
        </w:rPr>
        <w:t> </w:t>
      </w:r>
      <w:r w:rsidRPr="007D5CED">
        <w:rPr>
          <w:lang w:val="en-GB"/>
        </w:rPr>
        <w:t xml:space="preserve">intervene as prosocial bystanders if a boss told a sexist joke, even though they were more likely to be bothered by sexist jokes. </w:t>
      </w:r>
    </w:p>
    <w:p w14:paraId="6D003240" w14:textId="77777777" w:rsidR="007D5CED" w:rsidRPr="007D5CED" w:rsidRDefault="007D5CED" w:rsidP="00B95F39">
      <w:pPr>
        <w:rPr>
          <w:lang w:val="en-GB"/>
        </w:rPr>
      </w:pPr>
      <w:r w:rsidRPr="007D5CED">
        <w:rPr>
          <w:lang w:val="en-GB"/>
        </w:rPr>
        <w:t xml:space="preserve">The NCAS findings to date provide valuable insights for primary prevention initiatives with young Australians. For example, they highlight the importance of education initiatives with young Australians to increase understanding of the non-physical forms of violence against women and of the gendered nature of domestic violence and the structural inequalities that underpin it. The findings also emphasise the need for interventions to build young people’s confidence in acting as prosocial bystanders when they witness disrespect or abuse of women. </w:t>
      </w:r>
    </w:p>
    <w:p w14:paraId="016F1E99" w14:textId="7CAF01D9" w:rsidR="00B95F39" w:rsidRPr="00BC015D" w:rsidRDefault="007D5CED" w:rsidP="00BC015D">
      <w:pPr>
        <w:rPr>
          <w:lang w:val="en-GB"/>
        </w:rPr>
      </w:pPr>
      <w:r w:rsidRPr="007D5CED">
        <w:rPr>
          <w:lang w:val="en-GB"/>
        </w:rPr>
        <w:t>The present report details more granular analysis of the 2021 NCAS findings on young Australians’ understanding and attitudes regarding violence against women and gender inequality. The Main report</w:t>
      </w:r>
      <w:r w:rsidR="000978F5">
        <w:rPr>
          <w:lang w:val="en-GB"/>
        </w:rPr>
        <w:t> </w:t>
      </w:r>
      <w:r w:rsidRPr="007D5CED">
        <w:rPr>
          <w:lang w:val="en-GB"/>
        </w:rPr>
        <w:t>presents key differences between age groups based on overall measures of understanding and</w:t>
      </w:r>
      <w:r w:rsidR="000978F5">
        <w:rPr>
          <w:lang w:val="en-GB"/>
        </w:rPr>
        <w:t> </w:t>
      </w:r>
      <w:r w:rsidRPr="007D5CED">
        <w:rPr>
          <w:lang w:val="en-GB"/>
        </w:rPr>
        <w:t>attitudes (i.e. scale measures that combine multiple questions to measure an overall concept). The</w:t>
      </w:r>
      <w:r w:rsidR="000978F5">
        <w:rPr>
          <w:lang w:val="en-GB"/>
        </w:rPr>
        <w:t> </w:t>
      </w:r>
      <w:r w:rsidRPr="007D5CED">
        <w:rPr>
          <w:lang w:val="en-GB"/>
        </w:rPr>
        <w:t>present report builds on this by exploring the heterogeneity within the group of young people and</w:t>
      </w:r>
      <w:r w:rsidR="000978F5">
        <w:rPr>
          <w:lang w:val="en-GB"/>
        </w:rPr>
        <w:t> </w:t>
      </w:r>
      <w:r w:rsidRPr="007D5CED">
        <w:rPr>
          <w:lang w:val="en-GB"/>
        </w:rPr>
        <w:t>the predictors of their attitudes and understanding. This report also drills down to examine how young people differ from other age groups on specific</w:t>
      </w:r>
      <w:r w:rsidR="003F45A1">
        <w:rPr>
          <w:lang w:val="en-GB"/>
        </w:rPr>
        <w:t xml:space="preserve"> </w:t>
      </w:r>
      <w:r w:rsidRPr="007D5CED">
        <w:rPr>
          <w:lang w:val="en-GB"/>
        </w:rPr>
        <w:t>aspects of understanding and attitudes (e.g.</w:t>
      </w:r>
      <w:r w:rsidR="000978F5">
        <w:rPr>
          <w:lang w:val="en-GB"/>
        </w:rPr>
        <w:t> </w:t>
      </w:r>
      <w:r w:rsidRPr="007D5CED">
        <w:rPr>
          <w:lang w:val="en-GB"/>
        </w:rPr>
        <w:t>as</w:t>
      </w:r>
      <w:r w:rsidR="000978F5">
        <w:rPr>
          <w:lang w:val="en-GB"/>
        </w:rPr>
        <w:t> </w:t>
      </w:r>
      <w:r w:rsidRPr="007D5CED">
        <w:rPr>
          <w:lang w:val="en-GB"/>
        </w:rPr>
        <w:t>measured by individual survey questions). These analyses provide additional evidence for further informing education and prevention initiatives with young Australians to promote gender equality and reduce violence against women.</w:t>
      </w:r>
    </w:p>
    <w:bookmarkStart w:id="63" w:name="_Toc152532379"/>
    <w:bookmarkStart w:id="64" w:name="_Toc190941665"/>
    <w:bookmarkStart w:id="65" w:name="_Toc190942365"/>
    <w:p w14:paraId="01EC1E43" w14:textId="55D91355" w:rsidR="007D5CED" w:rsidRDefault="003B6E5B" w:rsidP="008C29F3">
      <w:pPr>
        <w:pStyle w:val="H2SectionTitle"/>
      </w:pPr>
      <w:r>
        <w:rPr>
          <w:noProof/>
        </w:rPr>
        <w:lastRenderedPageBreak/>
        <mc:AlternateContent>
          <mc:Choice Requires="wps">
            <w:drawing>
              <wp:anchor distT="0" distB="0" distL="114300" distR="114300" simplePos="0" relativeHeight="251658256" behindDoc="0" locked="0" layoutInCell="1" allowOverlap="1" wp14:anchorId="22E3A337" wp14:editId="52D52429">
                <wp:simplePos x="0" y="0"/>
                <wp:positionH relativeFrom="column">
                  <wp:posOffset>5124</wp:posOffset>
                </wp:positionH>
                <wp:positionV relativeFrom="paragraph">
                  <wp:posOffset>109</wp:posOffset>
                </wp:positionV>
                <wp:extent cx="382138" cy="382138"/>
                <wp:effectExtent l="0" t="0" r="0" b="0"/>
                <wp:wrapSquare wrapText="bothSides"/>
                <wp:docPr id="51541227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6A59C" id="Rectangle 2" o:spid="_x0000_s1026" alt="&quot;&quot;" style="position:absolute;margin-left:.4pt;margin-top:0;width:30.1pt;height:30.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9D3B14">
        <w:t xml:space="preserve">2 </w:t>
      </w:r>
      <w:r w:rsidR="007D5CED" w:rsidRPr="00D32C21">
        <w:t>Research design</w:t>
      </w:r>
      <w:bookmarkEnd w:id="63"/>
      <w:bookmarkEnd w:id="64"/>
      <w:bookmarkEnd w:id="65"/>
    </w:p>
    <w:p w14:paraId="43AB7B43" w14:textId="5D34D3C2" w:rsidR="00BC015D" w:rsidRPr="00BC015D" w:rsidRDefault="00BC015D" w:rsidP="00DC3FE8">
      <w:pPr>
        <w:pStyle w:val="Heading3"/>
      </w:pPr>
      <w:bookmarkStart w:id="66" w:name="_Toc152532380"/>
      <w:bookmarkStart w:id="67" w:name="_Toc190941666"/>
      <w:bookmarkStart w:id="68" w:name="_Toc190942366"/>
      <w:r w:rsidRPr="00A54F9F">
        <w:t>2.1</w:t>
      </w:r>
      <w:r w:rsidR="00EB21DB">
        <w:t xml:space="preserve"> </w:t>
      </w:r>
      <w:r w:rsidRPr="00A54F9F">
        <w:t>Aims of the 2021 NCAS</w:t>
      </w:r>
      <w:bookmarkEnd w:id="66"/>
      <w:bookmarkEnd w:id="67"/>
      <w:bookmarkEnd w:id="68"/>
    </w:p>
    <w:tbl>
      <w:tblPr>
        <w:tblStyle w:val="Yellowcalloutboxlayout"/>
        <w:tblW w:w="5000" w:type="pct"/>
        <w:tblLook w:val="0000" w:firstRow="0" w:lastRow="0" w:firstColumn="0" w:lastColumn="0" w:noHBand="0" w:noVBand="0"/>
      </w:tblPr>
      <w:tblGrid>
        <w:gridCol w:w="9638"/>
      </w:tblGrid>
      <w:tr w:rsidR="007D5CED" w:rsidRPr="00EA1044" w14:paraId="6E02361B" w14:textId="77777777" w:rsidTr="00EB21DB">
        <w:trPr>
          <w:trHeight w:val="2098"/>
        </w:trPr>
        <w:tc>
          <w:tcPr>
            <w:tcW w:w="5000" w:type="pct"/>
          </w:tcPr>
          <w:p w14:paraId="0AC6C66E" w14:textId="77777777" w:rsidR="007D5CED" w:rsidRPr="007D5CED" w:rsidRDefault="007D5CED" w:rsidP="00BC015D">
            <w:pPr>
              <w:pStyle w:val="ChapterIntro"/>
            </w:pPr>
            <w:r w:rsidRPr="007D5CED">
              <w:t xml:space="preserve">The 2021 NCAS </w:t>
            </w:r>
            <w:r w:rsidRPr="00BC015D">
              <w:t>aimed</w:t>
            </w:r>
            <w:r w:rsidRPr="007D5CED">
              <w:t xml:space="preserve"> to:</w:t>
            </w:r>
          </w:p>
          <w:p w14:paraId="06B716EC" w14:textId="5F5FA330" w:rsidR="007D5CED" w:rsidRPr="00F0728E" w:rsidRDefault="007D5CED" w:rsidP="00BC015D">
            <w:pPr>
              <w:pStyle w:val="ChapterintrobulletsChapterintro"/>
            </w:pPr>
            <w:r w:rsidRPr="00F0728E">
              <w:t>benchmark the Australian population’s understanding and attitudes regarding violence against women, attitudes towards gender equality and intention to intervene prosocially when witnessing abuse or disrespect of</w:t>
            </w:r>
            <w:r w:rsidR="00A54F9F">
              <w:t> </w:t>
            </w:r>
            <w:r w:rsidRPr="00F0728E">
              <w:t>women</w:t>
            </w:r>
          </w:p>
          <w:p w14:paraId="38F70E9D" w14:textId="0583D6D2" w:rsidR="007D5CED" w:rsidRPr="00F0728E" w:rsidRDefault="007D5CED" w:rsidP="00BC015D">
            <w:pPr>
              <w:pStyle w:val="ChapterintrobulletsChapterintro"/>
            </w:pPr>
            <w:r w:rsidRPr="00F0728E">
              <w:t>determine if understanding and attitudes had improved since the 2017</w:t>
            </w:r>
            <w:r w:rsidR="00A54F9F">
              <w:t> </w:t>
            </w:r>
            <w:r w:rsidRPr="00F0728E">
              <w:t>NCAS</w:t>
            </w:r>
          </w:p>
          <w:p w14:paraId="78F85D52" w14:textId="77777777" w:rsidR="007D5CED" w:rsidRPr="00F0728E" w:rsidRDefault="007D5CED" w:rsidP="00BC015D">
            <w:pPr>
              <w:pStyle w:val="ChapterintrobulletsChapterintro"/>
            </w:pPr>
            <w:r w:rsidRPr="00F0728E">
              <w:t>identify any notable gaps in understanding or more problematic attitudes</w:t>
            </w:r>
          </w:p>
          <w:p w14:paraId="6B210D25" w14:textId="77777777" w:rsidR="007D5CED" w:rsidRPr="007D5CED" w:rsidRDefault="007D5CED" w:rsidP="00BC015D">
            <w:pPr>
              <w:pStyle w:val="ChapterintrobulletsChapterintro"/>
            </w:pPr>
            <w:r w:rsidRPr="00F0728E">
              <w:t>identify demographic, attitudinal and contextual factors that are associated with problematic understanding and attitudes.</w:t>
            </w:r>
          </w:p>
        </w:tc>
      </w:tr>
    </w:tbl>
    <w:p w14:paraId="004CFD40" w14:textId="244F987A" w:rsidR="00B95F39" w:rsidRDefault="00B95F39">
      <w:pPr>
        <w:spacing w:before="0" w:after="0" w:line="240" w:lineRule="auto"/>
        <w:rPr>
          <w:lang w:val="en-GB"/>
        </w:rPr>
      </w:pPr>
      <w:r>
        <w:rPr>
          <w:lang w:val="en-GB"/>
        </w:rPr>
        <w:br w:type="page"/>
      </w:r>
    </w:p>
    <w:p w14:paraId="249C40EA" w14:textId="77777777" w:rsidR="007D5CED" w:rsidRPr="007D5CED" w:rsidRDefault="007D5CED" w:rsidP="0084332B">
      <w:pPr>
        <w:pStyle w:val="Heading4"/>
      </w:pPr>
      <w:r w:rsidRPr="007D5CED">
        <w:lastRenderedPageBreak/>
        <w:t>Aims of the 2021 NCAS report for young people</w:t>
      </w:r>
    </w:p>
    <w:p w14:paraId="1973217C" w14:textId="77777777" w:rsidR="007D5CED" w:rsidRPr="007D5CED" w:rsidRDefault="007D5CED" w:rsidP="00B95F39">
      <w:pPr>
        <w:rPr>
          <w:lang w:val="en-GB"/>
        </w:rPr>
      </w:pPr>
      <w:r w:rsidRPr="007D5CED">
        <w:rPr>
          <w:lang w:val="en-GB"/>
        </w:rPr>
        <w:t>This report examines each of the 2021 NCAS aims specifically for young people by analysing the 2021 NCAS data from young respondents aged 16 to 24 years.</w:t>
      </w:r>
    </w:p>
    <w:p w14:paraId="70D8570E" w14:textId="77777777" w:rsidR="007D5CED" w:rsidRPr="007D5CED" w:rsidRDefault="007D5CED" w:rsidP="00B95F39">
      <w:pPr>
        <w:rPr>
          <w:vertAlign w:val="superscript"/>
          <w:lang w:val="en-GB"/>
        </w:rPr>
      </w:pPr>
      <w:r w:rsidRPr="007D5CED">
        <w:rPr>
          <w:lang w:val="en-GB"/>
        </w:rPr>
        <w:t>Ethics clearance for the project was provided by the University of Sydney Human Research Ethics Committee (ethics project number 2020/650).</w:t>
      </w:r>
      <w:r w:rsidRPr="007D5CED">
        <w:rPr>
          <w:vertAlign w:val="superscript"/>
          <w:lang w:val="en-GB"/>
        </w:rPr>
        <w:footnoteReference w:id="6"/>
      </w:r>
    </w:p>
    <w:p w14:paraId="36909917" w14:textId="77777777" w:rsidR="007D5CED" w:rsidRPr="007D5CED" w:rsidRDefault="007D5CED" w:rsidP="00B95F39">
      <w:pPr>
        <w:rPr>
          <w:lang w:val="en-GB"/>
        </w:rPr>
      </w:pPr>
      <w:r w:rsidRPr="007D5CED">
        <w:rPr>
          <w:lang w:val="en-GB"/>
        </w:rPr>
        <w:t xml:space="preserve">Note that this chapter presents a summary of the research aims and methodology. Full details are provided in the Technical report by Coumarelos, Honey, et al. (2023). </w:t>
      </w:r>
    </w:p>
    <w:p w14:paraId="644DDB80" w14:textId="502BBE9C" w:rsidR="007D5CED" w:rsidRPr="007D5CED" w:rsidRDefault="007D5CED" w:rsidP="00DC3FE8">
      <w:pPr>
        <w:pStyle w:val="Heading3"/>
      </w:pPr>
      <w:bookmarkStart w:id="69" w:name="_Toc152532381"/>
      <w:bookmarkStart w:id="70" w:name="_Toc190941667"/>
      <w:bookmarkStart w:id="71" w:name="_Toc190942367"/>
      <w:r w:rsidRPr="007D5CED">
        <w:t>2.2</w:t>
      </w:r>
      <w:r w:rsidR="00EB21DB">
        <w:t xml:space="preserve"> </w:t>
      </w:r>
      <w:r w:rsidRPr="007D5CED">
        <w:t>2021 NCAS instrument</w:t>
      </w:r>
      <w:bookmarkEnd w:id="69"/>
      <w:bookmarkEnd w:id="70"/>
      <w:bookmarkEnd w:id="71"/>
    </w:p>
    <w:p w14:paraId="19EA96AB" w14:textId="393D6791" w:rsidR="007D5CED" w:rsidRPr="007D5CED" w:rsidRDefault="007D5CED" w:rsidP="00B95F39">
      <w:pPr>
        <w:rPr>
          <w:lang w:val="en-GB"/>
        </w:rPr>
      </w:pPr>
      <w:r w:rsidRPr="007D5CED">
        <w:rPr>
          <w:lang w:val="en-GB"/>
        </w:rPr>
        <w:t>The 2021 instrument included demographic items, items measuring understanding or attitudes regarding violence</w:t>
      </w:r>
      <w:r w:rsidR="00B95F39">
        <w:rPr>
          <w:lang w:val="en-GB"/>
        </w:rPr>
        <w:t xml:space="preserve"> </w:t>
      </w:r>
      <w:r w:rsidRPr="007D5CED">
        <w:rPr>
          <w:lang w:val="en-GB"/>
        </w:rPr>
        <w:t>against women and attitudes towards gender inequality, and scenario-based items examining bystander responses when witnessing abuse or disrespect against women (Figure 2-1). Most</w:t>
      </w:r>
      <w:r w:rsidR="003B6E5B">
        <w:rPr>
          <w:lang w:val="en-GB"/>
        </w:rPr>
        <w:t> </w:t>
      </w:r>
      <w:r w:rsidRPr="007D5CED">
        <w:rPr>
          <w:lang w:val="en-GB"/>
        </w:rPr>
        <w:t>items were retained from the 2017 NCAS to ensure reliable measurement of changes over time.</w:t>
      </w:r>
    </w:p>
    <w:p w14:paraId="57A2D771" w14:textId="77777777" w:rsidR="007D5CED" w:rsidRPr="007D5CED" w:rsidRDefault="007D5CED" w:rsidP="0084332B">
      <w:pPr>
        <w:pStyle w:val="Heading4"/>
      </w:pPr>
      <w:r w:rsidRPr="007D5CED">
        <w:t>Demographic items</w:t>
      </w:r>
    </w:p>
    <w:p w14:paraId="1D2FE22B" w14:textId="38AC9103" w:rsidR="007D5CED" w:rsidRPr="007D5CED" w:rsidRDefault="007D5CED" w:rsidP="00B95F39">
      <w:pPr>
        <w:rPr>
          <w:lang w:val="en-GB"/>
        </w:rPr>
      </w:pPr>
      <w:r w:rsidRPr="007D5CED">
        <w:rPr>
          <w:lang w:val="en-GB"/>
        </w:rPr>
        <w:t>Self-reported demographic information about respondents was used to explore how understanding and attitudes may vary based on people’s characteristics, backgrounds, contexts and locations. Demographic items included gender, age, sexuality, country of birth, length of time in Australia, language spoken at home, formal education, main labour activity, socioeconomic status of area of</w:t>
      </w:r>
      <w:r w:rsidR="003B6E5B">
        <w:rPr>
          <w:lang w:val="en-GB"/>
        </w:rPr>
        <w:t> </w:t>
      </w:r>
      <w:r w:rsidRPr="007D5CED">
        <w:rPr>
          <w:lang w:val="en-GB"/>
        </w:rPr>
        <w:t>residence and gender composition of social network.</w:t>
      </w:r>
      <w:r w:rsidRPr="007D5CED">
        <w:rPr>
          <w:vertAlign w:val="superscript"/>
          <w:lang w:val="en-GB"/>
        </w:rPr>
        <w:footnoteReference w:id="7"/>
      </w:r>
      <w:r w:rsidRPr="007D5CED">
        <w:rPr>
          <w:lang w:val="en-GB"/>
        </w:rPr>
        <w:t xml:space="preserve"> Demographic information was also used to</w:t>
      </w:r>
      <w:r w:rsidR="003B6E5B">
        <w:rPr>
          <w:lang w:val="en-GB"/>
        </w:rPr>
        <w:t> </w:t>
      </w:r>
      <w:r w:rsidRPr="007D5CED">
        <w:rPr>
          <w:lang w:val="en-GB"/>
        </w:rPr>
        <w:t xml:space="preserve">assess how closely the demographic profile of the sample matched that of the Australian population and to make any necessary adjustments through data weighting (Section 2.3). </w:t>
      </w:r>
    </w:p>
    <w:p w14:paraId="51045679" w14:textId="77777777" w:rsidR="007D5CED" w:rsidRPr="007D5CED" w:rsidRDefault="007D5CED" w:rsidP="0084332B">
      <w:pPr>
        <w:pStyle w:val="Heading4"/>
      </w:pPr>
      <w:r w:rsidRPr="007D5CED">
        <w:t>Items and scales measuring understanding and attitudes</w:t>
      </w:r>
    </w:p>
    <w:p w14:paraId="2E764B68" w14:textId="3CFB3871" w:rsidR="007D5CED" w:rsidRPr="007D5CED" w:rsidRDefault="007D5CED" w:rsidP="00B95F39">
      <w:pPr>
        <w:rPr>
          <w:lang w:val="en-GB"/>
        </w:rPr>
      </w:pPr>
      <w:r w:rsidRPr="007D5CED">
        <w:rPr>
          <w:lang w:val="en-GB"/>
        </w:rPr>
        <w:t>Understanding and attitude items were grouped into nine psychometric scales, validated via Rasch analysis.</w:t>
      </w:r>
      <w:r w:rsidRPr="007D5CED">
        <w:rPr>
          <w:vertAlign w:val="superscript"/>
          <w:lang w:val="en-GB"/>
        </w:rPr>
        <w:footnoteReference w:id="8"/>
      </w:r>
      <w:r w:rsidRPr="007D5CED">
        <w:rPr>
          <w:lang w:val="en-GB"/>
        </w:rPr>
        <w:t xml:space="preserve"> The strength of psychometrically validated scales is that they can measure a complex overall construct or concept (such as attitudes towards violence) that would be difficult to measure with a</w:t>
      </w:r>
      <w:r w:rsidR="003B6E5B">
        <w:rPr>
          <w:lang w:val="en-GB"/>
        </w:rPr>
        <w:t> </w:t>
      </w:r>
      <w:r w:rsidRPr="007D5CED">
        <w:rPr>
          <w:lang w:val="en-GB"/>
        </w:rPr>
        <w:t>single item. The scales include the Gendered Violence and Inequality Scale (GVIS), which is</w:t>
      </w:r>
      <w:r w:rsidR="003B6E5B">
        <w:rPr>
          <w:lang w:val="en-GB"/>
        </w:rPr>
        <w:t> </w:t>
      </w:r>
      <w:r w:rsidRPr="007D5CED">
        <w:rPr>
          <w:lang w:val="en-GB"/>
        </w:rPr>
        <w:t>an</w:t>
      </w:r>
      <w:r w:rsidR="003B6E5B">
        <w:rPr>
          <w:lang w:val="en-GB"/>
        </w:rPr>
        <w:t> </w:t>
      </w:r>
      <w:r w:rsidRPr="007D5CED">
        <w:rPr>
          <w:lang w:val="en-GB"/>
        </w:rPr>
        <w:t>overarching “mega scale” that includes all understanding and attitude items that sit in the other eight scales. All scales were “anchored” to the GVIS via Rasch analysis to allow comparisons between scales and between subscales. The other eight scales included three “main” scales, namely:</w:t>
      </w:r>
    </w:p>
    <w:p w14:paraId="0B379A65" w14:textId="77777777" w:rsidR="007D5CED" w:rsidRPr="007D5CED" w:rsidRDefault="007D5CED" w:rsidP="00B95F39">
      <w:pPr>
        <w:pStyle w:val="ListBullet"/>
        <w:rPr>
          <w:lang w:val="en-GB"/>
        </w:rPr>
      </w:pPr>
      <w:r w:rsidRPr="007D5CED">
        <w:rPr>
          <w:lang w:val="en-GB"/>
        </w:rPr>
        <w:t>the Understanding of Violence against Women Scale (UVAWS)</w:t>
      </w:r>
    </w:p>
    <w:p w14:paraId="6F2ABE59" w14:textId="14D6D603" w:rsidR="007D5CED" w:rsidRPr="007D5CED" w:rsidRDefault="007D5CED" w:rsidP="00B95F39">
      <w:pPr>
        <w:pStyle w:val="ListBullet"/>
        <w:rPr>
          <w:lang w:val="en-GB"/>
        </w:rPr>
      </w:pPr>
      <w:r w:rsidRPr="007D5CED">
        <w:rPr>
          <w:lang w:val="en-GB"/>
        </w:rPr>
        <w:t>the Attitudes towards Gender Inequality Scale (AGIS)</w:t>
      </w:r>
    </w:p>
    <w:p w14:paraId="55D55C3C" w14:textId="77777777" w:rsidR="007D5CED" w:rsidRPr="007D5CED" w:rsidRDefault="007D5CED" w:rsidP="00B95F39">
      <w:pPr>
        <w:pStyle w:val="ListBullet"/>
        <w:rPr>
          <w:lang w:val="en-GB"/>
        </w:rPr>
      </w:pPr>
      <w:r w:rsidRPr="007D5CED">
        <w:rPr>
          <w:lang w:val="en-GB"/>
        </w:rPr>
        <w:t>the Attitudes towards Violence against Women Scale (AVAWS).</w:t>
      </w:r>
    </w:p>
    <w:p w14:paraId="68F54E5C" w14:textId="1F681705" w:rsidR="006A6B89"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Each main scale also includes subscales (identified via factor analysis), which measure key themes within the broader construct measured by the scale. In addition, five “type of violence” scales were developed to measure attitudes towards specific types of violence, namely:</w:t>
      </w:r>
    </w:p>
    <w:p w14:paraId="3DCB91C0" w14:textId="77777777" w:rsidR="007D5CED" w:rsidRPr="007D5CED" w:rsidRDefault="007D5CED" w:rsidP="00B95F39">
      <w:pPr>
        <w:pStyle w:val="ListBullet"/>
        <w:rPr>
          <w:lang w:val="en-GB"/>
        </w:rPr>
      </w:pPr>
      <w:r w:rsidRPr="007D5CED">
        <w:rPr>
          <w:lang w:val="en-GB"/>
        </w:rPr>
        <w:t>the Domestic Violence Scale (DVS)</w:t>
      </w:r>
    </w:p>
    <w:p w14:paraId="45A33B81" w14:textId="027D6D10" w:rsidR="007D5CED" w:rsidRPr="007D5CED" w:rsidRDefault="007D5CED" w:rsidP="00B95F39">
      <w:pPr>
        <w:pStyle w:val="ListBullet"/>
        <w:rPr>
          <w:lang w:val="en-GB"/>
        </w:rPr>
      </w:pPr>
      <w:r w:rsidRPr="007D5CED">
        <w:rPr>
          <w:lang w:val="en-GB"/>
        </w:rPr>
        <w:t>the Sexual Violence Scale (SVS), which was divided into the Sexual Assault Scale (SAS) and the Sexual</w:t>
      </w:r>
      <w:r w:rsidR="003B6E5B">
        <w:rPr>
          <w:lang w:val="en-GB"/>
        </w:rPr>
        <w:t> </w:t>
      </w:r>
      <w:r w:rsidRPr="007D5CED">
        <w:rPr>
          <w:lang w:val="en-GB"/>
        </w:rPr>
        <w:t>Harassment Scale (SHS)</w:t>
      </w:r>
    </w:p>
    <w:p w14:paraId="222EAC04" w14:textId="77777777" w:rsidR="007D5CED" w:rsidRPr="007D5CED" w:rsidRDefault="007D5CED" w:rsidP="00B95F39">
      <w:pPr>
        <w:pStyle w:val="ListBullet"/>
        <w:rPr>
          <w:lang w:val="en-GB"/>
        </w:rPr>
      </w:pPr>
      <w:r w:rsidRPr="007D5CED">
        <w:rPr>
          <w:lang w:val="en-GB"/>
        </w:rPr>
        <w:t xml:space="preserve">the Technology-Facilitated Abuse Scale (TFAS). </w:t>
      </w:r>
    </w:p>
    <w:p w14:paraId="30D6AD1C" w14:textId="008A278D" w:rsidR="00902D74" w:rsidRDefault="007D5CED" w:rsidP="00B95F39">
      <w:pPr>
        <w:rPr>
          <w:lang w:val="en-GB"/>
        </w:rPr>
      </w:pPr>
      <w:r w:rsidRPr="007D5CED">
        <w:rPr>
          <w:lang w:val="en-GB"/>
        </w:rPr>
        <w:lastRenderedPageBreak/>
        <w:t>All type of violence scales measure attitudes, apart from the TFAS, which measures both understanding and attitudes regarding technology-facilitated abuse. Together, the DVS and SVS comprise all but two of</w:t>
      </w:r>
      <w:r w:rsidR="003B6E5B">
        <w:rPr>
          <w:lang w:val="en-GB"/>
        </w:rPr>
        <w:t> </w:t>
      </w:r>
      <w:r w:rsidRPr="007D5CED">
        <w:rPr>
          <w:lang w:val="en-GB"/>
        </w:rPr>
        <w:t>the 43 items in the AVAWS.</w:t>
      </w:r>
    </w:p>
    <w:p w14:paraId="2E607455" w14:textId="4E1D0A89" w:rsidR="00902D74" w:rsidRPr="00902D74" w:rsidRDefault="00902D74" w:rsidP="002A2C0C">
      <w:pPr>
        <w:pStyle w:val="figuretableheading"/>
      </w:pPr>
      <w:bookmarkStart w:id="72" w:name="_Toc187401232"/>
      <w:r>
        <w:lastRenderedPageBreak/>
        <w:t xml:space="preserve">Figure </w:t>
      </w:r>
      <w:r w:rsidR="005B3A89">
        <w:fldChar w:fldCharType="begin"/>
      </w:r>
      <w:r w:rsidR="005B3A89">
        <w:instrText xml:space="preserve"> STYLEREF 1 \s </w:instrText>
      </w:r>
      <w:r w:rsidR="005B3A89">
        <w:fldChar w:fldCharType="separate"/>
      </w:r>
      <w:r w:rsidR="005B3A89">
        <w:t>2</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1</w:t>
      </w:r>
      <w:r w:rsidR="005B3A89">
        <w:fldChar w:fldCharType="end"/>
      </w:r>
      <w:r>
        <w:t xml:space="preserve">: </w:t>
      </w:r>
      <w:r w:rsidRPr="00902D74">
        <w:t>Components of the NCAS instrument, 2021</w:t>
      </w:r>
      <w:bookmarkEnd w:id="72"/>
    </w:p>
    <w:p w14:paraId="5324B110" w14:textId="10A87E15" w:rsidR="00902D74" w:rsidRDefault="002B41A5" w:rsidP="00B95F39">
      <w:pPr>
        <w:rPr>
          <w:lang w:val="en-US"/>
        </w:rPr>
      </w:pPr>
      <w:r>
        <w:rPr>
          <w:noProof/>
          <w:lang w:val="en-US"/>
        </w:rPr>
        <w:drawing>
          <wp:inline distT="0" distB="0" distL="0" distR="0" wp14:anchorId="2AF99F68" wp14:editId="075D287A">
            <wp:extent cx="5941060" cy="8326657"/>
            <wp:effectExtent l="0" t="0" r="2540" b="0"/>
            <wp:docPr id="1272089472" name="Immagine 3" descr="Flow chart showing the scales and components that make up the 2021 NCAS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89472" name="Immagine 3" descr="Flow chart showing the scales and components that make up the 2021 NCAS instrument."/>
                    <pic:cNvPicPr/>
                  </pic:nvPicPr>
                  <pic:blipFill rotWithShape="1">
                    <a:blip r:embed="rId23" cstate="print">
                      <a:extLst>
                        <a:ext uri="{28A0092B-C50C-407E-A947-70E740481C1C}">
                          <a14:useLocalDpi xmlns:a14="http://schemas.microsoft.com/office/drawing/2010/main" val="0"/>
                        </a:ext>
                      </a:extLst>
                    </a:blip>
                    <a:srcRect t="8218"/>
                    <a:stretch/>
                  </pic:blipFill>
                  <pic:spPr bwMode="auto">
                    <a:xfrm>
                      <a:off x="0" y="0"/>
                      <a:ext cx="5941060" cy="8326657"/>
                    </a:xfrm>
                    <a:prstGeom prst="rect">
                      <a:avLst/>
                    </a:prstGeom>
                    <a:ln>
                      <a:noFill/>
                    </a:ln>
                    <a:extLst>
                      <a:ext uri="{53640926-AAD7-44D8-BBD7-CCE9431645EC}">
                        <a14:shadowObscured xmlns:a14="http://schemas.microsoft.com/office/drawing/2010/main"/>
                      </a:ext>
                    </a:extLst>
                  </pic:spPr>
                </pic:pic>
              </a:graphicData>
            </a:graphic>
          </wp:inline>
        </w:drawing>
      </w:r>
    </w:p>
    <w:p w14:paraId="45EF5E5F" w14:textId="74C5DBD4" w:rsidR="00EB21DB" w:rsidRDefault="00EB21DB" w:rsidP="00C30B77">
      <w:pPr>
        <w:pStyle w:val="Tablesubheading0"/>
        <w:spacing w:before="600"/>
      </w:pPr>
      <w:r w:rsidRPr="00C30B77">
        <w:lastRenderedPageBreak/>
        <w:t xml:space="preserve">Text alternative for the </w:t>
      </w:r>
      <w:r w:rsidR="00C30B77" w:rsidRPr="00C30B77">
        <w:t>figure above</w:t>
      </w:r>
    </w:p>
    <w:tbl>
      <w:tblPr>
        <w:tblStyle w:val="Whitecalloutboxlayout"/>
        <w:tblW w:w="0" w:type="auto"/>
        <w:tblLook w:val="04A0" w:firstRow="1" w:lastRow="0" w:firstColumn="1" w:lastColumn="0" w:noHBand="0" w:noVBand="1"/>
      </w:tblPr>
      <w:tblGrid>
        <w:gridCol w:w="9628"/>
      </w:tblGrid>
      <w:tr w:rsidR="00C30B77" w14:paraId="67ADAA72" w14:textId="77777777" w:rsidTr="00C30B77">
        <w:tc>
          <w:tcPr>
            <w:tcW w:w="9628" w:type="dxa"/>
          </w:tcPr>
          <w:p w14:paraId="412E01CE" w14:textId="77777777" w:rsidR="00C30B77" w:rsidRDefault="00C30B77" w:rsidP="00B95F39">
            <w:pPr>
              <w:rPr>
                <w:lang w:val="en-US"/>
              </w:rPr>
            </w:pPr>
            <w:r>
              <w:rPr>
                <w:lang w:val="en-US"/>
              </w:rPr>
              <w:t>Understanding and attitudes (106 items)</w:t>
            </w:r>
          </w:p>
          <w:p w14:paraId="03A1E7B6" w14:textId="1FE58998" w:rsidR="00C30B77" w:rsidRDefault="00C30B77" w:rsidP="00C30B77">
            <w:pPr>
              <w:pStyle w:val="ListParagraph"/>
            </w:pPr>
            <w:r w:rsidRPr="00C30B77">
              <w:t>Items not part of a scale</w:t>
            </w:r>
          </w:p>
          <w:p w14:paraId="739EF989" w14:textId="18A50EA5" w:rsidR="00C30B77" w:rsidRDefault="00C30B77" w:rsidP="00DA76C9">
            <w:pPr>
              <w:pStyle w:val="Listparagraph2"/>
            </w:pPr>
            <w:r>
              <w:t>Bystander responses (3 scenarios, 10 items)</w:t>
            </w:r>
          </w:p>
          <w:p w14:paraId="2BF41B81" w14:textId="1FF6C00C" w:rsidR="00C30B77" w:rsidRDefault="00DA76C9" w:rsidP="00DA76C9">
            <w:pPr>
              <w:pStyle w:val="Listparagraph2"/>
            </w:pPr>
            <w:r>
              <w:t>Aboriginal and/or Torres Strait Islander respondents’ module</w:t>
            </w:r>
            <w:r w:rsidR="0054387F">
              <w:t xml:space="preserve"> </w:t>
            </w:r>
            <w:r>
              <w:t>(11 items)</w:t>
            </w:r>
          </w:p>
          <w:p w14:paraId="7C4A3FCB" w14:textId="1D553228" w:rsidR="00DA76C9" w:rsidRPr="00C30B77" w:rsidRDefault="00DA76C9" w:rsidP="00DA76C9">
            <w:pPr>
              <w:pStyle w:val="Listparagraph2"/>
            </w:pPr>
            <w:r>
              <w:t>Additional knowledge items (6 items)</w:t>
            </w:r>
          </w:p>
          <w:p w14:paraId="71F81B03" w14:textId="77777777" w:rsidR="00C30B77" w:rsidRDefault="00C30B77" w:rsidP="00B95F39">
            <w:pPr>
              <w:rPr>
                <w:lang w:val="en-US"/>
              </w:rPr>
            </w:pPr>
            <w:r>
              <w:rPr>
                <w:lang w:val="en-US"/>
              </w:rPr>
              <w:t>Gendered Violence and Inequality Scale (GVIS; 79 items)</w:t>
            </w:r>
          </w:p>
          <w:p w14:paraId="755C7003" w14:textId="6204390B" w:rsidR="00DA76C9" w:rsidRDefault="00DA76C9" w:rsidP="00DA76C9">
            <w:pPr>
              <w:pStyle w:val="ListParagraph"/>
              <w:rPr>
                <w:lang w:val="en-US"/>
              </w:rPr>
            </w:pPr>
            <w:r>
              <w:rPr>
                <w:lang w:val="en-US"/>
              </w:rPr>
              <w:t>Type of violence scales</w:t>
            </w:r>
          </w:p>
          <w:p w14:paraId="34261F95" w14:textId="3DA7BB5B" w:rsidR="00DA76C9" w:rsidRDefault="00DA76C9" w:rsidP="00DA76C9">
            <w:pPr>
              <w:pStyle w:val="Listparagraph2"/>
              <w:rPr>
                <w:lang w:val="en-US"/>
              </w:rPr>
            </w:pPr>
            <w:r>
              <w:rPr>
                <w:lang w:val="en-US"/>
              </w:rPr>
              <w:t>Technology-Facilitated Abuse Scale (TFAS; 6 items, with 4 from UVAWS and 2 from AVAWS)</w:t>
            </w:r>
          </w:p>
          <w:p w14:paraId="23115E16" w14:textId="123AEEC5" w:rsidR="00DA76C9" w:rsidRDefault="00DA76C9" w:rsidP="00DA76C9">
            <w:pPr>
              <w:pStyle w:val="Listparagraph2"/>
              <w:rPr>
                <w:lang w:val="en-US"/>
              </w:rPr>
            </w:pPr>
            <w:r>
              <w:rPr>
                <w:lang w:val="en-US"/>
              </w:rPr>
              <w:t>Domestic Violence Scale (DVS; 17 items from AVAWS)</w:t>
            </w:r>
          </w:p>
          <w:p w14:paraId="5673B275" w14:textId="69734AC5" w:rsidR="00DA76C9" w:rsidRDefault="00DA76C9" w:rsidP="00DA76C9">
            <w:pPr>
              <w:pStyle w:val="Listparagraph2"/>
              <w:rPr>
                <w:lang w:val="en-US"/>
              </w:rPr>
            </w:pPr>
            <w:r>
              <w:rPr>
                <w:lang w:val="en-US"/>
              </w:rPr>
              <w:t>Sexual Violence Scale (SVS; 24 items from AVAWS)</w:t>
            </w:r>
          </w:p>
          <w:p w14:paraId="63A51A3C" w14:textId="27DDCBA6" w:rsidR="00DA76C9" w:rsidRDefault="00DA76C9" w:rsidP="00DA76C9">
            <w:pPr>
              <w:pStyle w:val="Listparagraph3"/>
            </w:pPr>
            <w:r>
              <w:t>Sexual Assault Scale (SAS; 18 items from SVS)</w:t>
            </w:r>
          </w:p>
          <w:p w14:paraId="416761D3" w14:textId="3DF58D24" w:rsidR="00DA76C9" w:rsidRDefault="00DA76C9" w:rsidP="00DA76C9">
            <w:pPr>
              <w:pStyle w:val="Listparagraph3"/>
            </w:pPr>
            <w:r>
              <w:t>Sexual Harassment Scale (SHS; 6 items from SVS)</w:t>
            </w:r>
          </w:p>
          <w:p w14:paraId="2EBECBC1" w14:textId="77777777" w:rsidR="00C30B77" w:rsidRDefault="00C30B77" w:rsidP="00B95F39">
            <w:pPr>
              <w:rPr>
                <w:lang w:val="en-US"/>
              </w:rPr>
            </w:pPr>
            <w:r>
              <w:rPr>
                <w:lang w:val="en-US"/>
              </w:rPr>
              <w:t>Main scales</w:t>
            </w:r>
          </w:p>
          <w:p w14:paraId="61ADCDA1" w14:textId="77777777" w:rsidR="00C30B77" w:rsidRDefault="00DA76C9" w:rsidP="00DA76C9">
            <w:pPr>
              <w:pStyle w:val="ListParagraph"/>
              <w:rPr>
                <w:lang w:val="en-US"/>
              </w:rPr>
            </w:pPr>
            <w:r>
              <w:rPr>
                <w:lang w:val="en-US"/>
              </w:rPr>
              <w:t>Understanding of Violence against Women Scale</w:t>
            </w:r>
          </w:p>
          <w:p w14:paraId="01DE2B2D" w14:textId="77777777" w:rsidR="00DA76C9" w:rsidRDefault="00DA76C9" w:rsidP="00DA76C9">
            <w:pPr>
              <w:pStyle w:val="Listparagraph2"/>
              <w:rPr>
                <w:lang w:val="en-US"/>
              </w:rPr>
            </w:pPr>
            <w:r>
              <w:rPr>
                <w:lang w:val="en-US"/>
              </w:rPr>
              <w:t>Recognise DV Subscale (12 items)</w:t>
            </w:r>
          </w:p>
          <w:p w14:paraId="6D4A5CC0" w14:textId="77777777" w:rsidR="00DA76C9" w:rsidRDefault="00DA76C9" w:rsidP="00DA76C9">
            <w:pPr>
              <w:pStyle w:val="Listparagraph2"/>
              <w:rPr>
                <w:lang w:val="en-US"/>
              </w:rPr>
            </w:pPr>
            <w:r>
              <w:rPr>
                <w:lang w:val="en-US"/>
              </w:rPr>
              <w:t>Recognise VAW Subscale (4 items)</w:t>
            </w:r>
          </w:p>
          <w:p w14:paraId="5C567F65" w14:textId="77777777" w:rsidR="00DA76C9" w:rsidRDefault="00DA76C9" w:rsidP="00DA76C9">
            <w:pPr>
              <w:pStyle w:val="Listparagraph2"/>
              <w:rPr>
                <w:lang w:val="en-US"/>
              </w:rPr>
            </w:pPr>
            <w:r>
              <w:rPr>
                <w:lang w:val="en-US"/>
              </w:rPr>
              <w:t>Understand Gendered DV Subscale (3 items)</w:t>
            </w:r>
          </w:p>
          <w:p w14:paraId="2AC6971D" w14:textId="77777777" w:rsidR="00DA76C9" w:rsidRDefault="00DA76C9" w:rsidP="00DA76C9">
            <w:pPr>
              <w:pStyle w:val="ListParagraph"/>
              <w:rPr>
                <w:lang w:val="en-US"/>
              </w:rPr>
            </w:pPr>
            <w:r>
              <w:rPr>
                <w:lang w:val="en-US"/>
              </w:rPr>
              <w:t>Attitudes towards Violence against Women Scale (AVAWS; 43 items)</w:t>
            </w:r>
          </w:p>
          <w:p w14:paraId="407C4B31" w14:textId="77777777" w:rsidR="00DA76C9" w:rsidRDefault="00DA76C9" w:rsidP="00DA76C9">
            <w:pPr>
              <w:pStyle w:val="Listparagraph2"/>
              <w:rPr>
                <w:lang w:val="en-US"/>
              </w:rPr>
            </w:pPr>
            <w:r>
              <w:rPr>
                <w:lang w:val="en-US"/>
              </w:rPr>
              <w:t>Minimise Violence Subscale (15 items)</w:t>
            </w:r>
          </w:p>
          <w:p w14:paraId="3D76E2AA" w14:textId="77777777" w:rsidR="00DA76C9" w:rsidRDefault="00DA76C9" w:rsidP="00DA76C9">
            <w:pPr>
              <w:pStyle w:val="Listparagraph2"/>
              <w:rPr>
                <w:lang w:val="en-US"/>
              </w:rPr>
            </w:pPr>
            <w:r>
              <w:rPr>
                <w:lang w:val="en-US"/>
              </w:rPr>
              <w:t>Mistrust Women Subscale (13 items)</w:t>
            </w:r>
          </w:p>
          <w:p w14:paraId="4057CE10" w14:textId="77777777" w:rsidR="00DA76C9" w:rsidRDefault="00DA76C9" w:rsidP="00DA76C9">
            <w:pPr>
              <w:pStyle w:val="Listparagraph2"/>
              <w:rPr>
                <w:lang w:val="en-US"/>
              </w:rPr>
            </w:pPr>
            <w:r>
              <w:rPr>
                <w:lang w:val="en-US"/>
              </w:rPr>
              <w:t>Objectify Women Subscale (15 items)</w:t>
            </w:r>
          </w:p>
          <w:p w14:paraId="0BA6A6DB" w14:textId="77777777" w:rsidR="00DA76C9" w:rsidRDefault="00DA76C9" w:rsidP="00DA76C9">
            <w:pPr>
              <w:pStyle w:val="ListParagraph"/>
              <w:rPr>
                <w:lang w:val="en-US"/>
              </w:rPr>
            </w:pPr>
            <w:r>
              <w:rPr>
                <w:lang w:val="en-US"/>
              </w:rPr>
              <w:t>Attitudes toward Gender Inequality Scale (AGIS; 17 items)</w:t>
            </w:r>
          </w:p>
          <w:p w14:paraId="6BA7ABBC" w14:textId="77777777" w:rsidR="00DA76C9" w:rsidRDefault="00DA76C9" w:rsidP="00DA76C9">
            <w:pPr>
              <w:pStyle w:val="Listparagraph2"/>
              <w:rPr>
                <w:lang w:val="en-US"/>
              </w:rPr>
            </w:pPr>
            <w:r>
              <w:rPr>
                <w:lang w:val="en-US"/>
              </w:rPr>
              <w:t>Deny Inequality Subscale (3 items)</w:t>
            </w:r>
          </w:p>
          <w:p w14:paraId="3A03347C" w14:textId="77777777" w:rsidR="00DA76C9" w:rsidRDefault="00DA76C9" w:rsidP="00DA76C9">
            <w:pPr>
              <w:pStyle w:val="Listparagraph2"/>
              <w:rPr>
                <w:lang w:val="en-US"/>
              </w:rPr>
            </w:pPr>
            <w:r>
              <w:rPr>
                <w:lang w:val="en-US"/>
              </w:rPr>
              <w:t>Limit Autonomy Subscale (2 items)</w:t>
            </w:r>
          </w:p>
          <w:p w14:paraId="27A8D703" w14:textId="77777777" w:rsidR="00DA76C9" w:rsidRDefault="00DA76C9" w:rsidP="00DA76C9">
            <w:pPr>
              <w:pStyle w:val="Listparagraph2"/>
              <w:rPr>
                <w:lang w:val="en-US"/>
              </w:rPr>
            </w:pPr>
            <w:r>
              <w:rPr>
                <w:lang w:val="en-US"/>
              </w:rPr>
              <w:t>Normalise Sexism Subscale (3 items)</w:t>
            </w:r>
          </w:p>
          <w:p w14:paraId="4C144C54" w14:textId="77777777" w:rsidR="00DA76C9" w:rsidRDefault="00DA76C9" w:rsidP="00DA76C9">
            <w:pPr>
              <w:pStyle w:val="Listparagraph2"/>
              <w:rPr>
                <w:lang w:val="en-US"/>
              </w:rPr>
            </w:pPr>
            <w:r>
              <w:rPr>
                <w:lang w:val="en-US"/>
              </w:rPr>
              <w:t>Reinforce Gender Roles Subscale (5 items)</w:t>
            </w:r>
          </w:p>
          <w:p w14:paraId="304CD0C5" w14:textId="77777777" w:rsidR="00DA76C9" w:rsidRDefault="00DA76C9" w:rsidP="00DA76C9">
            <w:pPr>
              <w:pStyle w:val="Listparagraph2"/>
              <w:rPr>
                <w:lang w:val="en-US"/>
              </w:rPr>
            </w:pPr>
            <w:r>
              <w:rPr>
                <w:lang w:val="en-US"/>
              </w:rPr>
              <w:t>Undermine Leadership Subscale (4 items)</w:t>
            </w:r>
          </w:p>
          <w:p w14:paraId="154A11D3" w14:textId="77777777" w:rsidR="00DA76C9" w:rsidRDefault="00DA76C9" w:rsidP="00DA76C9">
            <w:pPr>
              <w:rPr>
                <w:lang w:val="en-US"/>
              </w:rPr>
            </w:pPr>
            <w:r>
              <w:rPr>
                <w:lang w:val="en-US"/>
              </w:rPr>
              <w:t>Demographics (25 items)</w:t>
            </w:r>
          </w:p>
          <w:p w14:paraId="0946440F" w14:textId="038E0777" w:rsidR="00DA76C9" w:rsidRPr="00DA76C9" w:rsidRDefault="00DA76C9" w:rsidP="00DA76C9">
            <w:pPr>
              <w:rPr>
                <w:lang w:val="en-US"/>
              </w:rPr>
            </w:pPr>
            <w:r w:rsidRPr="00DA76C9">
              <w:rPr>
                <w:rStyle w:val="Strong"/>
              </w:rPr>
              <w:t>Note:</w:t>
            </w:r>
            <w:r>
              <w:rPr>
                <w:lang w:val="en-US"/>
              </w:rPr>
              <w:t xml:space="preserve"> DV = domestic violence, VAW = violence against women.</w:t>
            </w:r>
          </w:p>
        </w:tc>
      </w:tr>
    </w:tbl>
    <w:p w14:paraId="0AB14452" w14:textId="77777777" w:rsidR="007D5CED" w:rsidRPr="007D5CED" w:rsidRDefault="007D5CED" w:rsidP="0084332B">
      <w:pPr>
        <w:pStyle w:val="Heading4"/>
      </w:pPr>
      <w:r w:rsidRPr="007D5CED">
        <w:t>Changes to NCAS instrument</w:t>
      </w:r>
    </w:p>
    <w:p w14:paraId="4D96C6D8" w14:textId="77777777" w:rsidR="007D5CED" w:rsidRPr="007D5CED" w:rsidRDefault="007D5CED" w:rsidP="00B95F39">
      <w:pPr>
        <w:rPr>
          <w:vertAlign w:val="superscript"/>
          <w:lang w:val="en-GB"/>
        </w:rPr>
      </w:pPr>
      <w:r w:rsidRPr="007D5CED">
        <w:rPr>
          <w:lang w:val="en-GB"/>
        </w:rPr>
        <w:t>New or revised demographic items were included in 2021 on gender, sexuality and disability to provide additional and more inclusive demographic information, including capturing gender identity, diversity and experience more accurately and better capturing the range of physical, mental health and intellectual conditions and their impact on core activities. For the first time, the NCAS provides results for non-binary and gender-diverse respondents, where numbers were sufficient to do so.</w:t>
      </w:r>
      <w:r w:rsidRPr="007D5CED">
        <w:rPr>
          <w:vertAlign w:val="superscript"/>
          <w:lang w:val="en-GB"/>
        </w:rPr>
        <w:footnoteReference w:id="9"/>
      </w:r>
    </w:p>
    <w:p w14:paraId="2C572A21" w14:textId="77777777" w:rsidR="007D5CED" w:rsidRPr="007D5CED" w:rsidRDefault="007D5CED" w:rsidP="00B95F39">
      <w:pPr>
        <w:rPr>
          <w:vertAlign w:val="superscript"/>
          <w:lang w:val="en-GB"/>
        </w:rPr>
      </w:pPr>
      <w:r w:rsidRPr="007D5CED">
        <w:rPr>
          <w:lang w:val="en-GB"/>
        </w:rPr>
        <w:lastRenderedPageBreak/>
        <w:t>New items were also added to better measure understanding and attitudes regarding forms of violence that have emerged more recently or have not been a major focus of the NCAS previously. Items were added on forms of violence against women that are related to intersectional forms of oppression, based on a partner’s migrant status, disability, gender experience, sexuality or religion. Items were also added on technology-facilitated abuse, sexual harassment and stalking.</w:t>
      </w:r>
      <w:r w:rsidRPr="007D5CED">
        <w:rPr>
          <w:vertAlign w:val="superscript"/>
          <w:lang w:val="en-GB"/>
        </w:rPr>
        <w:footnoteReference w:id="10"/>
      </w:r>
    </w:p>
    <w:p w14:paraId="26F80FC7" w14:textId="62F50E8E" w:rsidR="007D5CED" w:rsidRPr="007D5CED" w:rsidRDefault="007D5CED" w:rsidP="00DC3FE8">
      <w:pPr>
        <w:pStyle w:val="Heading3"/>
      </w:pPr>
      <w:bookmarkStart w:id="73" w:name="_Toc152532382"/>
      <w:bookmarkStart w:id="74" w:name="_Toc190941668"/>
      <w:bookmarkStart w:id="75" w:name="_Toc190942368"/>
      <w:r w:rsidRPr="007D5CED">
        <w:t>2.3</w:t>
      </w:r>
      <w:r w:rsidR="000B12EE">
        <w:t xml:space="preserve"> </w:t>
      </w:r>
      <w:r w:rsidRPr="007D5CED">
        <w:t>Sampling</w:t>
      </w:r>
      <w:bookmarkEnd w:id="73"/>
      <w:bookmarkEnd w:id="74"/>
      <w:bookmarkEnd w:id="75"/>
    </w:p>
    <w:p w14:paraId="15820C54" w14:textId="77777777" w:rsidR="007D5CED" w:rsidRPr="007D5CED" w:rsidRDefault="007D5CED" w:rsidP="00B95F39">
      <w:pPr>
        <w:rPr>
          <w:vertAlign w:val="superscript"/>
          <w:lang w:val="en-GB"/>
        </w:rPr>
      </w:pPr>
      <w:r w:rsidRPr="007D5CED">
        <w:rPr>
          <w:lang w:val="en-GB"/>
        </w:rPr>
        <w:t>The total 2021 NCAS sample consisted of 19,100 Australians aged 16 years or older, who were interviewed via mobile telephone between February 23 and July 18, 2021. The sampling approach largely involved random digit dialling (RDD) of mobile telephones, supplemented or “topped up” with listed mobile telephones. Eighty-one per cent of the interviews were achieved via RDD mobiles. The response rate was 11 per cent.</w:t>
      </w:r>
      <w:r w:rsidRPr="007D5CED">
        <w:rPr>
          <w:vertAlign w:val="superscript"/>
          <w:lang w:val="en-GB"/>
        </w:rPr>
        <w:footnoteReference w:id="11"/>
      </w:r>
    </w:p>
    <w:p w14:paraId="391FAD7C" w14:textId="0F266816" w:rsidR="007D5CED" w:rsidRPr="007D5CED" w:rsidRDefault="007D5CED" w:rsidP="00B95F39">
      <w:pPr>
        <w:rPr>
          <w:vertAlign w:val="superscript"/>
          <w:lang w:val="en-GB"/>
        </w:rPr>
      </w:pPr>
      <w:r w:rsidRPr="007D5CED">
        <w:rPr>
          <w:lang w:val="en-GB"/>
        </w:rPr>
        <w:t>The sample included 1,669 young respondents aged 16 to 24 years. Of these young respondents, 207 were 16 to 17 years of age and 1,462 were 18 to 24 years of age. Note that, throughout the report, “young respondents” and “young people” refer to ages 16 to 24 years, and “all respondents” refers to</w:t>
      </w:r>
      <w:r w:rsidR="003B6E5B">
        <w:rPr>
          <w:lang w:val="en-GB"/>
        </w:rPr>
        <w:t> </w:t>
      </w:r>
      <w:r w:rsidRPr="007D5CED">
        <w:rPr>
          <w:lang w:val="en-GB"/>
        </w:rPr>
        <w:t>the total NCAS sample of 19,100 respondents. With respect to gender, the sample comprised 913 young men (55%), 715 young women (43%) and 36 young non-binary (2%) respondents.</w:t>
      </w:r>
      <w:r w:rsidRPr="007D5CED">
        <w:rPr>
          <w:vertAlign w:val="superscript"/>
          <w:lang w:val="en-GB"/>
        </w:rPr>
        <w:footnoteReference w:id="12"/>
      </w:r>
    </w:p>
    <w:p w14:paraId="0F4F4604" w14:textId="77777777" w:rsidR="007D5CED" w:rsidRPr="007D5CED" w:rsidRDefault="007D5CED" w:rsidP="0084332B">
      <w:pPr>
        <w:pStyle w:val="Heading4"/>
      </w:pPr>
      <w:r w:rsidRPr="007D5CED">
        <w:t>Weighting</w:t>
      </w:r>
    </w:p>
    <w:p w14:paraId="6F3DC45E" w14:textId="77777777" w:rsidR="007D5CED" w:rsidRDefault="007D5CED" w:rsidP="00B95F39">
      <w:pPr>
        <w:rPr>
          <w:lang w:val="en-GB"/>
        </w:rPr>
      </w:pPr>
      <w:r w:rsidRPr="007D5CED">
        <w:rPr>
          <w:lang w:val="en-GB"/>
        </w:rPr>
        <w:t xml:space="preserve">To strengthen confidence that the survey results accurately represent the population, responses were weighted based on population benchmarks to align the sample and population demographic profiles within each state and territory. </w:t>
      </w:r>
    </w:p>
    <w:p w14:paraId="2FA33DD7" w14:textId="19F2E212" w:rsidR="007D5CED" w:rsidRPr="007D5CED" w:rsidRDefault="007D5CED" w:rsidP="00DC3FE8">
      <w:pPr>
        <w:pStyle w:val="Heading3"/>
      </w:pPr>
      <w:bookmarkStart w:id="76" w:name="_Toc152532383"/>
      <w:bookmarkStart w:id="77" w:name="_Toc190941669"/>
      <w:bookmarkStart w:id="78" w:name="_Toc190942369"/>
      <w:r w:rsidRPr="007D5CED">
        <w:t>2.4</w:t>
      </w:r>
      <w:r w:rsidR="000B12EE">
        <w:t xml:space="preserve"> </w:t>
      </w:r>
      <w:r w:rsidRPr="007D5CED">
        <w:t>Analysis and reporting</w:t>
      </w:r>
      <w:bookmarkEnd w:id="76"/>
      <w:bookmarkEnd w:id="77"/>
      <w:bookmarkEnd w:id="78"/>
    </w:p>
    <w:p w14:paraId="248825F7" w14:textId="77777777" w:rsidR="007D5CED" w:rsidRPr="007D5CED" w:rsidRDefault="007D5CED" w:rsidP="00B95F39">
      <w:pPr>
        <w:rPr>
          <w:lang w:val="en-GB"/>
        </w:rPr>
      </w:pPr>
      <w:r w:rsidRPr="007D5CED">
        <w:rPr>
          <w:lang w:val="en-GB"/>
        </w:rPr>
        <w:t>Data analysis was conducted both on individual items and on scale and subscale scores.</w:t>
      </w:r>
    </w:p>
    <w:p w14:paraId="16254BCD" w14:textId="166C9687" w:rsidR="007D5CED" w:rsidRPr="007D5CED" w:rsidRDefault="007D5CED" w:rsidP="0056670A">
      <w:pPr>
        <w:rPr>
          <w:lang w:val="en-GB"/>
        </w:rPr>
      </w:pPr>
      <w:r w:rsidRPr="007D5CED">
        <w:rPr>
          <w:rStyle w:val="Strong"/>
          <w:lang w:val="en-GB"/>
        </w:rPr>
        <w:t>Item codes:</w:t>
      </w:r>
      <w:r w:rsidRPr="007D5CED">
        <w:rPr>
          <w:lang w:val="en-GB"/>
        </w:rPr>
        <w:t xml:space="preserve"> To simplify reporting, each item was assigned an alphanumeric code (e.g. V1). The letter in</w:t>
      </w:r>
      <w:r w:rsidR="003B6E5B">
        <w:rPr>
          <w:lang w:val="en-GB"/>
        </w:rPr>
        <w:t> </w:t>
      </w:r>
      <w:r w:rsidRPr="007D5CED">
        <w:rPr>
          <w:lang w:val="en-GB"/>
        </w:rPr>
        <w:t>the code identifies the item’s thematic topic (V = violence against women; D = domestic violence; S</w:t>
      </w:r>
      <w:r w:rsidR="003B6E5B">
        <w:rPr>
          <w:lang w:val="en-GB"/>
        </w:rPr>
        <w:t> </w:t>
      </w:r>
      <w:r w:rsidRPr="007D5CED">
        <w:rPr>
          <w:lang w:val="en-GB"/>
        </w:rPr>
        <w:t>=</w:t>
      </w:r>
      <w:r w:rsidR="003B6E5B">
        <w:rPr>
          <w:lang w:val="en-GB"/>
        </w:rPr>
        <w:t> </w:t>
      </w:r>
      <w:r w:rsidRPr="007D5CED">
        <w:rPr>
          <w:lang w:val="en-GB"/>
        </w:rPr>
        <w:t>sexual violence; G = gender inequality; B = bystander response). The number corresponds to the order in which items within a thematic topic are presented in the NCAS instrument.</w:t>
      </w:r>
    </w:p>
    <w:p w14:paraId="2FD9AD7F" w14:textId="4DCA235E" w:rsidR="007D5CED" w:rsidRPr="007D5CED" w:rsidRDefault="007D5CED" w:rsidP="0056670A">
      <w:pPr>
        <w:rPr>
          <w:lang w:val="en-GB"/>
        </w:rPr>
      </w:pPr>
      <w:r w:rsidRPr="007D5CED">
        <w:rPr>
          <w:rStyle w:val="Strong"/>
          <w:lang w:val="en-US"/>
        </w:rPr>
        <w:t>Scale scores:</w:t>
      </w:r>
      <w:r w:rsidRPr="007D5CED">
        <w:rPr>
          <w:lang w:val="en-GB"/>
        </w:rPr>
        <w:t xml:space="preserve"> Each respondent received a (rescaled Rasch) score on each scale and subscale, based</w:t>
      </w:r>
      <w:r w:rsidR="003B6E5B">
        <w:rPr>
          <w:lang w:val="en-GB"/>
        </w:rPr>
        <w:t> </w:t>
      </w:r>
      <w:r w:rsidRPr="007D5CED">
        <w:rPr>
          <w:lang w:val="en-GB"/>
        </w:rPr>
        <w:t>on</w:t>
      </w:r>
      <w:r w:rsidR="003B6E5B">
        <w:rPr>
          <w:lang w:val="en-GB"/>
        </w:rPr>
        <w:t> </w:t>
      </w:r>
      <w:r w:rsidRPr="007D5CED">
        <w:rPr>
          <w:lang w:val="en-GB"/>
        </w:rPr>
        <w:t>their responses to the items in the scale or subscale. Scores on each scale or subscale could range from 0 to 100. Higher scores indicate a higher understanding of violence against women (UVAWS, TFAS), higher attitudinal rejection of gender inequality (AGIS) or higher attitudinal rejection of violence against women in its various forms (AVAWS, DVS, SVS, SAS, SHS, TFAS). The respondents’ mean score on</w:t>
      </w:r>
      <w:r w:rsidR="003B6E5B">
        <w:rPr>
          <w:lang w:val="en-GB"/>
        </w:rPr>
        <w:t> </w:t>
      </w:r>
      <w:r w:rsidRPr="007D5CED">
        <w:rPr>
          <w:lang w:val="en-GB"/>
        </w:rPr>
        <w:t>each scale or subscale was used to examine respondents’ average level of understanding of violence or their average level of rejection of problematic attitudes towards violence or gender inequality.</w:t>
      </w:r>
    </w:p>
    <w:p w14:paraId="4CE1B98D" w14:textId="743BFED5" w:rsidR="007D5CED" w:rsidRPr="007D5CED" w:rsidRDefault="007D5CED" w:rsidP="0056670A">
      <w:pPr>
        <w:rPr>
          <w:lang w:val="en-GB"/>
        </w:rPr>
      </w:pPr>
      <w:r w:rsidRPr="00353390">
        <w:rPr>
          <w:rStyle w:val="Strong"/>
          <w:lang w:val="en-US"/>
        </w:rPr>
        <w:t>“Advanced” understanding and rejection of problematic attitudes:</w:t>
      </w:r>
      <w:r w:rsidRPr="007D5CED">
        <w:rPr>
          <w:lang w:val="en-GB"/>
        </w:rPr>
        <w:t xml:space="preserve"> Mean scores do not intrinsically indicate what might be considered a very “high” level of understanding or very “progressive” attitudes. Consequently, we classified respondents into “advanced” and “developing” categories to provide information on how Australia is tracking against the aspiration that everyone in the community has “advanced” understanding and attitudes. For each scale, each respondent was placed into one of two categories: “advanced” or “developing”. For the UVAWS, these categories represented “advanced” or</w:t>
      </w:r>
      <w:r w:rsidR="003B6E5B">
        <w:rPr>
          <w:lang w:val="en-GB"/>
        </w:rPr>
        <w:t> </w:t>
      </w:r>
      <w:r w:rsidRPr="007D5CED">
        <w:rPr>
          <w:lang w:val="en-GB"/>
        </w:rPr>
        <w:t>“developing” understanding of violence against women. For the scales measuring attitudes (AGIS,</w:t>
      </w:r>
      <w:r w:rsidR="003B6E5B">
        <w:rPr>
          <w:lang w:val="en-GB"/>
        </w:rPr>
        <w:t> </w:t>
      </w:r>
      <w:r w:rsidRPr="007D5CED">
        <w:rPr>
          <w:lang w:val="en-GB"/>
        </w:rPr>
        <w:t xml:space="preserve">AVAWS, DVS, SVS), </w:t>
      </w:r>
      <w:r w:rsidRPr="007D5CED">
        <w:rPr>
          <w:lang w:val="en-GB"/>
        </w:rPr>
        <w:lastRenderedPageBreak/>
        <w:t>these categories represented “advanced” or “developing” rejection of</w:t>
      </w:r>
      <w:r w:rsidR="003B6E5B">
        <w:rPr>
          <w:lang w:val="en-GB"/>
        </w:rPr>
        <w:t> </w:t>
      </w:r>
      <w:r w:rsidRPr="007D5CED">
        <w:rPr>
          <w:lang w:val="en-GB"/>
        </w:rPr>
        <w:t>problematic attitudes towards violence or gender inequality. The criteria used to define “advanced” understanding and “advanced” attitudes were as follows:</w:t>
      </w:r>
    </w:p>
    <w:p w14:paraId="0A983CF4" w14:textId="35335016" w:rsidR="007D5CED" w:rsidRPr="007D5CED" w:rsidRDefault="007D5CED" w:rsidP="0056670A">
      <w:pPr>
        <w:pStyle w:val="ListBullet"/>
        <w:rPr>
          <w:lang w:val="en-GB"/>
        </w:rPr>
      </w:pPr>
      <w:r w:rsidRPr="007D5CED">
        <w:rPr>
          <w:lang w:val="en-GB"/>
        </w:rPr>
        <w:t>Respondents in the “advanced” understanding category answered “yes, always” the behaviour is</w:t>
      </w:r>
      <w:r w:rsidR="003B6E5B">
        <w:rPr>
          <w:lang w:val="en-GB"/>
        </w:rPr>
        <w:t> </w:t>
      </w:r>
      <w:r w:rsidRPr="007D5CED">
        <w:rPr>
          <w:lang w:val="en-GB"/>
        </w:rPr>
        <w:t xml:space="preserve">violence to at least 75 per cent of the UVAWS items and “yes, usually” to the remaining UVAWS items (or the equivalent). </w:t>
      </w:r>
    </w:p>
    <w:p w14:paraId="0D67113E" w14:textId="472948F6" w:rsidR="007D5CED" w:rsidRPr="007D5CED" w:rsidRDefault="007D5CED" w:rsidP="0056670A">
      <w:pPr>
        <w:pStyle w:val="ListBullet"/>
        <w:rPr>
          <w:vertAlign w:val="superscript"/>
          <w:lang w:val="en-GB"/>
        </w:rPr>
      </w:pPr>
      <w:r w:rsidRPr="007D5CED">
        <w:rPr>
          <w:lang w:val="en-GB"/>
        </w:rPr>
        <w:t>Respondents in the “advanced” rejection category for each attitude scale “strongly disagreed” with</w:t>
      </w:r>
      <w:r w:rsidR="003B6E5B">
        <w:rPr>
          <w:lang w:val="en-GB"/>
        </w:rPr>
        <w:t> </w:t>
      </w:r>
      <w:r w:rsidRPr="007D5CED">
        <w:rPr>
          <w:lang w:val="en-GB"/>
        </w:rPr>
        <w:t>at</w:t>
      </w:r>
      <w:r w:rsidR="003B6E5B">
        <w:rPr>
          <w:lang w:val="en-GB"/>
        </w:rPr>
        <w:t> </w:t>
      </w:r>
      <w:r w:rsidRPr="007D5CED">
        <w:rPr>
          <w:lang w:val="en-GB"/>
        </w:rPr>
        <w:t>least 75 per cent of the items in the scale, which described problematic attitudes, and</w:t>
      </w:r>
      <w:r w:rsidR="003B6E5B">
        <w:rPr>
          <w:lang w:val="en-GB"/>
        </w:rPr>
        <w:t> </w:t>
      </w:r>
      <w:r w:rsidRPr="007D5CED">
        <w:rPr>
          <w:lang w:val="en-GB"/>
        </w:rPr>
        <w:t>“somewhat disagreed” with the remaining items in the scale (or the equivalent).</w:t>
      </w:r>
      <w:r w:rsidRPr="007D5CED">
        <w:rPr>
          <w:vertAlign w:val="superscript"/>
          <w:lang w:val="en-GB"/>
        </w:rPr>
        <w:footnoteReference w:id="13"/>
      </w:r>
    </w:p>
    <w:p w14:paraId="460D3EA1" w14:textId="77777777" w:rsidR="007D5CED" w:rsidRPr="007D5CED" w:rsidRDefault="007D5CED" w:rsidP="0056670A">
      <w:pPr>
        <w:rPr>
          <w:lang w:val="en-GB"/>
        </w:rPr>
      </w:pPr>
      <w:r w:rsidRPr="007D5CED">
        <w:rPr>
          <w:lang w:val="en-GB"/>
        </w:rPr>
        <w:t>Univariate, bivariate and multivariate data analyses were conducted as summarised below.</w:t>
      </w:r>
    </w:p>
    <w:p w14:paraId="05288ECB" w14:textId="77777777" w:rsidR="007D5CED" w:rsidRDefault="007D5CED" w:rsidP="0056670A">
      <w:pPr>
        <w:rPr>
          <w:lang w:val="en-GB"/>
        </w:rPr>
      </w:pPr>
      <w:r w:rsidRPr="007D5CED">
        <w:rPr>
          <w:rStyle w:val="Strong"/>
          <w:lang w:val="en-US"/>
        </w:rPr>
        <w:t>Univariate analysis</w:t>
      </w:r>
      <w:r w:rsidRPr="007D5CED">
        <w:rPr>
          <w:lang w:val="en-GB"/>
        </w:rPr>
        <w:t xml:space="preserve"> involves one variable only and was used to report on young respondents’ responses to each understanding, attitude and bystander item and on the percentage of young respondents categorised as having “advanced” understanding or attitudes according to each scale.</w:t>
      </w:r>
    </w:p>
    <w:p w14:paraId="31C689B1" w14:textId="289D0B4B" w:rsidR="0056670A" w:rsidRPr="007D5CED" w:rsidRDefault="007D5CED" w:rsidP="0056670A">
      <w:pPr>
        <w:rPr>
          <w:lang w:val="en-GB"/>
        </w:rPr>
      </w:pPr>
      <w:r w:rsidRPr="007D5CED">
        <w:rPr>
          <w:rStyle w:val="Strong"/>
          <w:lang w:val="en-US"/>
        </w:rPr>
        <w:t>Bivariate analysis</w:t>
      </w:r>
      <w:r w:rsidRPr="007D5CED">
        <w:rPr>
          <w:lang w:val="en-GB"/>
        </w:rPr>
        <w:t xml:space="preserve"> examines the direct or straightforward relationship between two variables only, such as an outcome of interest (e.g. understanding of violence against women) and one other variable or factor (e.g. a demographic factor such as age), without taking into account the effect of any other variables or factors. The bivariate analyses examined the results for young respondents aged 16 to 24 years on each scale and subscale (based on mean scores) and on each item:</w:t>
      </w:r>
    </w:p>
    <w:p w14:paraId="45FDD486" w14:textId="77777777" w:rsidR="007D5CED" w:rsidRPr="007D5CED" w:rsidRDefault="007D5CED" w:rsidP="0056670A">
      <w:pPr>
        <w:pStyle w:val="ListBullet"/>
        <w:rPr>
          <w:lang w:val="en-GB"/>
        </w:rPr>
      </w:pPr>
      <w:r w:rsidRPr="007D5CED">
        <w:rPr>
          <w:lang w:val="en-GB"/>
        </w:rPr>
        <w:t>over time</w:t>
      </w:r>
    </w:p>
    <w:p w14:paraId="35CEFD3C" w14:textId="77777777" w:rsidR="007D5CED" w:rsidRPr="007D5CED" w:rsidRDefault="007D5CED" w:rsidP="0056670A">
      <w:pPr>
        <w:pStyle w:val="ListBullet"/>
        <w:rPr>
          <w:vertAlign w:val="superscript"/>
          <w:lang w:val="en-GB"/>
        </w:rPr>
      </w:pPr>
      <w:r w:rsidRPr="007D5CED">
        <w:rPr>
          <w:lang w:val="en-GB"/>
        </w:rPr>
        <w:t>split by gender</w:t>
      </w:r>
      <w:r w:rsidRPr="007D5CED">
        <w:rPr>
          <w:vertAlign w:val="superscript"/>
          <w:lang w:val="en-GB"/>
        </w:rPr>
        <w:footnoteReference w:id="14"/>
      </w:r>
    </w:p>
    <w:p w14:paraId="60D5B77E" w14:textId="77777777" w:rsidR="007D5CED" w:rsidRPr="007D5CED" w:rsidRDefault="007D5CED" w:rsidP="0056670A">
      <w:pPr>
        <w:pStyle w:val="ListBullet"/>
        <w:rPr>
          <w:lang w:val="en-GB"/>
        </w:rPr>
      </w:pPr>
      <w:r w:rsidRPr="007D5CED">
        <w:rPr>
          <w:lang w:val="en-GB"/>
        </w:rPr>
        <w:t>split by two youth age groups, namely, 16- to 17-year</w:t>
      </w:r>
      <w:r w:rsidRPr="007D5CED">
        <w:rPr>
          <w:rFonts w:ascii="Cambria Math" w:hAnsi="Cambria Math" w:cs="Cambria Math"/>
          <w:lang w:val="en-GB"/>
        </w:rPr>
        <w:t>‑</w:t>
      </w:r>
      <w:r w:rsidRPr="007D5CED">
        <w:rPr>
          <w:lang w:val="en-GB"/>
        </w:rPr>
        <w:t>olds and 18- to 24-year-olds</w:t>
      </w:r>
    </w:p>
    <w:p w14:paraId="01ED4EAB" w14:textId="13AE8FF8" w:rsidR="007D5CED" w:rsidRPr="007D5CED" w:rsidRDefault="007D5CED" w:rsidP="0056670A">
      <w:pPr>
        <w:pStyle w:val="ListBullet"/>
        <w:rPr>
          <w:lang w:val="en-GB"/>
        </w:rPr>
      </w:pPr>
      <w:r w:rsidRPr="007D5CED">
        <w:rPr>
          <w:lang w:val="en-GB"/>
        </w:rPr>
        <w:t>compared to the results for respondents aged 25</w:t>
      </w:r>
      <w:r w:rsidR="003F45A1">
        <w:rPr>
          <w:lang w:val="en-GB"/>
        </w:rPr>
        <w:t xml:space="preserve"> </w:t>
      </w:r>
      <w:r w:rsidRPr="007D5CED">
        <w:rPr>
          <w:lang w:val="en-GB"/>
        </w:rPr>
        <w:t>years</w:t>
      </w:r>
      <w:r w:rsidRPr="007D5CED">
        <w:rPr>
          <w:lang w:val="en-US"/>
        </w:rPr>
        <w:t xml:space="preserve"> or older</w:t>
      </w:r>
      <w:r w:rsidRPr="007D5CED">
        <w:rPr>
          <w:lang w:val="en-GB"/>
        </w:rPr>
        <w:t>.</w:t>
      </w:r>
    </w:p>
    <w:p w14:paraId="07EFAD32" w14:textId="6D33C2BF" w:rsidR="007D5CED" w:rsidRPr="007D5CED" w:rsidRDefault="007D5CED" w:rsidP="0056670A">
      <w:pPr>
        <w:rPr>
          <w:lang w:val="en-GB"/>
        </w:rPr>
      </w:pPr>
      <w:r w:rsidRPr="007D5CED">
        <w:rPr>
          <w:rStyle w:val="Strong"/>
          <w:lang w:val="en-US"/>
        </w:rPr>
        <w:t>Multiple regression</w:t>
      </w:r>
      <w:r w:rsidRPr="007D5CED">
        <w:rPr>
          <w:lang w:val="en-GB"/>
        </w:rPr>
        <w:t xml:space="preserve"> examines the relationship of an outcome variable of interest (e.g. attitudes towards violence against women) to </w:t>
      </w:r>
      <w:r w:rsidRPr="0073256E">
        <w:rPr>
          <w:rStyle w:val="Emphasis"/>
          <w:lang w:val="en-US"/>
        </w:rPr>
        <w:t>multiple</w:t>
      </w:r>
      <w:r w:rsidRPr="007D5CED">
        <w:rPr>
          <w:lang w:val="en-GB"/>
        </w:rPr>
        <w:t xml:space="preserve"> factors (or input variables) considered together (e.g.</w:t>
      </w:r>
      <w:r w:rsidR="003B6E5B">
        <w:rPr>
          <w:lang w:val="en-GB"/>
        </w:rPr>
        <w:t> </w:t>
      </w:r>
      <w:r w:rsidRPr="007D5CED">
        <w:rPr>
          <w:lang w:val="en-GB"/>
        </w:rPr>
        <w:t xml:space="preserve">multiple demographic characteristics). Multiple regression analysis has the advantage that it can determine which of multiple factors are </w:t>
      </w:r>
      <w:r w:rsidRPr="0073256E">
        <w:rPr>
          <w:rStyle w:val="Emphasis"/>
          <w:lang w:val="en-US"/>
        </w:rPr>
        <w:t>independently</w:t>
      </w:r>
      <w:r w:rsidRPr="007D5CED">
        <w:rPr>
          <w:lang w:val="en-GB"/>
        </w:rPr>
        <w:t xml:space="preserve"> related to or “predict” the outcome variable, </w:t>
      </w:r>
      <w:r w:rsidRPr="0073256E">
        <w:rPr>
          <w:rStyle w:val="Emphasis"/>
          <w:lang w:val="en-US"/>
        </w:rPr>
        <w:t>after</w:t>
      </w:r>
      <w:r w:rsidR="003B6E5B">
        <w:rPr>
          <w:lang w:val="en-GB"/>
        </w:rPr>
        <w:t> </w:t>
      </w:r>
      <w:r w:rsidRPr="007D5CED">
        <w:rPr>
          <w:lang w:val="en-GB"/>
        </w:rPr>
        <w:t xml:space="preserve">accounting for any relationships between the factors, and which factors are </w:t>
      </w:r>
      <w:r w:rsidRPr="0073256E">
        <w:rPr>
          <w:rStyle w:val="Emphasis"/>
          <w:lang w:val="en-US"/>
        </w:rPr>
        <w:t>most important</w:t>
      </w:r>
      <w:r w:rsidRPr="007D5CED">
        <w:rPr>
          <w:lang w:val="en-GB"/>
        </w:rPr>
        <w:t xml:space="preserve"> in</w:t>
      </w:r>
      <w:r w:rsidR="003B6E5B">
        <w:rPr>
          <w:lang w:val="en-GB"/>
        </w:rPr>
        <w:t> </w:t>
      </w:r>
      <w:r w:rsidRPr="007D5CED">
        <w:rPr>
          <w:lang w:val="en-GB"/>
        </w:rPr>
        <w:t xml:space="preserve">predicting the outcome variable. </w:t>
      </w:r>
    </w:p>
    <w:p w14:paraId="10D41E0D" w14:textId="77777777" w:rsidR="007D5CED" w:rsidRPr="007D5CED" w:rsidRDefault="007D5CED" w:rsidP="0056670A">
      <w:pPr>
        <w:rPr>
          <w:lang w:val="en-GB"/>
        </w:rPr>
      </w:pPr>
      <w:r w:rsidRPr="007D5CED">
        <w:rPr>
          <w:lang w:val="en-GB"/>
        </w:rPr>
        <w:t xml:space="preserve">Multiple linear regression models were conducted to examine the factors that are independent predictors of young people’s understanding of violence against women (UVAWS), attitudes towards gender inequality (AGIS) and attitudes towards violence against women (AVAWS). </w:t>
      </w:r>
    </w:p>
    <w:p w14:paraId="34919CC0" w14:textId="553B8FBF" w:rsidR="007D5CED" w:rsidRPr="007D5CED" w:rsidRDefault="007D5CED" w:rsidP="0056670A">
      <w:pPr>
        <w:rPr>
          <w:lang w:val="en-GB"/>
        </w:rPr>
      </w:pPr>
      <w:r w:rsidRPr="007D5CED">
        <w:rPr>
          <w:lang w:val="en-GB"/>
        </w:rPr>
        <w:t>As shown in Table 2-1, a separate multiple regression model was conducted to examine whether scores on each of the UVAWS, AGIS and AVAWS (the outcome variable) could be predicted by a number of</w:t>
      </w:r>
      <w:r w:rsidR="003B6E5B">
        <w:rPr>
          <w:lang w:val="en-GB"/>
        </w:rPr>
        <w:t> </w:t>
      </w:r>
      <w:r w:rsidRPr="007D5CED">
        <w:rPr>
          <w:lang w:val="en-GB"/>
        </w:rPr>
        <w:t>demographic factors (the input variables; Model 1 for each scale). The demographic factors examined as potential predictors in the regressions are listed in the note to Table 2-1. Three additional multiple regression models were conducted using the AVAWS as the outcome variable to examine whether AVAWS scores could be predicted by the following input variables:</w:t>
      </w:r>
    </w:p>
    <w:p w14:paraId="513739A5" w14:textId="77777777" w:rsidR="007D5CED" w:rsidRPr="007D5CED" w:rsidRDefault="007D5CED" w:rsidP="00D72C7D">
      <w:pPr>
        <w:pStyle w:val="ListBullet"/>
        <w:rPr>
          <w:lang w:val="en-GB"/>
        </w:rPr>
      </w:pPr>
      <w:r w:rsidRPr="007D5CED">
        <w:rPr>
          <w:lang w:val="en-GB"/>
        </w:rPr>
        <w:t>UVAWS and AGIS scores (AVAWS Model 2)</w:t>
      </w:r>
    </w:p>
    <w:p w14:paraId="4EAB4080" w14:textId="77777777" w:rsidR="007D5CED" w:rsidRPr="007D5CED" w:rsidRDefault="007D5CED" w:rsidP="00D72C7D">
      <w:pPr>
        <w:pStyle w:val="ListBullet"/>
        <w:rPr>
          <w:lang w:val="en-GB"/>
        </w:rPr>
      </w:pPr>
      <w:r w:rsidRPr="007D5CED">
        <w:rPr>
          <w:lang w:val="en-GB"/>
        </w:rPr>
        <w:t>demographic factors and UVAWS and AGIS scores (AVAWS Model 3)</w:t>
      </w:r>
    </w:p>
    <w:p w14:paraId="1AD650A9" w14:textId="77777777" w:rsidR="007D5CED" w:rsidRPr="007D5CED" w:rsidRDefault="007D5CED" w:rsidP="00D72C7D">
      <w:pPr>
        <w:pStyle w:val="ListBullet"/>
        <w:rPr>
          <w:lang w:val="en-GB"/>
        </w:rPr>
      </w:pPr>
      <w:r w:rsidRPr="007D5CED">
        <w:rPr>
          <w:lang w:val="en-GB"/>
        </w:rPr>
        <w:t>scores on each UVAWS and AGIS subscale (AVAWS Model 4).</w:t>
      </w:r>
    </w:p>
    <w:p w14:paraId="1ABEF9B5" w14:textId="2B7E671A" w:rsidR="002B41A5" w:rsidRDefault="007D5CED" w:rsidP="002B41A5">
      <w:pPr>
        <w:rPr>
          <w:lang w:val="en-GB"/>
        </w:rPr>
      </w:pPr>
      <w:r w:rsidRPr="007D5CED">
        <w:rPr>
          <w:lang w:val="en-GB"/>
        </w:rPr>
        <w:t>As attitudes towards violence against women (AVAWS) are the key focus of the NCAS, the UVAWS and AGIS were examined as potential predictors of the AVAWS, but not vice versa.</w:t>
      </w:r>
    </w:p>
    <w:p w14:paraId="3955D42A" w14:textId="58323F89" w:rsidR="007D5CED" w:rsidRPr="00380074" w:rsidRDefault="006A6B89" w:rsidP="002A2C0C">
      <w:pPr>
        <w:pStyle w:val="datatableheading"/>
      </w:pPr>
      <w:bookmarkStart w:id="79" w:name="_Toc187402241"/>
      <w:r w:rsidRPr="00380074">
        <w:lastRenderedPageBreak/>
        <w:t xml:space="preserve">Table </w:t>
      </w:r>
      <w:r w:rsidR="004A7ED7" w:rsidRPr="00380074">
        <w:fldChar w:fldCharType="begin"/>
      </w:r>
      <w:r w:rsidR="004A7ED7" w:rsidRPr="00380074">
        <w:instrText xml:space="preserve"> STYLEREF 1 \s </w:instrText>
      </w:r>
      <w:r w:rsidR="004A7ED7" w:rsidRPr="00380074">
        <w:fldChar w:fldCharType="separate"/>
      </w:r>
      <w:r w:rsidR="004A7ED7" w:rsidRPr="00380074">
        <w:t>2</w:t>
      </w:r>
      <w:r w:rsidR="004A7ED7" w:rsidRPr="00380074">
        <w:fldChar w:fldCharType="end"/>
      </w:r>
      <w:r w:rsidR="004A7ED7" w:rsidRPr="00380074">
        <w:noBreakHyphen/>
      </w:r>
      <w:r w:rsidR="004A7ED7" w:rsidRPr="00380074">
        <w:fldChar w:fldCharType="begin"/>
      </w:r>
      <w:r w:rsidR="004A7ED7" w:rsidRPr="00380074">
        <w:instrText xml:space="preserve"> SEQ Table \* ARABIC \s 1 </w:instrText>
      </w:r>
      <w:r w:rsidR="004A7ED7" w:rsidRPr="00380074">
        <w:fldChar w:fldCharType="separate"/>
      </w:r>
      <w:r w:rsidR="004A7ED7" w:rsidRPr="00380074">
        <w:t>1</w:t>
      </w:r>
      <w:r w:rsidR="004A7ED7" w:rsidRPr="00380074">
        <w:fldChar w:fldCharType="end"/>
      </w:r>
      <w:r w:rsidR="007D5CED" w:rsidRPr="00380074">
        <w:t>: Youth multiple regression models, 2021</w:t>
      </w:r>
      <w:bookmarkEnd w:id="79"/>
      <w:r w:rsidR="007D5CED" w:rsidRPr="00380074">
        <w:t xml:space="preserve"> </w:t>
      </w:r>
    </w:p>
    <w:tbl>
      <w:tblPr>
        <w:tblStyle w:val="Table-SingleHeaderRow"/>
        <w:tblW w:w="5000" w:type="pct"/>
        <w:tblLook w:val="00A0" w:firstRow="1" w:lastRow="0" w:firstColumn="1" w:lastColumn="0" w:noHBand="0" w:noVBand="0"/>
      </w:tblPr>
      <w:tblGrid>
        <w:gridCol w:w="3571"/>
        <w:gridCol w:w="2087"/>
        <w:gridCol w:w="3980"/>
      </w:tblGrid>
      <w:tr w:rsidR="007D5CED" w:rsidRPr="007D5CED" w14:paraId="4F4A4821" w14:textId="77777777" w:rsidTr="000C2C3A">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1852" w:type="pct"/>
          </w:tcPr>
          <w:p w14:paraId="2CB919F6" w14:textId="77777777" w:rsidR="007D5CED" w:rsidRPr="000C2C3A" w:rsidRDefault="007D5CED" w:rsidP="000C2C3A">
            <w:r w:rsidRPr="000C2C3A">
              <w:t xml:space="preserve">Outcome variable of interest </w:t>
            </w:r>
          </w:p>
        </w:tc>
        <w:tc>
          <w:tcPr>
            <w:tcW w:w="1082" w:type="pct"/>
          </w:tcPr>
          <w:p w14:paraId="5425CFE0" w14:textId="77777777" w:rsidR="007D5CED" w:rsidRPr="000C2C3A" w:rsidRDefault="007D5CED" w:rsidP="000C2C3A">
            <w:pPr>
              <w:cnfStyle w:val="100000000000" w:firstRow="1" w:lastRow="0" w:firstColumn="0" w:lastColumn="0" w:oddVBand="0" w:evenVBand="0" w:oddHBand="0" w:evenHBand="0" w:firstRowFirstColumn="0" w:firstRowLastColumn="0" w:lastRowFirstColumn="0" w:lastRowLastColumn="0"/>
            </w:pPr>
            <w:r w:rsidRPr="000C2C3A">
              <w:t xml:space="preserve">Model number </w:t>
            </w:r>
          </w:p>
        </w:tc>
        <w:tc>
          <w:tcPr>
            <w:tcW w:w="2065" w:type="pct"/>
          </w:tcPr>
          <w:p w14:paraId="49A4B897" w14:textId="77777777" w:rsidR="007D5CED" w:rsidRPr="000C2C3A" w:rsidRDefault="007D5CED" w:rsidP="000C2C3A">
            <w:pPr>
              <w:cnfStyle w:val="100000000000" w:firstRow="1" w:lastRow="0" w:firstColumn="0" w:lastColumn="0" w:oddVBand="0" w:evenVBand="0" w:oddHBand="0" w:evenHBand="0" w:firstRowFirstColumn="0" w:firstRowLastColumn="0" w:lastRowFirstColumn="0" w:lastRowLastColumn="0"/>
            </w:pPr>
            <w:r w:rsidRPr="000C2C3A">
              <w:t xml:space="preserve">Input variables </w:t>
            </w:r>
          </w:p>
        </w:tc>
      </w:tr>
      <w:tr w:rsidR="007D5CED" w:rsidRPr="007D5CED" w14:paraId="7BF0D0FD" w14:textId="77777777" w:rsidTr="000C2C3A">
        <w:trPr>
          <w:trHeight w:val="163"/>
        </w:trPr>
        <w:tc>
          <w:tcPr>
            <w:cnfStyle w:val="001000000000" w:firstRow="0" w:lastRow="0" w:firstColumn="1" w:lastColumn="0" w:oddVBand="0" w:evenVBand="0" w:oddHBand="0" w:evenHBand="0" w:firstRowFirstColumn="0" w:firstRowLastColumn="0" w:lastRowFirstColumn="0" w:lastRowLastColumn="0"/>
            <w:tcW w:w="1852" w:type="pct"/>
          </w:tcPr>
          <w:p w14:paraId="6FBDFA91" w14:textId="77777777" w:rsidR="007D5CED" w:rsidRPr="000C2C3A" w:rsidRDefault="007D5CED" w:rsidP="000C2C3A">
            <w:r w:rsidRPr="000C2C3A">
              <w:t xml:space="preserve">UVAWS </w:t>
            </w:r>
          </w:p>
        </w:tc>
        <w:tc>
          <w:tcPr>
            <w:tcW w:w="1082" w:type="pct"/>
          </w:tcPr>
          <w:p w14:paraId="6642920C"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UVAWS Model 1 </w:t>
            </w:r>
          </w:p>
        </w:tc>
        <w:tc>
          <w:tcPr>
            <w:tcW w:w="2065" w:type="pct"/>
          </w:tcPr>
          <w:p w14:paraId="22E9BC7D"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Demographics </w:t>
            </w:r>
          </w:p>
        </w:tc>
      </w:tr>
      <w:tr w:rsidR="007D5CED" w:rsidRPr="007D5CED" w14:paraId="528CCEC4" w14:textId="77777777" w:rsidTr="000C2C3A">
        <w:trPr>
          <w:trHeight w:val="163"/>
        </w:trPr>
        <w:tc>
          <w:tcPr>
            <w:cnfStyle w:val="001000000000" w:firstRow="0" w:lastRow="0" w:firstColumn="1" w:lastColumn="0" w:oddVBand="0" w:evenVBand="0" w:oddHBand="0" w:evenHBand="0" w:firstRowFirstColumn="0" w:firstRowLastColumn="0" w:lastRowFirstColumn="0" w:lastRowLastColumn="0"/>
            <w:tcW w:w="1852" w:type="pct"/>
          </w:tcPr>
          <w:p w14:paraId="608E61FC" w14:textId="77777777" w:rsidR="007D5CED" w:rsidRPr="000C2C3A" w:rsidRDefault="007D5CED" w:rsidP="000C2C3A">
            <w:r w:rsidRPr="000C2C3A">
              <w:t xml:space="preserve">AGIS </w:t>
            </w:r>
          </w:p>
        </w:tc>
        <w:tc>
          <w:tcPr>
            <w:tcW w:w="1082" w:type="pct"/>
          </w:tcPr>
          <w:p w14:paraId="5151E5ED"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AGIS Model 1 </w:t>
            </w:r>
          </w:p>
        </w:tc>
        <w:tc>
          <w:tcPr>
            <w:tcW w:w="2065" w:type="pct"/>
          </w:tcPr>
          <w:p w14:paraId="4DEE85B8"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Demographics </w:t>
            </w:r>
          </w:p>
        </w:tc>
      </w:tr>
      <w:tr w:rsidR="007D5CED" w:rsidRPr="007D5CED" w14:paraId="022F4393" w14:textId="77777777" w:rsidTr="000C2C3A">
        <w:trPr>
          <w:trHeight w:val="163"/>
        </w:trPr>
        <w:tc>
          <w:tcPr>
            <w:cnfStyle w:val="001000000000" w:firstRow="0" w:lastRow="0" w:firstColumn="1" w:lastColumn="0" w:oddVBand="0" w:evenVBand="0" w:oddHBand="0" w:evenHBand="0" w:firstRowFirstColumn="0" w:firstRowLastColumn="0" w:lastRowFirstColumn="0" w:lastRowLastColumn="0"/>
            <w:tcW w:w="1852" w:type="pct"/>
          </w:tcPr>
          <w:p w14:paraId="7EE516C2" w14:textId="2FF11A2A" w:rsidR="007D5CED" w:rsidRPr="000C2C3A" w:rsidRDefault="00E420A6" w:rsidP="000C2C3A">
            <w:r w:rsidRPr="000C2C3A">
              <w:t>AVAWS</w:t>
            </w:r>
          </w:p>
        </w:tc>
        <w:tc>
          <w:tcPr>
            <w:tcW w:w="1082" w:type="pct"/>
          </w:tcPr>
          <w:p w14:paraId="35A6FD59"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AVAWS Model 1 </w:t>
            </w:r>
          </w:p>
        </w:tc>
        <w:tc>
          <w:tcPr>
            <w:tcW w:w="2065" w:type="pct"/>
          </w:tcPr>
          <w:p w14:paraId="62521652"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Demographics </w:t>
            </w:r>
          </w:p>
        </w:tc>
      </w:tr>
      <w:tr w:rsidR="007D5CED" w:rsidRPr="007D5CED" w14:paraId="3A061C98" w14:textId="77777777" w:rsidTr="000C2C3A">
        <w:trPr>
          <w:trHeight w:val="118"/>
        </w:trPr>
        <w:tc>
          <w:tcPr>
            <w:cnfStyle w:val="001000000000" w:firstRow="0" w:lastRow="0" w:firstColumn="1" w:lastColumn="0" w:oddVBand="0" w:evenVBand="0" w:oddHBand="0" w:evenHBand="0" w:firstRowFirstColumn="0" w:firstRowLastColumn="0" w:lastRowFirstColumn="0" w:lastRowLastColumn="0"/>
            <w:tcW w:w="1852" w:type="pct"/>
          </w:tcPr>
          <w:p w14:paraId="6A401493" w14:textId="6C39431E" w:rsidR="007D5CED" w:rsidRPr="000C2C3A" w:rsidRDefault="00E420A6" w:rsidP="000C2C3A">
            <w:r w:rsidRPr="000C2C3A">
              <w:t xml:space="preserve">  AVAWS</w:t>
            </w:r>
          </w:p>
        </w:tc>
        <w:tc>
          <w:tcPr>
            <w:tcW w:w="1082" w:type="pct"/>
          </w:tcPr>
          <w:p w14:paraId="376231C2"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AVAWS Model 2 </w:t>
            </w:r>
          </w:p>
        </w:tc>
        <w:tc>
          <w:tcPr>
            <w:tcW w:w="2065" w:type="pct"/>
          </w:tcPr>
          <w:p w14:paraId="4D1BAE9A"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UVAWS, AGIS </w:t>
            </w:r>
          </w:p>
        </w:tc>
      </w:tr>
      <w:tr w:rsidR="007D5CED" w:rsidRPr="007D5CED" w14:paraId="310CA160" w14:textId="77777777" w:rsidTr="000C2C3A">
        <w:trPr>
          <w:trHeight w:val="118"/>
        </w:trPr>
        <w:tc>
          <w:tcPr>
            <w:cnfStyle w:val="001000000000" w:firstRow="0" w:lastRow="0" w:firstColumn="1" w:lastColumn="0" w:oddVBand="0" w:evenVBand="0" w:oddHBand="0" w:evenHBand="0" w:firstRowFirstColumn="0" w:firstRowLastColumn="0" w:lastRowFirstColumn="0" w:lastRowLastColumn="0"/>
            <w:tcW w:w="1852" w:type="pct"/>
          </w:tcPr>
          <w:p w14:paraId="1783B41C" w14:textId="31D84B46" w:rsidR="007D5CED" w:rsidRPr="000C2C3A" w:rsidRDefault="00E420A6" w:rsidP="000C2C3A">
            <w:r w:rsidRPr="000C2C3A">
              <w:t xml:space="preserve">  AVAWS</w:t>
            </w:r>
          </w:p>
        </w:tc>
        <w:tc>
          <w:tcPr>
            <w:tcW w:w="1082" w:type="pct"/>
          </w:tcPr>
          <w:p w14:paraId="32A15530"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AVAWS Model 3 </w:t>
            </w:r>
          </w:p>
        </w:tc>
        <w:tc>
          <w:tcPr>
            <w:tcW w:w="2065" w:type="pct"/>
          </w:tcPr>
          <w:p w14:paraId="724DE30F"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Demographics, UVAWS, AGIS </w:t>
            </w:r>
          </w:p>
        </w:tc>
      </w:tr>
      <w:tr w:rsidR="007D5CED" w:rsidRPr="007D5CED" w14:paraId="42700185" w14:textId="77777777" w:rsidTr="000C2C3A">
        <w:trPr>
          <w:trHeight w:val="53"/>
        </w:trPr>
        <w:tc>
          <w:tcPr>
            <w:cnfStyle w:val="001000000000" w:firstRow="0" w:lastRow="0" w:firstColumn="1" w:lastColumn="0" w:oddVBand="0" w:evenVBand="0" w:oddHBand="0" w:evenHBand="0" w:firstRowFirstColumn="0" w:firstRowLastColumn="0" w:lastRowFirstColumn="0" w:lastRowLastColumn="0"/>
            <w:tcW w:w="1852" w:type="pct"/>
          </w:tcPr>
          <w:p w14:paraId="4C979B25" w14:textId="377B35E3" w:rsidR="007D5CED" w:rsidRPr="000C2C3A" w:rsidRDefault="00E420A6" w:rsidP="000C2C3A">
            <w:r w:rsidRPr="000C2C3A">
              <w:t xml:space="preserve">  AVAWS</w:t>
            </w:r>
          </w:p>
        </w:tc>
        <w:tc>
          <w:tcPr>
            <w:tcW w:w="1082" w:type="pct"/>
          </w:tcPr>
          <w:p w14:paraId="6F27A7EA"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AVAWS Model 4 </w:t>
            </w:r>
          </w:p>
        </w:tc>
        <w:tc>
          <w:tcPr>
            <w:tcW w:w="2065" w:type="pct"/>
          </w:tcPr>
          <w:p w14:paraId="5F61B52A" w14:textId="77777777" w:rsidR="007D5CED" w:rsidRPr="000C2C3A" w:rsidRDefault="007D5CED" w:rsidP="000C2C3A">
            <w:pPr>
              <w:cnfStyle w:val="000000000000" w:firstRow="0" w:lastRow="0" w:firstColumn="0" w:lastColumn="0" w:oddVBand="0" w:evenVBand="0" w:oddHBand="0" w:evenHBand="0" w:firstRowFirstColumn="0" w:firstRowLastColumn="0" w:lastRowFirstColumn="0" w:lastRowLastColumn="0"/>
            </w:pPr>
            <w:r w:rsidRPr="000C2C3A">
              <w:t xml:space="preserve">UVAWS subscales, AGIS subscales </w:t>
            </w:r>
          </w:p>
        </w:tc>
      </w:tr>
    </w:tbl>
    <w:p w14:paraId="6EE30F7C" w14:textId="3D40108C" w:rsidR="007D5CED" w:rsidRPr="002D73FE" w:rsidRDefault="007D5CED" w:rsidP="008C29F3">
      <w:pPr>
        <w:pStyle w:val="Normal8pt"/>
      </w:pPr>
      <w:r w:rsidRPr="008C29F3">
        <w:rPr>
          <w:b/>
          <w:bCs/>
        </w:rPr>
        <w:t>Note</w:t>
      </w:r>
      <w:r w:rsidRPr="002D73FE">
        <w:t>: The demographic factors examined as input variables in the models were age, gender, sexuality, language spoken at home, country of birth, remoteness and socioeconomic status of area.</w:t>
      </w:r>
    </w:p>
    <w:p w14:paraId="17D5EC4E" w14:textId="394538C2" w:rsidR="007D5CED"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b/>
          <w:bCs/>
          <w:color w:val="000000"/>
          <w:kern w:val="0"/>
          <w:szCs w:val="18"/>
          <w:lang w:val="en-US"/>
        </w:rPr>
        <w:t>Statistical Significance:</w:t>
      </w:r>
      <w:r w:rsidRPr="007D5CED">
        <w:rPr>
          <w:rFonts w:cs="Open Sans"/>
          <w:color w:val="000000"/>
          <w:kern w:val="0"/>
          <w:szCs w:val="18"/>
          <w:lang w:val="en-GB"/>
        </w:rPr>
        <w:t xml:space="preserve"> Throughout the report,</w:t>
      </w:r>
      <w:r w:rsidRPr="007D5CED">
        <w:rPr>
          <w:rFonts w:cs="Open Sans"/>
          <w:b/>
          <w:bCs/>
          <w:color w:val="000000"/>
          <w:kern w:val="0"/>
          <w:szCs w:val="18"/>
          <w:lang w:val="en-GB"/>
        </w:rPr>
        <w:t xml:space="preserve"> </w:t>
      </w:r>
      <w:r w:rsidRPr="007D5CED">
        <w:rPr>
          <w:rFonts w:cs="Open Sans"/>
          <w:color w:val="000000"/>
          <w:kern w:val="0"/>
          <w:szCs w:val="18"/>
          <w:lang w:val="en-GB"/>
        </w:rPr>
        <w:t>“significant”</w:t>
      </w:r>
      <w:r w:rsidRPr="007D5CED">
        <w:rPr>
          <w:rFonts w:cs="Open Sans"/>
          <w:b/>
          <w:bCs/>
          <w:color w:val="000000"/>
          <w:kern w:val="0"/>
          <w:szCs w:val="18"/>
          <w:lang w:val="en-GB"/>
        </w:rPr>
        <w:t xml:space="preserve"> </w:t>
      </w:r>
      <w:r w:rsidRPr="007D5CED">
        <w:rPr>
          <w:rFonts w:cs="Open Sans"/>
          <w:color w:val="000000"/>
          <w:kern w:val="0"/>
          <w:szCs w:val="18"/>
          <w:lang w:val="en-GB"/>
        </w:rPr>
        <w:t xml:space="preserve">refers to </w:t>
      </w:r>
      <w:r w:rsidRPr="0073256E">
        <w:rPr>
          <w:rStyle w:val="Emphasis"/>
          <w:lang w:val="en-US"/>
        </w:rPr>
        <w:t>statistically significant</w:t>
      </w:r>
      <w:r w:rsidRPr="007D5CED">
        <w:rPr>
          <w:rFonts w:cs="Open Sans"/>
          <w:b/>
          <w:bCs/>
          <w:color w:val="000000"/>
          <w:kern w:val="0"/>
          <w:szCs w:val="18"/>
          <w:lang w:val="en-GB"/>
        </w:rPr>
        <w:t xml:space="preserve"> </w:t>
      </w:r>
      <w:r w:rsidRPr="007D5CED">
        <w:rPr>
          <w:rFonts w:cs="Open Sans"/>
          <w:color w:val="000000"/>
          <w:kern w:val="0"/>
          <w:szCs w:val="18"/>
          <w:lang w:val="en-GB"/>
        </w:rPr>
        <w:t>findings where we can be confident (with 95% certainty) that the difference observed in the survey sample is</w:t>
      </w:r>
      <w:r w:rsidR="003B6E5B">
        <w:rPr>
          <w:rFonts w:cs="Open Sans"/>
          <w:color w:val="000000"/>
          <w:kern w:val="0"/>
          <w:szCs w:val="18"/>
          <w:lang w:val="en-GB"/>
        </w:rPr>
        <w:t> </w:t>
      </w:r>
      <w:r w:rsidRPr="007D5CED">
        <w:rPr>
          <w:rFonts w:cs="Open Sans"/>
          <w:color w:val="000000"/>
          <w:kern w:val="0"/>
          <w:szCs w:val="18"/>
          <w:lang w:val="en-GB"/>
        </w:rPr>
        <w:t>meaningful and likely to represent a true difference in the population (</w:t>
      </w:r>
      <w:r w:rsidRPr="0073256E">
        <w:rPr>
          <w:rStyle w:val="Emphasis"/>
          <w:lang w:val="en-US"/>
        </w:rPr>
        <w:t>p</w:t>
      </w:r>
      <w:r w:rsidRPr="007D5CED">
        <w:rPr>
          <w:rFonts w:cs="Open Sans"/>
          <w:color w:val="000000"/>
          <w:kern w:val="0"/>
          <w:szCs w:val="18"/>
          <w:lang w:val="en-GB"/>
        </w:rPr>
        <w:t xml:space="preserve"> &lt; 0.05) that is not negligible in</w:t>
      </w:r>
      <w:r w:rsidR="003B6E5B">
        <w:rPr>
          <w:rFonts w:cs="Open Sans"/>
          <w:color w:val="000000"/>
          <w:kern w:val="0"/>
          <w:szCs w:val="18"/>
          <w:lang w:val="en-GB"/>
        </w:rPr>
        <w:t> </w:t>
      </w:r>
      <w:r w:rsidRPr="007D5CED">
        <w:rPr>
          <w:rFonts w:cs="Open Sans"/>
          <w:color w:val="000000"/>
          <w:kern w:val="0"/>
          <w:szCs w:val="18"/>
          <w:lang w:val="en-GB"/>
        </w:rPr>
        <w:t xml:space="preserve">size (Cohen’s </w:t>
      </w:r>
      <w:r w:rsidRPr="0073256E">
        <w:rPr>
          <w:rStyle w:val="Emphasis"/>
          <w:lang w:val="en-US"/>
        </w:rPr>
        <w:t>d ≥</w:t>
      </w:r>
      <w:r w:rsidRPr="007D5CED">
        <w:rPr>
          <w:rFonts w:cs="Open Sans"/>
          <w:color w:val="000000"/>
          <w:kern w:val="0"/>
          <w:szCs w:val="18"/>
          <w:lang w:val="en-GB"/>
        </w:rPr>
        <w:t xml:space="preserve"> 0.2 or equivalent).</w:t>
      </w:r>
    </w:p>
    <w:p w14:paraId="04D72150" w14:textId="0BA16C86" w:rsidR="007D5CED" w:rsidRPr="007D5CED" w:rsidRDefault="007D5CED" w:rsidP="00DC3FE8">
      <w:pPr>
        <w:pStyle w:val="Heading3"/>
      </w:pPr>
      <w:bookmarkStart w:id="80" w:name="_Toc152532384"/>
      <w:bookmarkStart w:id="81" w:name="_Toc190941670"/>
      <w:bookmarkStart w:id="82" w:name="_Toc190942370"/>
      <w:r w:rsidRPr="007D5CED">
        <w:t>2.5</w:t>
      </w:r>
      <w:r w:rsidR="000C2C3A">
        <w:t xml:space="preserve"> </w:t>
      </w:r>
      <w:r w:rsidRPr="007D5CED">
        <w:t>Strengths and limitations</w:t>
      </w:r>
      <w:bookmarkEnd w:id="80"/>
      <w:bookmarkEnd w:id="81"/>
      <w:bookmarkEnd w:id="82"/>
    </w:p>
    <w:p w14:paraId="4C25BDA6" w14:textId="77777777" w:rsidR="007D5CED"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The strengths and limitations of the 2021 NCAS are detailed in the Main report (Section 2.6). Some further strengths and limitations apply to this report:</w:t>
      </w:r>
    </w:p>
    <w:p w14:paraId="5EE95CFF" w14:textId="1E6DC155" w:rsidR="007D5CED" w:rsidRPr="007D5CED" w:rsidRDefault="007D5CED" w:rsidP="003C24B1">
      <w:pPr>
        <w:pStyle w:val="ListBullet"/>
        <w:rPr>
          <w:lang w:val="en-GB"/>
        </w:rPr>
      </w:pPr>
      <w:r w:rsidRPr="007D5CED">
        <w:rPr>
          <w:lang w:val="en-GB"/>
        </w:rPr>
        <w:t>Young people (aged 16 to 24 years) were somewhat difficult to reach via the random sampling methodology. As a result, the proportion of young respondents in the NCAS sample (8.7%) was</w:t>
      </w:r>
      <w:r w:rsidR="003B6E5B">
        <w:rPr>
          <w:lang w:val="en-GB"/>
        </w:rPr>
        <w:t> </w:t>
      </w:r>
      <w:r w:rsidRPr="007D5CED">
        <w:rPr>
          <w:lang w:val="en-GB"/>
        </w:rPr>
        <w:t>smaller than the proportion of young people in the Australian population aged 16 years or</w:t>
      </w:r>
      <w:r w:rsidR="003B6E5B">
        <w:rPr>
          <w:lang w:val="en-GB"/>
        </w:rPr>
        <w:t> </w:t>
      </w:r>
      <w:r w:rsidRPr="007D5CED">
        <w:rPr>
          <w:lang w:val="en-GB"/>
        </w:rPr>
        <w:t>older</w:t>
      </w:r>
      <w:r w:rsidR="003B6E5B">
        <w:rPr>
          <w:lang w:val="en-GB"/>
        </w:rPr>
        <w:t> </w:t>
      </w:r>
      <w:r w:rsidRPr="007D5CED">
        <w:rPr>
          <w:lang w:val="en-GB"/>
        </w:rPr>
        <w:t>(14.1%).</w:t>
      </w:r>
      <w:r w:rsidRPr="007D5CED">
        <w:rPr>
          <w:vertAlign w:val="superscript"/>
          <w:lang w:val="en-GB"/>
        </w:rPr>
        <w:footnoteReference w:id="15"/>
      </w:r>
      <w:r w:rsidRPr="007D5CED">
        <w:rPr>
          <w:lang w:val="en-GB"/>
        </w:rPr>
        <w:t xml:space="preserve"> However, the weighting adjusted for the under-representation of young respondents in</w:t>
      </w:r>
      <w:r w:rsidR="003B6E5B">
        <w:rPr>
          <w:lang w:val="en-GB"/>
        </w:rPr>
        <w:t> </w:t>
      </w:r>
      <w:r w:rsidRPr="007D5CED">
        <w:rPr>
          <w:lang w:val="en-GB"/>
        </w:rPr>
        <w:t>the sample and ensured that the results are representative of the population of</w:t>
      </w:r>
      <w:r w:rsidR="003B6E5B">
        <w:rPr>
          <w:lang w:val="en-GB"/>
        </w:rPr>
        <w:t> </w:t>
      </w:r>
      <w:r w:rsidRPr="007D5CED">
        <w:rPr>
          <w:lang w:val="en-GB"/>
        </w:rPr>
        <w:t xml:space="preserve">young Australians. </w:t>
      </w:r>
    </w:p>
    <w:p w14:paraId="39A19EB8" w14:textId="27F1A795" w:rsidR="007D5CED" w:rsidRPr="007D5CED" w:rsidRDefault="007D5CED" w:rsidP="003C24B1">
      <w:pPr>
        <w:pStyle w:val="ListBullet"/>
        <w:rPr>
          <w:lang w:val="en-GB"/>
        </w:rPr>
      </w:pPr>
      <w:r w:rsidRPr="007D5CED">
        <w:rPr>
          <w:lang w:val="en-GB"/>
        </w:rPr>
        <w:t>Survey questions underwent cognitive testing to check that respondents interpreted, processed and</w:t>
      </w:r>
      <w:r w:rsidR="003B6E5B">
        <w:rPr>
          <w:lang w:val="en-GB"/>
        </w:rPr>
        <w:t> </w:t>
      </w:r>
      <w:r w:rsidRPr="007D5CED">
        <w:rPr>
          <w:lang w:val="en-GB"/>
        </w:rPr>
        <w:t xml:space="preserve">responded to questions as intended. Cognitive testing was conducted with young adult respondents 18 to 24 years of age, but not with 16- to 17-year-old respondents. </w:t>
      </w:r>
    </w:p>
    <w:p w14:paraId="0852CAE5" w14:textId="68C987F3" w:rsidR="007D5CED" w:rsidRPr="007D5CED" w:rsidRDefault="007D5CED" w:rsidP="007D5CED">
      <w:pPr>
        <w:suppressAutoHyphens/>
        <w:autoSpaceDE w:val="0"/>
        <w:autoSpaceDN w:val="0"/>
        <w:adjustRightInd w:val="0"/>
        <w:spacing w:before="57" w:after="0" w:line="240" w:lineRule="atLeast"/>
        <w:jc w:val="both"/>
        <w:textAlignment w:val="center"/>
        <w:rPr>
          <w:rFonts w:cs="Open Sans"/>
          <w:color w:val="000000"/>
          <w:kern w:val="0"/>
          <w:szCs w:val="18"/>
          <w:lang w:val="en-GB"/>
        </w:rPr>
      </w:pPr>
      <w:r w:rsidRPr="007D5CED">
        <w:rPr>
          <w:rFonts w:cs="Open Sans"/>
          <w:color w:val="000000"/>
          <w:kern w:val="0"/>
          <w:szCs w:val="18"/>
          <w:lang w:val="en-GB"/>
        </w:rPr>
        <w:t>Results for young respondents are not presented where numbers were insufficient (less than 30 cases) for reliable reporting.</w:t>
      </w:r>
      <w:r w:rsidRPr="007D5CED">
        <w:rPr>
          <w:rFonts w:cs="Open Sans"/>
          <w:color w:val="000000"/>
          <w:kern w:val="0"/>
          <w:szCs w:val="18"/>
          <w:vertAlign w:val="superscript"/>
          <w:lang w:val="en-GB"/>
        </w:rPr>
        <w:footnoteReference w:id="16"/>
      </w:r>
      <w:r w:rsidRPr="007D5CED">
        <w:rPr>
          <w:rFonts w:cs="Open Sans"/>
          <w:color w:val="000000"/>
          <w:kern w:val="0"/>
          <w:szCs w:val="18"/>
          <w:lang w:val="en-GB"/>
        </w:rPr>
        <w:t xml:space="preserve"> </w:t>
      </w:r>
    </w:p>
    <w:bookmarkStart w:id="83" w:name="_Toc152532385"/>
    <w:bookmarkStart w:id="84" w:name="_Toc190941671"/>
    <w:bookmarkStart w:id="85" w:name="_Toc190942371"/>
    <w:p w14:paraId="535D26A5" w14:textId="03C786F0" w:rsidR="007D5CED" w:rsidRPr="003B6E5B" w:rsidRDefault="003B6E5B" w:rsidP="008C29F3">
      <w:pPr>
        <w:pStyle w:val="H2SectionTitle"/>
      </w:pPr>
      <w:r>
        <w:rPr>
          <w:noProof/>
        </w:rPr>
        <w:lastRenderedPageBreak/>
        <mc:AlternateContent>
          <mc:Choice Requires="wps">
            <w:drawing>
              <wp:anchor distT="0" distB="0" distL="114300" distR="114300" simplePos="0" relativeHeight="251658257" behindDoc="0" locked="0" layoutInCell="1" allowOverlap="1" wp14:anchorId="5B45D06B" wp14:editId="51937DB6">
                <wp:simplePos x="0" y="0"/>
                <wp:positionH relativeFrom="column">
                  <wp:posOffset>5124</wp:posOffset>
                </wp:positionH>
                <wp:positionV relativeFrom="paragraph">
                  <wp:posOffset>109</wp:posOffset>
                </wp:positionV>
                <wp:extent cx="382138" cy="382138"/>
                <wp:effectExtent l="0" t="0" r="0" b="0"/>
                <wp:wrapSquare wrapText="bothSides"/>
                <wp:docPr id="34556312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F9733" id="Rectangle 2" o:spid="_x0000_s1026" alt="&quot;&quot;" style="position:absolute;margin-left:.4pt;margin-top:0;width:30.1pt;height:30.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3B6E5B">
        <w:t xml:space="preserve">3 </w:t>
      </w:r>
      <w:r w:rsidR="007D5CED" w:rsidRPr="003B6E5B">
        <w:t>Findings: Benchmarking young people’s understanding and attitudes based on NCAS scales</w:t>
      </w:r>
      <w:bookmarkEnd w:id="83"/>
      <w:bookmarkEnd w:id="84"/>
      <w:bookmarkEnd w:id="85"/>
    </w:p>
    <w:tbl>
      <w:tblPr>
        <w:tblStyle w:val="Yellowcalloutboxlayout"/>
        <w:tblW w:w="0" w:type="auto"/>
        <w:tblLayout w:type="fixed"/>
        <w:tblLook w:val="0000" w:firstRow="0" w:lastRow="0" w:firstColumn="0" w:lastColumn="0" w:noHBand="0" w:noVBand="0"/>
      </w:tblPr>
      <w:tblGrid>
        <w:gridCol w:w="8901"/>
      </w:tblGrid>
      <w:tr w:rsidR="007D5CED" w:rsidRPr="00EA1044" w14:paraId="22C21A11" w14:textId="77777777" w:rsidTr="00750FEF">
        <w:trPr>
          <w:trHeight w:val="60"/>
        </w:trPr>
        <w:tc>
          <w:tcPr>
            <w:tcW w:w="8901" w:type="dxa"/>
          </w:tcPr>
          <w:p w14:paraId="37A07C02" w14:textId="77777777" w:rsidR="007D5CED" w:rsidRPr="007D5CED" w:rsidRDefault="007D5CED" w:rsidP="00B83062">
            <w:pPr>
              <w:pStyle w:val="ChapterIntro"/>
            </w:pPr>
            <w:r w:rsidRPr="007D5CED">
              <w:t>Benchmarking the population’s understanding and attitudes regarding gender equality and violence against women over time allows us to track Australia’s progress towards key indicators for “ending gender-based violence in one generation”</w:t>
            </w:r>
            <w:r w:rsidRPr="0073256E">
              <w:rPr>
                <w:rStyle w:val="Emphasis"/>
              </w:rPr>
              <w:t xml:space="preserve"> </w:t>
            </w:r>
            <w:r w:rsidRPr="007D5CED">
              <w:t>(DSS, 2022, p. 28). Scores on the NCAS scales were used to report on young Australians’ understanding and attitudes in 2021 and over time.</w:t>
            </w:r>
          </w:p>
        </w:tc>
      </w:tr>
    </w:tbl>
    <w:p w14:paraId="3BA63D27" w14:textId="7384D04A" w:rsidR="002B41A5" w:rsidRDefault="002B41A5">
      <w:pPr>
        <w:spacing w:before="0" w:after="0" w:line="240" w:lineRule="auto"/>
        <w:rPr>
          <w:lang w:val="en-GB"/>
        </w:rPr>
      </w:pPr>
      <w:r>
        <w:rPr>
          <w:lang w:val="en-GB"/>
        </w:rPr>
        <w:br w:type="page"/>
      </w:r>
    </w:p>
    <w:p w14:paraId="638D7828" w14:textId="77777777" w:rsidR="003C24B1" w:rsidRPr="007D5CED" w:rsidRDefault="003C24B1" w:rsidP="00750FEF">
      <w:pPr>
        <w:pStyle w:val="ResultsSummaryHeading"/>
      </w:pPr>
      <w:r w:rsidRPr="007D5CED">
        <w:lastRenderedPageBreak/>
        <w:t xml:space="preserve">Benchmarking results </w:t>
      </w:r>
      <w:r w:rsidRPr="00750FEF">
        <w:t>summary</w:t>
      </w:r>
    </w:p>
    <w:p w14:paraId="45478BF2" w14:textId="66577A19" w:rsidR="003C24B1" w:rsidRPr="007D5CED" w:rsidRDefault="003C24B1" w:rsidP="00750FEF">
      <w:pPr>
        <w:pStyle w:val="ResultsSummary"/>
      </w:pPr>
      <w:r w:rsidRPr="007D5CED">
        <w:t>For young Australians, consistent with all Australians more generally (Main report), positive shifts in</w:t>
      </w:r>
      <w:r w:rsidR="009463A2">
        <w:t> </w:t>
      </w:r>
      <w:r w:rsidRPr="007D5CED">
        <w:t>understanding of violence against women and attitudes towards gender inequality and violence against women are occurring slowly.</w:t>
      </w:r>
    </w:p>
    <w:p w14:paraId="64D08E97" w14:textId="5E261EC8" w:rsidR="003C24B1" w:rsidRPr="007D5CED" w:rsidRDefault="003C24B1" w:rsidP="00750FEF">
      <w:pPr>
        <w:pStyle w:val="ResultsSummary"/>
      </w:pPr>
      <w:r w:rsidRPr="007D5CED">
        <w:t>Between 2017 and 2021, there were significant improvements in understanding of violence against women and attitudinal rejection of gender inequality among young Australians and Australians more</w:t>
      </w:r>
      <w:r w:rsidR="009463A2">
        <w:t> </w:t>
      </w:r>
      <w:r w:rsidRPr="007D5CED">
        <w:t xml:space="preserve">generally. Rejection of violence against women also </w:t>
      </w:r>
      <w:r w:rsidRPr="00750FEF">
        <w:t>significantly</w:t>
      </w:r>
      <w:r w:rsidRPr="007D5CED">
        <w:t xml:space="preserve"> improved among young Australians over this period, whereas there was no change for Australians in general.</w:t>
      </w:r>
    </w:p>
    <w:p w14:paraId="2FFB223B" w14:textId="77777777" w:rsidR="003C24B1" w:rsidRPr="007D5CED" w:rsidRDefault="003C24B1" w:rsidP="00750FEF">
      <w:pPr>
        <w:pStyle w:val="ResultsSummary"/>
      </w:pPr>
      <w:r w:rsidRPr="007D5CED">
        <w:t>As seen for all Australians, young Australians’ attitudinal rejection of sexual violence also improved significantly between 2017 and 2021. However, attitudinal rejection of domestic violence plateaued during this period for young Australians and all Australians more generally. Nonetheless, young respondents’ level of understanding of violence and their levels of rejection of both gender inequality and violence against women were at a comparable level in 2021.</w:t>
      </w:r>
    </w:p>
    <w:p w14:paraId="4E2843B2" w14:textId="0E7C8A2C" w:rsidR="003C24B1" w:rsidRPr="007D5CED" w:rsidRDefault="003C24B1" w:rsidP="00750FEF">
      <w:pPr>
        <w:pStyle w:val="ResultsSummary"/>
      </w:pPr>
      <w:r w:rsidRPr="007D5CED">
        <w:t>Similar to all Australians, young Australians have high awareness that violence against women is</w:t>
      </w:r>
      <w:r w:rsidR="009463A2">
        <w:t> </w:t>
      </w:r>
      <w:r w:rsidRPr="007D5CED">
        <w:t>a</w:t>
      </w:r>
      <w:r w:rsidR="009463A2">
        <w:t> </w:t>
      </w:r>
      <w:r w:rsidRPr="007D5CED">
        <w:t>problem in Australia. However, while all age groups could substantially improve their understanding that this violence occurs in their local area, this understanding was somewhat higher</w:t>
      </w:r>
      <w:r w:rsidR="009463A2">
        <w:t> </w:t>
      </w:r>
      <w:r w:rsidRPr="007D5CED">
        <w:t>for</w:t>
      </w:r>
      <w:r w:rsidR="009463A2">
        <w:t> </w:t>
      </w:r>
      <w:r w:rsidRPr="007D5CED">
        <w:t xml:space="preserve">young respondents than for respondents aged 25 years or older. </w:t>
      </w:r>
    </w:p>
    <w:p w14:paraId="0932CDE4" w14:textId="6F5B0081" w:rsidR="007D5CED" w:rsidRPr="007D5CED" w:rsidRDefault="007D5CED" w:rsidP="00A3239A">
      <w:pPr>
        <w:spacing w:before="600"/>
        <w:rPr>
          <w:lang w:val="en-GB"/>
        </w:rPr>
      </w:pPr>
      <w:r w:rsidRPr="007D5CED">
        <w:rPr>
          <w:lang w:val="en-GB"/>
        </w:rPr>
        <w:t>In 2021, similar to all NCAS respondents (Main report), young respondents had high awareness that violence against women is a national problem, but less awareness that violence against women is</w:t>
      </w:r>
      <w:r w:rsidR="009463A2">
        <w:rPr>
          <w:lang w:val="en-GB"/>
        </w:rPr>
        <w:t> </w:t>
      </w:r>
      <w:r w:rsidRPr="007D5CED">
        <w:rPr>
          <w:lang w:val="en-GB"/>
        </w:rPr>
        <w:t>present in their own local community. As Figure 3-1 shows, most young respondents agreed, either</w:t>
      </w:r>
      <w:r w:rsidR="009463A2">
        <w:rPr>
          <w:lang w:val="en-GB"/>
        </w:rPr>
        <w:t> </w:t>
      </w:r>
      <w:r w:rsidRPr="007D5CED">
        <w:rPr>
          <w:lang w:val="en-GB"/>
        </w:rPr>
        <w:t>“somewhat” or “strongly”, that violence against women is a problem in Australia (91%; V1). However, far fewer young respondents agreed, either “somewhat” or “strongly”, that violence against women is a problem in the suburb or town where they live (53%; V2). This finding suggests a</w:t>
      </w:r>
      <w:r w:rsidR="009463A2">
        <w:rPr>
          <w:lang w:val="en-GB"/>
        </w:rPr>
        <w:t> </w:t>
      </w:r>
      <w:r w:rsidRPr="007D5CED">
        <w:rPr>
          <w:lang w:val="en-GB"/>
        </w:rPr>
        <w:t>misconception among Australians of all ages that violence tends to occur generally outside their own networks, rather than everywhere, which may impede recognition that violence is a community-wide social problem requiring action at all levels of society</w:t>
      </w:r>
      <w:r w:rsidR="00213910">
        <w:rPr>
          <w:lang w:val="en-GB"/>
        </w:rPr>
        <w:t>.</w:t>
      </w:r>
    </w:p>
    <w:p w14:paraId="7D116430" w14:textId="69D7CD02" w:rsidR="007D5CED" w:rsidRPr="007D5CED" w:rsidRDefault="007D5CED" w:rsidP="00A3239A">
      <w:pPr>
        <w:rPr>
          <w:szCs w:val="18"/>
          <w:lang w:val="en-GB"/>
        </w:rPr>
      </w:pPr>
      <w:r w:rsidRPr="007D5CED">
        <w:rPr>
          <w:lang w:val="en-GB"/>
        </w:rPr>
        <w:t>Although both young Australians and Australians aged 25 years or older could substantially improve their understanding that violence against women occurs in their own local area, this understanding was</w:t>
      </w:r>
      <w:r w:rsidR="009463A2">
        <w:rPr>
          <w:lang w:val="en-GB"/>
        </w:rPr>
        <w:t> </w:t>
      </w:r>
      <w:r w:rsidRPr="007D5CED">
        <w:rPr>
          <w:lang w:val="en-GB"/>
        </w:rPr>
        <w:t>somewhat higher for young respondents in 2021. Specifically, when asked if violence is a problem in</w:t>
      </w:r>
      <w:r w:rsidR="009463A2">
        <w:rPr>
          <w:lang w:val="en-GB"/>
        </w:rPr>
        <w:t> </w:t>
      </w:r>
      <w:r w:rsidRPr="007D5CED">
        <w:rPr>
          <w:lang w:val="en-GB"/>
        </w:rPr>
        <w:t>their suburb or town, young respondents were both significantly more likely to “somewhat agree” and significantly less likely to say they were “unsure” than respondents aged 25 years or older. However, similar proportions of young respondents and respondents aged 25 years or older “strongly</w:t>
      </w:r>
      <w:r w:rsidR="009463A2">
        <w:rPr>
          <w:lang w:val="en-GB"/>
        </w:rPr>
        <w:t> </w:t>
      </w:r>
      <w:r w:rsidRPr="007D5CED">
        <w:rPr>
          <w:lang w:val="en-GB"/>
        </w:rPr>
        <w:t xml:space="preserve">agreed” with this statement (Appendix B, Table 14-5). </w:t>
      </w:r>
    </w:p>
    <w:p w14:paraId="36232A41" w14:textId="45BDB218" w:rsidR="003E5849" w:rsidRDefault="007D5CED" w:rsidP="0084332B">
      <w:pPr>
        <w:pStyle w:val="Quote"/>
      </w:pPr>
      <w:r w:rsidRPr="007D5CED">
        <w:t>Yeah, there’s kind of that disconnect between, like, knowing it’s happening, but then just not wanting to acknowledge, like, that it’s around you as well.</w:t>
      </w:r>
    </w:p>
    <w:p w14:paraId="25E72584" w14:textId="7F7C9DB5" w:rsidR="002B41A5" w:rsidRDefault="007D5CED" w:rsidP="0084332B">
      <w:pPr>
        <w:pStyle w:val="QuoteSignatureLine"/>
      </w:pPr>
      <w:r w:rsidRPr="007D5CED">
        <w:t>– Youth Ambassador</w:t>
      </w:r>
    </w:p>
    <w:p w14:paraId="13990584" w14:textId="77777777" w:rsidR="009463A2" w:rsidRDefault="009463A2" w:rsidP="00A3239A">
      <w:pPr>
        <w:spacing w:before="0" w:after="0" w:line="240" w:lineRule="auto"/>
        <w:rPr>
          <w:rFonts w:ascii="Hind Medium" w:hAnsi="Hind Medium" w:cs="Hind Medium"/>
          <w:kern w:val="0"/>
          <w:sz w:val="24"/>
          <w:lang w:val="en-GB"/>
        </w:rPr>
      </w:pPr>
      <w:r w:rsidRPr="00EA1044">
        <w:rPr>
          <w:lang w:val="en-AU"/>
        </w:rPr>
        <w:br w:type="page"/>
      </w:r>
    </w:p>
    <w:p w14:paraId="72E4901F" w14:textId="7C9C148B" w:rsidR="003E5849" w:rsidRDefault="007D5CED" w:rsidP="0084332B">
      <w:pPr>
        <w:pStyle w:val="Quote"/>
      </w:pPr>
      <w:r w:rsidRPr="007D5CED">
        <w:lastRenderedPageBreak/>
        <w:t>I think that we have a lack of understanding about what a rapist looks like ... it’s the classic trope of the rapist lurking in a dark alley in a “dodgy suburb” – that wouldn’t occur in your, like, middle upper-class area that you live in. When that’s not the reality.</w:t>
      </w:r>
    </w:p>
    <w:p w14:paraId="1667D476" w14:textId="4579F7B6" w:rsidR="007D5CED" w:rsidRPr="007D5CED" w:rsidRDefault="007D5CED" w:rsidP="0084332B">
      <w:pPr>
        <w:pStyle w:val="QuoteSignatureLine"/>
      </w:pPr>
      <w:r w:rsidRPr="007D5CED">
        <w:t>– Youth Ambassador</w:t>
      </w:r>
    </w:p>
    <w:p w14:paraId="7CCDC300" w14:textId="0ACD01B3" w:rsidR="009463A2" w:rsidRDefault="007D5CED" w:rsidP="0084332B">
      <w:pPr>
        <w:pStyle w:val="Quote"/>
      </w:pPr>
      <w:r w:rsidRPr="007D5CED">
        <w:t>It’s a really difficult thing to come to terms with. That not only could your, you know, daughter, mother, sister, be a victim of sexual assault, but your brother, father, son could be a perpetrator of sexual assault.</w:t>
      </w:r>
    </w:p>
    <w:p w14:paraId="746E9CB5" w14:textId="75C6E466" w:rsidR="003E5849" w:rsidRDefault="007D5CED" w:rsidP="0084332B">
      <w:pPr>
        <w:pStyle w:val="Quote"/>
      </w:pPr>
      <w:r w:rsidRPr="007D5CED">
        <w:t>So I think we probably have a tendency to shield ourselves from that reality as</w:t>
      </w:r>
      <w:r w:rsidR="009463A2">
        <w:t> </w:t>
      </w:r>
      <w:r w:rsidRPr="007D5CED">
        <w:t>well.</w:t>
      </w:r>
    </w:p>
    <w:p w14:paraId="32D8A488" w14:textId="527EB268" w:rsidR="007D5CED" w:rsidRPr="007D5CED" w:rsidRDefault="007D5CED" w:rsidP="0084332B">
      <w:pPr>
        <w:pStyle w:val="QuoteSignatureLine"/>
      </w:pPr>
      <w:r w:rsidRPr="007D5CED">
        <w:t>– Youth Ambassador</w:t>
      </w:r>
    </w:p>
    <w:p w14:paraId="3C2CB82B" w14:textId="52A94FC3" w:rsidR="007D5CED" w:rsidRPr="00446849" w:rsidRDefault="005301E4" w:rsidP="002A2C0C">
      <w:pPr>
        <w:pStyle w:val="figuretableheading"/>
      </w:pPr>
      <w:bookmarkStart w:id="86" w:name="_Toc187401233"/>
      <w:r w:rsidRPr="00446849">
        <w:t xml:space="preserve">Figure </w:t>
      </w:r>
      <w:r w:rsidR="005B3A89" w:rsidRPr="00446849">
        <w:fldChar w:fldCharType="begin"/>
      </w:r>
      <w:r w:rsidR="005B3A89" w:rsidRPr="00446849">
        <w:instrText xml:space="preserve"> STYLEREF 1 \s </w:instrText>
      </w:r>
      <w:r w:rsidR="005B3A89" w:rsidRPr="00446849">
        <w:fldChar w:fldCharType="separate"/>
      </w:r>
      <w:r w:rsidR="005B3A89" w:rsidRPr="00446849">
        <w:t>3</w:t>
      </w:r>
      <w:r w:rsidR="005B3A89" w:rsidRPr="00446849">
        <w:fldChar w:fldCharType="end"/>
      </w:r>
      <w:r w:rsidR="005B3A89" w:rsidRPr="00446849">
        <w:noBreakHyphen/>
      </w:r>
      <w:r w:rsidR="005B3A89" w:rsidRPr="00446849">
        <w:fldChar w:fldCharType="begin"/>
      </w:r>
      <w:r w:rsidR="005B3A89" w:rsidRPr="00446849">
        <w:instrText xml:space="preserve"> SEQ Figure \* ARABIC \s 1 </w:instrText>
      </w:r>
      <w:r w:rsidR="005B3A89" w:rsidRPr="00446849">
        <w:fldChar w:fldCharType="separate"/>
      </w:r>
      <w:r w:rsidR="005B3A89" w:rsidRPr="00446849">
        <w:t>1</w:t>
      </w:r>
      <w:r w:rsidR="005B3A89" w:rsidRPr="00446849">
        <w:fldChar w:fldCharType="end"/>
      </w:r>
      <w:r w:rsidR="007D5CED" w:rsidRPr="00446849">
        <w:t>:</w:t>
      </w:r>
      <w:r w:rsidR="001B3C28">
        <w:t xml:space="preserve"> </w:t>
      </w:r>
      <w:r w:rsidR="007D5CED" w:rsidRPr="00446849">
        <w:t>Perception of violence against women as a problem, 16- to 24-year-olds, 2021</w:t>
      </w:r>
      <w:bookmarkEnd w:id="86"/>
    </w:p>
    <w:p w14:paraId="1AA21D65" w14:textId="65147805" w:rsidR="007D5CED" w:rsidRPr="007D5CED" w:rsidRDefault="00902D74" w:rsidP="00A3239A">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Pr>
          <w:rFonts w:cs="Open Sans"/>
          <w:noProof/>
          <w:color w:val="000000"/>
          <w:kern w:val="0"/>
          <w:szCs w:val="18"/>
          <w:lang w:val="en-GB"/>
        </w:rPr>
        <w:drawing>
          <wp:inline distT="0" distB="0" distL="0" distR="0" wp14:anchorId="5D4D571E" wp14:editId="1D66AF3B">
            <wp:extent cx="6120130" cy="2507615"/>
            <wp:effectExtent l="0" t="0" r="0" b="6985"/>
            <wp:docPr id="1447867104" name="Immagine 2" descr="This is a bar graph that shows the percentage of 16 to 24 year old respondents who think violence against women is a problem in Australia and the suburb or town where they liv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67104" name="Immagine 2" descr="This is a bar graph that shows the percentage of 16 to 24 year old respondents who think violence against women is a problem in Australia and the suburb or town where they live. The data in this graph is in the table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8563" cy="2543849"/>
                    </a:xfrm>
                    <a:prstGeom prst="rect">
                      <a:avLst/>
                    </a:prstGeom>
                  </pic:spPr>
                </pic:pic>
              </a:graphicData>
            </a:graphic>
          </wp:inline>
        </w:drawing>
      </w:r>
    </w:p>
    <w:p w14:paraId="3FCE7257" w14:textId="4B532422" w:rsidR="001B3C28" w:rsidRPr="00750FEF" w:rsidRDefault="006D4F1A" w:rsidP="00750FEF">
      <w:pPr>
        <w:pStyle w:val="figuretableheading"/>
      </w:pPr>
      <w:r w:rsidRPr="00750FEF">
        <w:t>Data table for figure 3-1</w:t>
      </w:r>
      <w:r w:rsidR="007D002F" w:rsidRPr="00750FEF">
        <w:t>:</w:t>
      </w:r>
      <w:r w:rsidR="00750FEF" w:rsidRPr="00750FEF">
        <w:t xml:space="preserve"> </w:t>
      </w:r>
      <w:r w:rsidR="001B3C28" w:rsidRPr="00750FEF">
        <w:t>Violence against women is a problem in…</w:t>
      </w:r>
    </w:p>
    <w:tbl>
      <w:tblPr>
        <w:tblStyle w:val="Table-SingleHeaderRow"/>
        <w:tblW w:w="0" w:type="auto"/>
        <w:tblLook w:val="04A0" w:firstRow="1" w:lastRow="0" w:firstColumn="1" w:lastColumn="0" w:noHBand="0" w:noVBand="1"/>
      </w:tblPr>
      <w:tblGrid>
        <w:gridCol w:w="1709"/>
        <w:gridCol w:w="3253"/>
        <w:gridCol w:w="4536"/>
      </w:tblGrid>
      <w:tr w:rsidR="001D14FF" w:rsidRPr="00750FEF" w14:paraId="3A11AFCE" w14:textId="77777777" w:rsidTr="00750F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9" w:type="dxa"/>
          </w:tcPr>
          <w:p w14:paraId="5E6E778F" w14:textId="77777777" w:rsidR="001D14FF" w:rsidRPr="00750FEF" w:rsidRDefault="001D14FF" w:rsidP="00750FEF">
            <w:pPr>
              <w:pStyle w:val="Tablebody"/>
            </w:pPr>
          </w:p>
        </w:tc>
        <w:tc>
          <w:tcPr>
            <w:tcW w:w="3253" w:type="dxa"/>
          </w:tcPr>
          <w:p w14:paraId="4EED8E67" w14:textId="5F71FA19" w:rsidR="001D14FF" w:rsidRPr="00750FEF" w:rsidRDefault="001D14FF" w:rsidP="00750FEF">
            <w:pPr>
              <w:pStyle w:val="Tablebody"/>
              <w:cnfStyle w:val="100000000000" w:firstRow="1" w:lastRow="0" w:firstColumn="0" w:lastColumn="0" w:oddVBand="0" w:evenVBand="0" w:oddHBand="0" w:evenHBand="0" w:firstRowFirstColumn="0" w:firstRowLastColumn="0" w:lastRowFirstColumn="0" w:lastRowLastColumn="0"/>
            </w:pPr>
            <w:r w:rsidRPr="00750FEF">
              <w:t>Australia (V1)</w:t>
            </w:r>
          </w:p>
        </w:tc>
        <w:tc>
          <w:tcPr>
            <w:tcW w:w="4536" w:type="dxa"/>
          </w:tcPr>
          <w:p w14:paraId="0A7CDD03" w14:textId="33717D9D" w:rsidR="001D14FF" w:rsidRPr="00750FEF" w:rsidRDefault="001D14FF" w:rsidP="00750FEF">
            <w:pPr>
              <w:pStyle w:val="Tablebody"/>
              <w:cnfStyle w:val="100000000000" w:firstRow="1" w:lastRow="0" w:firstColumn="0" w:lastColumn="0" w:oddVBand="0" w:evenVBand="0" w:oddHBand="0" w:evenHBand="0" w:firstRowFirstColumn="0" w:firstRowLastColumn="0" w:lastRowFirstColumn="0" w:lastRowLastColumn="0"/>
            </w:pPr>
            <w:r w:rsidRPr="00750FEF">
              <w:t>The suburb or town where you live (V2)</w:t>
            </w:r>
          </w:p>
        </w:tc>
      </w:tr>
      <w:tr w:rsidR="001D14FF" w:rsidRPr="00750FEF" w14:paraId="15DA9B62"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53924142" w14:textId="46EDC925" w:rsidR="001D14FF" w:rsidRPr="00750FEF" w:rsidRDefault="001D14FF" w:rsidP="00750FEF">
            <w:pPr>
              <w:pStyle w:val="Tablebody"/>
            </w:pPr>
            <w:r w:rsidRPr="00750FEF">
              <w:t>Strongly disagree</w:t>
            </w:r>
          </w:p>
        </w:tc>
        <w:tc>
          <w:tcPr>
            <w:tcW w:w="3253" w:type="dxa"/>
          </w:tcPr>
          <w:p w14:paraId="2CDE6F7F" w14:textId="77777777"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2%</w:t>
            </w:r>
          </w:p>
        </w:tc>
        <w:tc>
          <w:tcPr>
            <w:tcW w:w="4536" w:type="dxa"/>
          </w:tcPr>
          <w:p w14:paraId="6C6831E7" w14:textId="5587A34D"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9%</w:t>
            </w:r>
          </w:p>
        </w:tc>
      </w:tr>
      <w:tr w:rsidR="001D14FF" w:rsidRPr="00750FEF" w14:paraId="29019ADD"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7E87B5F8" w14:textId="0A711875" w:rsidR="001D14FF" w:rsidRPr="00750FEF" w:rsidRDefault="001D14FF" w:rsidP="00750FEF">
            <w:pPr>
              <w:pStyle w:val="Tablebody"/>
            </w:pPr>
            <w:r w:rsidRPr="00750FEF">
              <w:t>Somewhat agree</w:t>
            </w:r>
          </w:p>
        </w:tc>
        <w:tc>
          <w:tcPr>
            <w:tcW w:w="3253" w:type="dxa"/>
          </w:tcPr>
          <w:p w14:paraId="375CF437" w14:textId="4F90B26A"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4%</w:t>
            </w:r>
          </w:p>
        </w:tc>
        <w:tc>
          <w:tcPr>
            <w:tcW w:w="4536" w:type="dxa"/>
          </w:tcPr>
          <w:p w14:paraId="0411A50C" w14:textId="7D19667E"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18%</w:t>
            </w:r>
          </w:p>
        </w:tc>
      </w:tr>
      <w:tr w:rsidR="001D14FF" w:rsidRPr="00750FEF" w14:paraId="3827BA9E"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6E256627" w14:textId="265A35A5" w:rsidR="001D14FF" w:rsidRPr="00750FEF" w:rsidRDefault="001D14FF" w:rsidP="00750FEF">
            <w:pPr>
              <w:pStyle w:val="Tablebody"/>
            </w:pPr>
            <w:r w:rsidRPr="00750FEF">
              <w:t>Neither agree or disagree</w:t>
            </w:r>
          </w:p>
        </w:tc>
        <w:tc>
          <w:tcPr>
            <w:tcW w:w="3253" w:type="dxa"/>
          </w:tcPr>
          <w:p w14:paraId="2BCCD224" w14:textId="16C9B79B"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1%</w:t>
            </w:r>
          </w:p>
        </w:tc>
        <w:tc>
          <w:tcPr>
            <w:tcW w:w="4536" w:type="dxa"/>
          </w:tcPr>
          <w:p w14:paraId="6BA67F2D" w14:textId="7847C41C"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7%</w:t>
            </w:r>
          </w:p>
        </w:tc>
      </w:tr>
      <w:tr w:rsidR="001D14FF" w:rsidRPr="00750FEF" w14:paraId="4769BB75"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64C38D87" w14:textId="4087ECDB" w:rsidR="001D14FF" w:rsidRPr="00750FEF" w:rsidRDefault="001D14FF" w:rsidP="00750FEF">
            <w:pPr>
              <w:pStyle w:val="Tablebody"/>
            </w:pPr>
            <w:r w:rsidRPr="00750FEF">
              <w:t>Somewhat agree</w:t>
            </w:r>
          </w:p>
        </w:tc>
        <w:tc>
          <w:tcPr>
            <w:tcW w:w="3253" w:type="dxa"/>
          </w:tcPr>
          <w:p w14:paraId="3D196915" w14:textId="6ED203A5"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27%</w:t>
            </w:r>
          </w:p>
        </w:tc>
        <w:tc>
          <w:tcPr>
            <w:tcW w:w="4536" w:type="dxa"/>
          </w:tcPr>
          <w:p w14:paraId="12E119D5" w14:textId="6536AC20"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36%</w:t>
            </w:r>
          </w:p>
        </w:tc>
      </w:tr>
      <w:tr w:rsidR="001D14FF" w:rsidRPr="00750FEF" w14:paraId="1A805B7E"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768B98C5" w14:textId="2C823DD7" w:rsidR="001D14FF" w:rsidRPr="00750FEF" w:rsidRDefault="001D14FF" w:rsidP="00750FEF">
            <w:pPr>
              <w:pStyle w:val="Tablebody"/>
            </w:pPr>
            <w:r w:rsidRPr="00750FEF">
              <w:t>Strongly agree</w:t>
            </w:r>
          </w:p>
        </w:tc>
        <w:tc>
          <w:tcPr>
            <w:tcW w:w="3253" w:type="dxa"/>
          </w:tcPr>
          <w:p w14:paraId="6470C4A9" w14:textId="79B0213B"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64%</w:t>
            </w:r>
          </w:p>
        </w:tc>
        <w:tc>
          <w:tcPr>
            <w:tcW w:w="4536" w:type="dxa"/>
          </w:tcPr>
          <w:p w14:paraId="5535746A" w14:textId="08A09704"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17%</w:t>
            </w:r>
          </w:p>
        </w:tc>
      </w:tr>
      <w:tr w:rsidR="001D14FF" w:rsidRPr="00750FEF" w14:paraId="3390A1EF"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47244144" w14:textId="49A9BFA9" w:rsidR="001D14FF" w:rsidRPr="00750FEF" w:rsidRDefault="001D14FF" w:rsidP="00750FEF">
            <w:pPr>
              <w:pStyle w:val="Tablebody"/>
            </w:pPr>
            <w:r w:rsidRPr="00750FEF">
              <w:t>Unsure</w:t>
            </w:r>
          </w:p>
        </w:tc>
        <w:tc>
          <w:tcPr>
            <w:tcW w:w="3253" w:type="dxa"/>
          </w:tcPr>
          <w:p w14:paraId="54E8A60B" w14:textId="140601DA"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2%</w:t>
            </w:r>
          </w:p>
        </w:tc>
        <w:tc>
          <w:tcPr>
            <w:tcW w:w="4536" w:type="dxa"/>
          </w:tcPr>
          <w:p w14:paraId="7C36D3C0" w14:textId="656A7AFA"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r w:rsidRPr="00750FEF">
              <w:t>13%</w:t>
            </w:r>
          </w:p>
        </w:tc>
      </w:tr>
      <w:tr w:rsidR="001D14FF" w:rsidRPr="00750FEF" w14:paraId="3DBEB81E" w14:textId="77777777" w:rsidTr="00750FEF">
        <w:tc>
          <w:tcPr>
            <w:cnfStyle w:val="001000000000" w:firstRow="0" w:lastRow="0" w:firstColumn="1" w:lastColumn="0" w:oddVBand="0" w:evenVBand="0" w:oddHBand="0" w:evenHBand="0" w:firstRowFirstColumn="0" w:firstRowLastColumn="0" w:lastRowFirstColumn="0" w:lastRowLastColumn="0"/>
            <w:tcW w:w="1709" w:type="dxa"/>
          </w:tcPr>
          <w:p w14:paraId="14EF0445" w14:textId="384FB29F" w:rsidR="001D14FF" w:rsidRPr="00750FEF" w:rsidRDefault="001D14FF" w:rsidP="00750FEF">
            <w:pPr>
              <w:pStyle w:val="Tablebody"/>
            </w:pPr>
            <w:r w:rsidRPr="00750FEF">
              <w:t>Unanswered</w:t>
            </w:r>
          </w:p>
        </w:tc>
        <w:tc>
          <w:tcPr>
            <w:tcW w:w="3253" w:type="dxa"/>
          </w:tcPr>
          <w:p w14:paraId="30839027" w14:textId="77777777"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p>
        </w:tc>
        <w:tc>
          <w:tcPr>
            <w:tcW w:w="4536" w:type="dxa"/>
          </w:tcPr>
          <w:p w14:paraId="423DEDC7" w14:textId="77777777" w:rsidR="001D14FF" w:rsidRPr="00750FEF" w:rsidRDefault="001D14FF" w:rsidP="00750FEF">
            <w:pPr>
              <w:pStyle w:val="Tablebody"/>
              <w:cnfStyle w:val="000000000000" w:firstRow="0" w:lastRow="0" w:firstColumn="0" w:lastColumn="0" w:oddVBand="0" w:evenVBand="0" w:oddHBand="0" w:evenHBand="0" w:firstRowFirstColumn="0" w:firstRowLastColumn="0" w:lastRowFirstColumn="0" w:lastRowLastColumn="0"/>
            </w:pPr>
          </w:p>
        </w:tc>
      </w:tr>
    </w:tbl>
    <w:p w14:paraId="5C00884A" w14:textId="77777777" w:rsidR="00750FEF" w:rsidRDefault="00E27DB9" w:rsidP="00750FEF">
      <w:pPr>
        <w:pStyle w:val="Normal8pt"/>
      </w:pPr>
      <w:r w:rsidRPr="008E6594">
        <w:rPr>
          <w:rStyle w:val="Strong"/>
        </w:rPr>
        <w:t>Note:</w:t>
      </w:r>
      <w:r w:rsidRPr="007D5CED">
        <w:t xml:space="preserve"> </w:t>
      </w:r>
      <w:r w:rsidRPr="0073256E">
        <w:rPr>
          <w:rStyle w:val="Emphasis"/>
        </w:rPr>
        <w:t>N</w:t>
      </w:r>
      <w:r w:rsidRPr="007D5CED">
        <w:t xml:space="preserve"> = 487. </w:t>
      </w:r>
      <w:bookmarkStart w:id="87" w:name="_Toc152532386"/>
    </w:p>
    <w:p w14:paraId="52130161" w14:textId="5152770F" w:rsidR="007D5CED" w:rsidRPr="007D5CED" w:rsidRDefault="007D5CED" w:rsidP="00DC3FE8">
      <w:pPr>
        <w:pStyle w:val="Heading3"/>
      </w:pPr>
      <w:bookmarkStart w:id="88" w:name="_Toc190941672"/>
      <w:bookmarkStart w:id="89" w:name="_Toc190942372"/>
      <w:r w:rsidRPr="007D5CED">
        <w:lastRenderedPageBreak/>
        <w:t>3.1</w:t>
      </w:r>
      <w:r w:rsidR="00750FEF">
        <w:t xml:space="preserve"> </w:t>
      </w:r>
      <w:r w:rsidRPr="00E3358B">
        <w:t>Benchmarking over time: Young people’s understanding and attitudes</w:t>
      </w:r>
      <w:bookmarkEnd w:id="87"/>
      <w:bookmarkEnd w:id="88"/>
      <w:bookmarkEnd w:id="89"/>
    </w:p>
    <w:p w14:paraId="3E28BC7B" w14:textId="77777777" w:rsidR="007D5CED" w:rsidRPr="007D5CED" w:rsidRDefault="007D5CED" w:rsidP="00A3239A">
      <w:pPr>
        <w:rPr>
          <w:lang w:val="en-GB"/>
        </w:rPr>
      </w:pPr>
      <w:r w:rsidRPr="007D5CED">
        <w:rPr>
          <w:lang w:val="en-GB"/>
        </w:rPr>
        <w:t xml:space="preserve">Similar to all respondents (Main report), young respondents showed significant improvements over time in their understanding of violence against women and their attitudes towards both gender inequality and violence against women. </w:t>
      </w:r>
    </w:p>
    <w:p w14:paraId="3F5A45D3" w14:textId="2138A5EC" w:rsidR="007D5CED" w:rsidRPr="007D5CED" w:rsidRDefault="007D5CED" w:rsidP="00A3239A">
      <w:pPr>
        <w:rPr>
          <w:lang w:val="en-GB"/>
        </w:rPr>
      </w:pPr>
      <w:r w:rsidRPr="007D5CED">
        <w:rPr>
          <w:lang w:val="en-GB"/>
        </w:rPr>
        <w:t>Figures 3-2 to 3-4 show changes in mean scale scores over time for young respondents. As was the case for all respondents (Main report), young respondents’ overall understanding and attitudinal rejection of gendered violence and gender inequality improved significantly over time according to</w:t>
      </w:r>
      <w:r w:rsidR="00164806">
        <w:rPr>
          <w:lang w:val="en-GB"/>
        </w:rPr>
        <w:t> </w:t>
      </w:r>
      <w:r w:rsidRPr="007D5CED">
        <w:rPr>
          <w:lang w:val="en-GB"/>
        </w:rPr>
        <w:t>mean GVIS scores (Figure 3-2).</w:t>
      </w:r>
    </w:p>
    <w:p w14:paraId="4EF0BB0C" w14:textId="127F60DA" w:rsidR="003E5849" w:rsidRDefault="007D5CED" w:rsidP="0084332B">
      <w:pPr>
        <w:pStyle w:val="Quote"/>
      </w:pPr>
      <w:r w:rsidRPr="007D5CED">
        <w:t>Our understanding of sexual violence and what constitutes it is improving because</w:t>
      </w:r>
      <w:r w:rsidR="00164806">
        <w:t> </w:t>
      </w:r>
      <w:r w:rsidRPr="007D5CED">
        <w:t>it’s been more prevalent in the media. Like … 2021 … was the year that Brittany</w:t>
      </w:r>
      <w:r w:rsidR="00164806">
        <w:t> </w:t>
      </w:r>
      <w:r w:rsidRPr="007D5CED">
        <w:t>Higgins came forward with her allegation, that Grace Tame was the Australian of</w:t>
      </w:r>
      <w:r w:rsidR="00164806">
        <w:t> </w:t>
      </w:r>
      <w:r w:rsidRPr="007D5CED">
        <w:t>the Year and that Chanel [Contos] kicked off Teach Us Consent ... And</w:t>
      </w:r>
      <w:r w:rsidR="00164806">
        <w:t> </w:t>
      </w:r>
      <w:r w:rsidRPr="007D5CED">
        <w:t>with that came a better understanding that sexual violence is not just men lurking in</w:t>
      </w:r>
      <w:r w:rsidR="00164806">
        <w:t> </w:t>
      </w:r>
      <w:r w:rsidRPr="007D5CED">
        <w:t>alleyways, that there’s a whole umbrella and spectrum of behaviour that will be</w:t>
      </w:r>
      <w:r w:rsidR="00164806">
        <w:t> </w:t>
      </w:r>
      <w:r w:rsidRPr="007D5CED">
        <w:t>considered sexual violence and that has real life consequences for people.</w:t>
      </w:r>
    </w:p>
    <w:p w14:paraId="05359243" w14:textId="0444883D" w:rsidR="007D5CED" w:rsidRPr="007D5CED" w:rsidRDefault="007D5CED" w:rsidP="0084332B">
      <w:pPr>
        <w:pStyle w:val="QuoteSignatureLine"/>
      </w:pPr>
      <w:r w:rsidRPr="007D5CED">
        <w:t>– Youth Ambassador</w:t>
      </w:r>
    </w:p>
    <w:p w14:paraId="7338C950" w14:textId="3BB3378E" w:rsidR="007D5CED" w:rsidRPr="007D5CED" w:rsidRDefault="002B41A5" w:rsidP="002A2C0C">
      <w:pPr>
        <w:pStyle w:val="figuretableheading"/>
      </w:pPr>
      <w:bookmarkStart w:id="90" w:name="_Toc187401234"/>
      <w:r>
        <w:t xml:space="preserve">Figure </w:t>
      </w:r>
      <w:r w:rsidR="005B3A89">
        <w:fldChar w:fldCharType="begin"/>
      </w:r>
      <w:r w:rsidR="005B3A89">
        <w:instrText xml:space="preserve"> STYLEREF 1 \s </w:instrText>
      </w:r>
      <w:r w:rsidR="005B3A89">
        <w:fldChar w:fldCharType="separate"/>
      </w:r>
      <w:r w:rsidR="005B3A89">
        <w:t>3</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2</w:t>
      </w:r>
      <w:r w:rsidR="005B3A89">
        <w:fldChar w:fldCharType="end"/>
      </w:r>
      <w:r>
        <w:t xml:space="preserve">: </w:t>
      </w:r>
      <w:r w:rsidR="007D5CED" w:rsidRPr="007D5CED">
        <w:t>Understanding and rejection of gendered violence and inequality over time (GVIS scores), 16- to 24-year-olds, 2009 to 2021</w:t>
      </w:r>
      <w:bookmarkEnd w:id="90"/>
    </w:p>
    <w:p w14:paraId="648FEC02" w14:textId="52B05280" w:rsidR="007D5CED" w:rsidRDefault="002B41A5" w:rsidP="00A3239A">
      <w:pPr>
        <w:rPr>
          <w:lang w:val="en-GB"/>
        </w:rPr>
      </w:pPr>
      <w:r>
        <w:rPr>
          <w:noProof/>
          <w:lang w:val="en-GB"/>
        </w:rPr>
        <w:drawing>
          <wp:inline distT="0" distB="0" distL="0" distR="0" wp14:anchorId="5159D064" wp14:editId="4DB40796">
            <wp:extent cx="6120130" cy="1591945"/>
            <wp:effectExtent l="0" t="0" r="1270" b="0"/>
            <wp:docPr id="974777801" name="Immagine 4" descr="This is a line graph that shows the understanding and rejection of gendered violence and inequality (mean GVIS score). The data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77801" name="Immagine 4" descr="This is a line graph that shows the understanding and rejection of gendered violence and inequality (mean GVIS score). The data in this graph is in the table below.&#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1591945"/>
                    </a:xfrm>
                    <a:prstGeom prst="rect">
                      <a:avLst/>
                    </a:prstGeom>
                  </pic:spPr>
                </pic:pic>
              </a:graphicData>
            </a:graphic>
          </wp:inline>
        </w:drawing>
      </w:r>
    </w:p>
    <w:p w14:paraId="207F21C6" w14:textId="66504248" w:rsidR="0001784A" w:rsidRPr="00750FEF" w:rsidRDefault="0001784A" w:rsidP="00750FEF">
      <w:pPr>
        <w:pStyle w:val="figuretableheading"/>
      </w:pPr>
      <w:r w:rsidRPr="00750FEF">
        <w:t>Data table for figure 3-2</w:t>
      </w:r>
      <w:r w:rsidR="001B3C28" w:rsidRPr="00750FEF">
        <w:t>:</w:t>
      </w:r>
      <w:r w:rsidR="00750FEF" w:rsidRPr="00750FEF">
        <w:t xml:space="preserve"> </w:t>
      </w:r>
      <w:r w:rsidR="001B3C28" w:rsidRPr="00750FEF">
        <w:t xml:space="preserve">Understanding and rejection of gendered violence and inequality </w:t>
      </w:r>
      <w:r w:rsidR="007D002F" w:rsidRPr="00750FEF">
        <w:t xml:space="preserve">(mean </w:t>
      </w:r>
      <w:r w:rsidR="001B3C28" w:rsidRPr="00750FEF">
        <w:t>GVIS score</w:t>
      </w:r>
      <w:r w:rsidR="007D002F" w:rsidRPr="00750FEF">
        <w:t>)</w:t>
      </w:r>
    </w:p>
    <w:tbl>
      <w:tblPr>
        <w:tblStyle w:val="Table-SingleHeaderRow"/>
        <w:tblW w:w="0" w:type="auto"/>
        <w:tblLook w:val="04A0" w:firstRow="1" w:lastRow="0" w:firstColumn="1" w:lastColumn="0" w:noHBand="0" w:noVBand="1"/>
      </w:tblPr>
      <w:tblGrid>
        <w:gridCol w:w="1985"/>
        <w:gridCol w:w="6379"/>
      </w:tblGrid>
      <w:tr w:rsidR="006227C0" w:rsidRPr="008E6594" w14:paraId="3820DE11" w14:textId="77777777" w:rsidTr="00750F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12336F1" w14:textId="1AB40F66" w:rsidR="006227C0" w:rsidRPr="00750FEF" w:rsidRDefault="006227C0" w:rsidP="00750FEF">
            <w:pPr>
              <w:pStyle w:val="Tablebody"/>
            </w:pPr>
            <w:r w:rsidRPr="00750FEF">
              <w:t>NACS wave (year)</w:t>
            </w:r>
          </w:p>
        </w:tc>
        <w:tc>
          <w:tcPr>
            <w:tcW w:w="6379" w:type="dxa"/>
          </w:tcPr>
          <w:p w14:paraId="2EFF96AB" w14:textId="06E6DF63" w:rsidR="006227C0" w:rsidRPr="00750FEF" w:rsidRDefault="00B378A9" w:rsidP="00750FEF">
            <w:pPr>
              <w:pStyle w:val="Tablebody"/>
              <w:cnfStyle w:val="100000000000" w:firstRow="1" w:lastRow="0" w:firstColumn="0" w:lastColumn="0" w:oddVBand="0" w:evenVBand="0" w:oddHBand="0" w:evenHBand="0" w:firstRowFirstColumn="0" w:firstRowLastColumn="0" w:lastRowFirstColumn="0" w:lastRowLastColumn="0"/>
            </w:pPr>
            <w:r w:rsidRPr="00750FEF">
              <w:t>Mean GVIS score</w:t>
            </w:r>
          </w:p>
        </w:tc>
      </w:tr>
      <w:tr w:rsidR="006227C0" w14:paraId="6D3C13E1" w14:textId="77777777" w:rsidTr="00750FEF">
        <w:tc>
          <w:tcPr>
            <w:cnfStyle w:val="001000000000" w:firstRow="0" w:lastRow="0" w:firstColumn="1" w:lastColumn="0" w:oddVBand="0" w:evenVBand="0" w:oddHBand="0" w:evenHBand="0" w:firstRowFirstColumn="0" w:firstRowLastColumn="0" w:lastRowFirstColumn="0" w:lastRowLastColumn="0"/>
            <w:tcW w:w="1985" w:type="dxa"/>
          </w:tcPr>
          <w:p w14:paraId="5FF3F576" w14:textId="386A7929" w:rsidR="006227C0" w:rsidRPr="00750FEF" w:rsidRDefault="006227C0" w:rsidP="00750FEF">
            <w:pPr>
              <w:pStyle w:val="Tablebody"/>
            </w:pPr>
            <w:r w:rsidRPr="00750FEF">
              <w:t>2009</w:t>
            </w:r>
          </w:p>
        </w:tc>
        <w:tc>
          <w:tcPr>
            <w:tcW w:w="6379" w:type="dxa"/>
          </w:tcPr>
          <w:p w14:paraId="2D1C8E0E" w14:textId="5C2F200E"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61*</w:t>
            </w:r>
          </w:p>
        </w:tc>
      </w:tr>
      <w:tr w:rsidR="006227C0" w:rsidRPr="006227C0" w14:paraId="7E4D89B5" w14:textId="77777777" w:rsidTr="00750FEF">
        <w:tc>
          <w:tcPr>
            <w:cnfStyle w:val="001000000000" w:firstRow="0" w:lastRow="0" w:firstColumn="1" w:lastColumn="0" w:oddVBand="0" w:evenVBand="0" w:oddHBand="0" w:evenHBand="0" w:firstRowFirstColumn="0" w:firstRowLastColumn="0" w:lastRowFirstColumn="0" w:lastRowLastColumn="0"/>
            <w:tcW w:w="1985" w:type="dxa"/>
          </w:tcPr>
          <w:p w14:paraId="6418B1F1" w14:textId="63EE1E0D" w:rsidR="006227C0" w:rsidRPr="00750FEF" w:rsidRDefault="006227C0" w:rsidP="00750FEF">
            <w:pPr>
              <w:pStyle w:val="Tablebody"/>
            </w:pPr>
            <w:r w:rsidRPr="00750FEF">
              <w:t>2013</w:t>
            </w:r>
          </w:p>
        </w:tc>
        <w:tc>
          <w:tcPr>
            <w:tcW w:w="6379" w:type="dxa"/>
          </w:tcPr>
          <w:p w14:paraId="226F527A" w14:textId="6014C889"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61*</w:t>
            </w:r>
          </w:p>
        </w:tc>
      </w:tr>
      <w:tr w:rsidR="006227C0" w:rsidRPr="006227C0" w14:paraId="5B5A8B70" w14:textId="77777777" w:rsidTr="00750FEF">
        <w:tc>
          <w:tcPr>
            <w:cnfStyle w:val="001000000000" w:firstRow="0" w:lastRow="0" w:firstColumn="1" w:lastColumn="0" w:oddVBand="0" w:evenVBand="0" w:oddHBand="0" w:evenHBand="0" w:firstRowFirstColumn="0" w:firstRowLastColumn="0" w:lastRowFirstColumn="0" w:lastRowLastColumn="0"/>
            <w:tcW w:w="1985" w:type="dxa"/>
          </w:tcPr>
          <w:p w14:paraId="5DDA863B" w14:textId="68AAC2C1" w:rsidR="006227C0" w:rsidRPr="00750FEF" w:rsidRDefault="006227C0" w:rsidP="00750FEF">
            <w:pPr>
              <w:pStyle w:val="Tablebody"/>
            </w:pPr>
            <w:r w:rsidRPr="00750FEF">
              <w:t>2017</w:t>
            </w:r>
          </w:p>
        </w:tc>
        <w:tc>
          <w:tcPr>
            <w:tcW w:w="6379" w:type="dxa"/>
          </w:tcPr>
          <w:p w14:paraId="235C7993" w14:textId="00354464"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64*</w:t>
            </w:r>
          </w:p>
        </w:tc>
      </w:tr>
      <w:tr w:rsidR="006227C0" w:rsidRPr="006227C0" w14:paraId="0A66204D" w14:textId="77777777" w:rsidTr="00750FEF">
        <w:tc>
          <w:tcPr>
            <w:cnfStyle w:val="001000000000" w:firstRow="0" w:lastRow="0" w:firstColumn="1" w:lastColumn="0" w:oddVBand="0" w:evenVBand="0" w:oddHBand="0" w:evenHBand="0" w:firstRowFirstColumn="0" w:firstRowLastColumn="0" w:lastRowFirstColumn="0" w:lastRowLastColumn="0"/>
            <w:tcW w:w="1985" w:type="dxa"/>
          </w:tcPr>
          <w:p w14:paraId="5259D4C2" w14:textId="5BB1C616" w:rsidR="006227C0" w:rsidRPr="00750FEF" w:rsidRDefault="006227C0" w:rsidP="00750FEF">
            <w:pPr>
              <w:pStyle w:val="Tablebody"/>
            </w:pPr>
            <w:r w:rsidRPr="00750FEF">
              <w:t>2021</w:t>
            </w:r>
          </w:p>
        </w:tc>
        <w:tc>
          <w:tcPr>
            <w:tcW w:w="6379" w:type="dxa"/>
          </w:tcPr>
          <w:p w14:paraId="5B43F6E8" w14:textId="02069E29"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66</w:t>
            </w:r>
          </w:p>
        </w:tc>
      </w:tr>
    </w:tbl>
    <w:p w14:paraId="08C7E5DD" w14:textId="2E62F42F" w:rsidR="00C74134" w:rsidRPr="005C5EE1" w:rsidRDefault="005C5EE1" w:rsidP="00A3239A">
      <w:pPr>
        <w:pStyle w:val="Normal8pt"/>
      </w:pPr>
      <w:r w:rsidRPr="008C29F3">
        <w:rPr>
          <w:b/>
        </w:rPr>
        <w:t>Note</w:t>
      </w:r>
      <w:r w:rsidRPr="007D5CED">
        <w:rPr>
          <w:bCs/>
        </w:rPr>
        <w:t>:</w:t>
      </w:r>
      <w:r w:rsidRPr="007D5CED">
        <w:t xml:space="preserve"> </w:t>
      </w:r>
      <w:r w:rsidRPr="0073256E">
        <w:rPr>
          <w:rStyle w:val="Emphasis"/>
        </w:rPr>
        <w:t>N</w:t>
      </w:r>
      <w:r w:rsidRPr="007D5CED">
        <w:t>s in 2009, 2013, 2017 and 2021 were as follows: 882; 1,923; 1,561; 1,669.</w:t>
      </w:r>
    </w:p>
    <w:p w14:paraId="31A36E7B" w14:textId="77777777" w:rsidR="007D5CED" w:rsidRPr="007D5CED" w:rsidRDefault="007D5CED" w:rsidP="00A3239A">
      <w:pPr>
        <w:pStyle w:val="Normal8pt"/>
      </w:pPr>
      <w:r w:rsidRPr="007D5CED">
        <w:rPr>
          <w:bCs/>
        </w:rPr>
        <w:t>*</w:t>
      </w:r>
      <w:r w:rsidRPr="007D5CED">
        <w:t xml:space="preserve"> Statistically significant difference on this scale between the year indicated and 2021.</w:t>
      </w:r>
    </w:p>
    <w:p w14:paraId="31FE4D48" w14:textId="635A6144" w:rsidR="002B41A5" w:rsidRDefault="007D5CED" w:rsidP="00A3239A">
      <w:pPr>
        <w:rPr>
          <w:lang w:val="en-GB"/>
        </w:rPr>
      </w:pPr>
      <w:r w:rsidRPr="007D5CED">
        <w:rPr>
          <w:lang w:val="en-GB"/>
        </w:rPr>
        <w:t>Young respondents’ mean scores on the UVAWS, AGIS and AVAWS also demonstrated significantly higher understanding of violence against women and higher rejection of gender inequality and violence</w:t>
      </w:r>
      <w:r w:rsidR="00164806">
        <w:rPr>
          <w:lang w:val="en-GB"/>
        </w:rPr>
        <w:t> </w:t>
      </w:r>
      <w:r w:rsidRPr="007D5CED">
        <w:rPr>
          <w:lang w:val="en-GB"/>
        </w:rPr>
        <w:t>against women in 2021 compared to all previous years (2009, 2013</w:t>
      </w:r>
      <w:r w:rsidR="003E5849">
        <w:rPr>
          <w:lang w:val="en-GB"/>
        </w:rPr>
        <w:t xml:space="preserve"> </w:t>
      </w:r>
      <w:r w:rsidRPr="007D5CED">
        <w:rPr>
          <w:lang w:val="en-GB"/>
        </w:rPr>
        <w:t>and 2017; Figure 3-3). These</w:t>
      </w:r>
      <w:r w:rsidR="00164806">
        <w:rPr>
          <w:lang w:val="en-GB"/>
        </w:rPr>
        <w:t> </w:t>
      </w:r>
      <w:r w:rsidRPr="007D5CED">
        <w:rPr>
          <w:lang w:val="en-GB"/>
        </w:rPr>
        <w:t xml:space="preserve">findings were similar to those for all respondents (Main report), with one exception for the AVAWS. Specifically, young respondents significantly improved in their rejection of violence against women in 2021 compared to all previous years, whereas there was a plateau for all Australian respondents between 2017 and 2021 despite an improvement over the longer term. </w:t>
      </w:r>
    </w:p>
    <w:p w14:paraId="40B79F12" w14:textId="1C989CF7" w:rsidR="007D5CED" w:rsidRPr="007D5CED" w:rsidRDefault="002B41A5" w:rsidP="002A2C0C">
      <w:pPr>
        <w:pStyle w:val="figuretableheading"/>
      </w:pPr>
      <w:bookmarkStart w:id="91" w:name="_Toc187401235"/>
      <w:r>
        <w:lastRenderedPageBreak/>
        <w:t xml:space="preserve">Figure </w:t>
      </w:r>
      <w:r w:rsidR="005B3A89">
        <w:fldChar w:fldCharType="begin"/>
      </w:r>
      <w:r w:rsidR="005B3A89">
        <w:instrText xml:space="preserve"> STYLEREF 1 \s </w:instrText>
      </w:r>
      <w:r w:rsidR="005B3A89">
        <w:fldChar w:fldCharType="separate"/>
      </w:r>
      <w:r w:rsidR="005B3A89">
        <w:t>3</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3</w:t>
      </w:r>
      <w:r w:rsidR="005B3A89">
        <w:fldChar w:fldCharType="end"/>
      </w:r>
      <w:r w:rsidR="007D5CED" w:rsidRPr="007D5CED">
        <w:t>: Understanding (UVAWS) and attitudes (AGIS, AVAWS) over time, 16- to 24-year-olds, 2009</w:t>
      </w:r>
      <w:r w:rsidR="00380074">
        <w:t> </w:t>
      </w:r>
      <w:r w:rsidR="007D5CED" w:rsidRPr="007D5CED">
        <w:t>to</w:t>
      </w:r>
      <w:r w:rsidR="00380074">
        <w:t> </w:t>
      </w:r>
      <w:r w:rsidR="007D5CED" w:rsidRPr="007D5CED">
        <w:t>2021</w:t>
      </w:r>
      <w:bookmarkEnd w:id="91"/>
    </w:p>
    <w:p w14:paraId="5F5E4171" w14:textId="37638E52" w:rsidR="007D5CED" w:rsidRPr="007D5CED" w:rsidRDefault="002B41A5" w:rsidP="00A3239A">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Pr>
          <w:rFonts w:cs="Open Sans"/>
          <w:noProof/>
          <w:color w:val="000000"/>
          <w:kern w:val="0"/>
          <w:szCs w:val="18"/>
          <w:lang w:val="en-GB"/>
        </w:rPr>
        <w:drawing>
          <wp:inline distT="0" distB="0" distL="0" distR="0" wp14:anchorId="01579E95" wp14:editId="4927F820">
            <wp:extent cx="6120130" cy="2480310"/>
            <wp:effectExtent l="0" t="0" r="1270" b="0"/>
            <wp:docPr id="1850872490" name="Immagine 5" descr="This is a line graph that shows the understanding or rejection (mean scale score) of violence, gender inequality and violence against women. The data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72490" name="Immagine 5" descr="This is a line graph that shows the understanding or rejection (mean scale score) of violence, gender inequality and violence against women. The data in this graph is in the table below.&#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480310"/>
                    </a:xfrm>
                    <a:prstGeom prst="rect">
                      <a:avLst/>
                    </a:prstGeom>
                  </pic:spPr>
                </pic:pic>
              </a:graphicData>
            </a:graphic>
          </wp:inline>
        </w:drawing>
      </w:r>
    </w:p>
    <w:p w14:paraId="76015281" w14:textId="0D66983E" w:rsidR="0001784A" w:rsidRPr="00750FEF" w:rsidRDefault="0001784A" w:rsidP="00750FEF">
      <w:pPr>
        <w:pStyle w:val="figuretableheading"/>
      </w:pPr>
      <w:r w:rsidRPr="00750FEF">
        <w:t>Data table for figure 3-3</w:t>
      </w:r>
      <w:r w:rsidR="00FA4323" w:rsidRPr="00750FEF">
        <w:t>:</w:t>
      </w:r>
      <w:r w:rsidR="00750FEF" w:rsidRPr="00750FEF">
        <w:t xml:space="preserve"> </w:t>
      </w:r>
      <w:r w:rsidR="00FA4323" w:rsidRPr="00750FEF">
        <w:t xml:space="preserve">Understanding </w:t>
      </w:r>
      <w:r w:rsidR="007D002F" w:rsidRPr="00750FEF">
        <w:t>or rejection (mean scale score)</w:t>
      </w:r>
    </w:p>
    <w:tbl>
      <w:tblPr>
        <w:tblStyle w:val="Table-SingleHeaderRow"/>
        <w:tblW w:w="0" w:type="auto"/>
        <w:tblLook w:val="04A0" w:firstRow="1" w:lastRow="0" w:firstColumn="1" w:lastColumn="0" w:noHBand="0" w:noVBand="1"/>
      </w:tblPr>
      <w:tblGrid>
        <w:gridCol w:w="1879"/>
        <w:gridCol w:w="2657"/>
        <w:gridCol w:w="2268"/>
        <w:gridCol w:w="2410"/>
      </w:tblGrid>
      <w:tr w:rsidR="006227C0" w:rsidRPr="00EA1044" w14:paraId="0765428D"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9" w:type="dxa"/>
          </w:tcPr>
          <w:p w14:paraId="668DB257" w14:textId="25EF594E" w:rsidR="006227C0" w:rsidRPr="00750FEF" w:rsidRDefault="006227C0" w:rsidP="00750FEF">
            <w:pPr>
              <w:pStyle w:val="Tablebody"/>
            </w:pPr>
            <w:r w:rsidRPr="00750FEF">
              <w:t>NACS wave (year)</w:t>
            </w:r>
          </w:p>
        </w:tc>
        <w:tc>
          <w:tcPr>
            <w:tcW w:w="2657" w:type="dxa"/>
          </w:tcPr>
          <w:p w14:paraId="64FFA798" w14:textId="7D454527" w:rsidR="006227C0" w:rsidRPr="00750FEF" w:rsidRDefault="006227C0" w:rsidP="00750FEF">
            <w:pPr>
              <w:pStyle w:val="Tablebody"/>
              <w:cnfStyle w:val="100000000000" w:firstRow="1" w:lastRow="0" w:firstColumn="0" w:lastColumn="0" w:oddVBand="0" w:evenVBand="0" w:oddHBand="0" w:evenHBand="0" w:firstRowFirstColumn="0" w:firstRowLastColumn="0" w:lastRowFirstColumn="0" w:lastRowLastColumn="0"/>
            </w:pPr>
            <w:r w:rsidRPr="00750FEF">
              <w:t>Understanding of violence against women (UVAWS)</w:t>
            </w:r>
            <w:r w:rsidRPr="00750FEF" w:rsidDel="006227C0">
              <w:t xml:space="preserve"> </w:t>
            </w:r>
          </w:p>
        </w:tc>
        <w:tc>
          <w:tcPr>
            <w:tcW w:w="2268" w:type="dxa"/>
          </w:tcPr>
          <w:p w14:paraId="3ECD52F4" w14:textId="657AD716" w:rsidR="006227C0" w:rsidRPr="00750FEF" w:rsidRDefault="006227C0" w:rsidP="00750FEF">
            <w:pPr>
              <w:pStyle w:val="Tablebody"/>
              <w:cnfStyle w:val="100000000000" w:firstRow="1" w:lastRow="0" w:firstColumn="0" w:lastColumn="0" w:oddVBand="0" w:evenVBand="0" w:oddHBand="0" w:evenHBand="0" w:firstRowFirstColumn="0" w:firstRowLastColumn="0" w:lastRowFirstColumn="0" w:lastRowLastColumn="0"/>
            </w:pPr>
            <w:r w:rsidRPr="00750FEF">
              <w:t>Rejection of gender inequality (AGIS)</w:t>
            </w:r>
          </w:p>
        </w:tc>
        <w:tc>
          <w:tcPr>
            <w:tcW w:w="2410" w:type="dxa"/>
          </w:tcPr>
          <w:p w14:paraId="65F42139" w14:textId="349A52D1" w:rsidR="006227C0" w:rsidRPr="00750FEF" w:rsidRDefault="006227C0" w:rsidP="00750FEF">
            <w:pPr>
              <w:pStyle w:val="Tablebody"/>
              <w:cnfStyle w:val="100000000000" w:firstRow="1" w:lastRow="0" w:firstColumn="0" w:lastColumn="0" w:oddVBand="0" w:evenVBand="0" w:oddHBand="0" w:evenHBand="0" w:firstRowFirstColumn="0" w:firstRowLastColumn="0" w:lastRowFirstColumn="0" w:lastRowLastColumn="0"/>
            </w:pPr>
            <w:r w:rsidRPr="00750FEF">
              <w:t>Rejection of violence against women (AVAWS)</w:t>
            </w:r>
          </w:p>
        </w:tc>
      </w:tr>
      <w:tr w:rsidR="006227C0" w:rsidRPr="006227C0" w14:paraId="4767DBBD" w14:textId="77777777" w:rsidTr="008C29F3">
        <w:tc>
          <w:tcPr>
            <w:cnfStyle w:val="001000000000" w:firstRow="0" w:lastRow="0" w:firstColumn="1" w:lastColumn="0" w:oddVBand="0" w:evenVBand="0" w:oddHBand="0" w:evenHBand="0" w:firstRowFirstColumn="0" w:firstRowLastColumn="0" w:lastRowFirstColumn="0" w:lastRowLastColumn="0"/>
            <w:tcW w:w="1879" w:type="dxa"/>
          </w:tcPr>
          <w:p w14:paraId="52B6D5E4" w14:textId="1F67DE04" w:rsidR="006227C0" w:rsidRPr="00750FEF" w:rsidRDefault="006227C0" w:rsidP="00750FEF">
            <w:pPr>
              <w:pStyle w:val="Tablebody"/>
            </w:pPr>
            <w:r w:rsidRPr="00750FEF">
              <w:t>2009</w:t>
            </w:r>
          </w:p>
        </w:tc>
        <w:tc>
          <w:tcPr>
            <w:tcW w:w="2657" w:type="dxa"/>
          </w:tcPr>
          <w:p w14:paraId="4B386E49" w14:textId="2C4E9ADF"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60*</w:t>
            </w:r>
          </w:p>
        </w:tc>
        <w:tc>
          <w:tcPr>
            <w:tcW w:w="2268" w:type="dxa"/>
          </w:tcPr>
          <w:p w14:paraId="4EEBB3EB" w14:textId="1631F920"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64*</w:t>
            </w:r>
          </w:p>
        </w:tc>
        <w:tc>
          <w:tcPr>
            <w:tcW w:w="2410" w:type="dxa"/>
          </w:tcPr>
          <w:p w14:paraId="43623090" w14:textId="74ED230D"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63*</w:t>
            </w:r>
          </w:p>
        </w:tc>
      </w:tr>
      <w:tr w:rsidR="006227C0" w:rsidRPr="0026785B" w14:paraId="0CA1ADAC" w14:textId="77777777" w:rsidTr="008C29F3">
        <w:tc>
          <w:tcPr>
            <w:cnfStyle w:val="001000000000" w:firstRow="0" w:lastRow="0" w:firstColumn="1" w:lastColumn="0" w:oddVBand="0" w:evenVBand="0" w:oddHBand="0" w:evenHBand="0" w:firstRowFirstColumn="0" w:firstRowLastColumn="0" w:lastRowFirstColumn="0" w:lastRowLastColumn="0"/>
            <w:tcW w:w="1879" w:type="dxa"/>
          </w:tcPr>
          <w:p w14:paraId="2FF7EEDC" w14:textId="72C5E623" w:rsidR="006227C0" w:rsidRPr="00750FEF" w:rsidRDefault="006227C0" w:rsidP="00750FEF">
            <w:pPr>
              <w:pStyle w:val="Tablebody"/>
            </w:pPr>
            <w:r w:rsidRPr="00750FEF">
              <w:t>2013</w:t>
            </w:r>
          </w:p>
        </w:tc>
        <w:tc>
          <w:tcPr>
            <w:tcW w:w="2657" w:type="dxa"/>
          </w:tcPr>
          <w:p w14:paraId="559329DD" w14:textId="20F122C4"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60*</w:t>
            </w:r>
          </w:p>
        </w:tc>
        <w:tc>
          <w:tcPr>
            <w:tcW w:w="2268" w:type="dxa"/>
          </w:tcPr>
          <w:p w14:paraId="09B9E91E" w14:textId="66C2226D"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63*</w:t>
            </w:r>
          </w:p>
        </w:tc>
        <w:tc>
          <w:tcPr>
            <w:tcW w:w="2410" w:type="dxa"/>
          </w:tcPr>
          <w:p w14:paraId="3C30D19B" w14:textId="7FE5B72E" w:rsidR="006227C0" w:rsidRPr="00750FEF" w:rsidDel="006D4F1A"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63*</w:t>
            </w:r>
          </w:p>
        </w:tc>
      </w:tr>
      <w:tr w:rsidR="006227C0" w:rsidRPr="006227C0" w14:paraId="2245C8C0" w14:textId="77777777" w:rsidTr="008C29F3">
        <w:tc>
          <w:tcPr>
            <w:cnfStyle w:val="001000000000" w:firstRow="0" w:lastRow="0" w:firstColumn="1" w:lastColumn="0" w:oddVBand="0" w:evenVBand="0" w:oddHBand="0" w:evenHBand="0" w:firstRowFirstColumn="0" w:firstRowLastColumn="0" w:lastRowFirstColumn="0" w:lastRowLastColumn="0"/>
            <w:tcW w:w="1879" w:type="dxa"/>
          </w:tcPr>
          <w:p w14:paraId="52D5EB48" w14:textId="4550A0F7" w:rsidR="006227C0" w:rsidRPr="00750FEF" w:rsidRDefault="006227C0" w:rsidP="00750FEF">
            <w:pPr>
              <w:pStyle w:val="Tablebody"/>
            </w:pPr>
            <w:r w:rsidRPr="00750FEF">
              <w:t>2017</w:t>
            </w:r>
          </w:p>
        </w:tc>
        <w:tc>
          <w:tcPr>
            <w:tcW w:w="2657" w:type="dxa"/>
          </w:tcPr>
          <w:p w14:paraId="73B01473" w14:textId="24DDC169"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62*</w:t>
            </w:r>
          </w:p>
        </w:tc>
        <w:tc>
          <w:tcPr>
            <w:tcW w:w="2268" w:type="dxa"/>
          </w:tcPr>
          <w:p w14:paraId="450D842D" w14:textId="1C733C9F"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65*</w:t>
            </w:r>
          </w:p>
        </w:tc>
        <w:tc>
          <w:tcPr>
            <w:tcW w:w="2410" w:type="dxa"/>
          </w:tcPr>
          <w:p w14:paraId="32948AB0" w14:textId="7A2BB84E" w:rsidR="006227C0" w:rsidRPr="00750FEF" w:rsidDel="006D4F1A"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66*</w:t>
            </w:r>
          </w:p>
        </w:tc>
      </w:tr>
      <w:tr w:rsidR="006227C0" w:rsidRPr="006227C0" w14:paraId="45B8FBF8" w14:textId="77777777" w:rsidTr="008C29F3">
        <w:tc>
          <w:tcPr>
            <w:cnfStyle w:val="001000000000" w:firstRow="0" w:lastRow="0" w:firstColumn="1" w:lastColumn="0" w:oddVBand="0" w:evenVBand="0" w:oddHBand="0" w:evenHBand="0" w:firstRowFirstColumn="0" w:firstRowLastColumn="0" w:lastRowFirstColumn="0" w:lastRowLastColumn="0"/>
            <w:tcW w:w="1879" w:type="dxa"/>
          </w:tcPr>
          <w:p w14:paraId="16CC0E05" w14:textId="440A2FC3" w:rsidR="006227C0" w:rsidRPr="00750FEF" w:rsidRDefault="006227C0" w:rsidP="00750FEF">
            <w:pPr>
              <w:pStyle w:val="Tablebody"/>
            </w:pPr>
            <w:r w:rsidRPr="00750FEF">
              <w:t>2021</w:t>
            </w:r>
          </w:p>
        </w:tc>
        <w:tc>
          <w:tcPr>
            <w:tcW w:w="2657" w:type="dxa"/>
          </w:tcPr>
          <w:p w14:paraId="2D428818" w14:textId="2848BBAB"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66</w:t>
            </w:r>
          </w:p>
        </w:tc>
        <w:tc>
          <w:tcPr>
            <w:tcW w:w="2268" w:type="dxa"/>
          </w:tcPr>
          <w:p w14:paraId="6C6BD5FC" w14:textId="2B4C71E2"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67</w:t>
            </w:r>
          </w:p>
        </w:tc>
        <w:tc>
          <w:tcPr>
            <w:tcW w:w="2410" w:type="dxa"/>
          </w:tcPr>
          <w:p w14:paraId="7FFD1982" w14:textId="2CE5764C" w:rsidR="006227C0" w:rsidRPr="00750FEF" w:rsidRDefault="006227C0" w:rsidP="00750FEF">
            <w:pPr>
              <w:pStyle w:val="Tablebody"/>
              <w:cnfStyle w:val="000000000000" w:firstRow="0" w:lastRow="0" w:firstColumn="0" w:lastColumn="0" w:oddVBand="0" w:evenVBand="0" w:oddHBand="0" w:evenHBand="0" w:firstRowFirstColumn="0" w:firstRowLastColumn="0" w:lastRowFirstColumn="0" w:lastRowLastColumn="0"/>
            </w:pPr>
            <w:r w:rsidRPr="00750FEF">
              <w:t>67</w:t>
            </w:r>
          </w:p>
        </w:tc>
      </w:tr>
    </w:tbl>
    <w:p w14:paraId="0637D74A" w14:textId="1535591D" w:rsidR="00E27DB9" w:rsidRPr="007D5CED" w:rsidRDefault="00E27DB9"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s in 2009, 2013, 2017 and 2021 were as follows: </w:t>
      </w:r>
    </w:p>
    <w:p w14:paraId="274AE4C3" w14:textId="77777777" w:rsidR="00E27DB9" w:rsidRPr="002B1880" w:rsidRDefault="00E27DB9" w:rsidP="00A3239A">
      <w:pPr>
        <w:pStyle w:val="Normal8pt"/>
      </w:pPr>
      <w:r w:rsidRPr="002B1880">
        <w:t>UVAWS – 881; 1,913; 763; 1,669</w:t>
      </w:r>
    </w:p>
    <w:p w14:paraId="7F36CD20" w14:textId="77777777" w:rsidR="00E27DB9" w:rsidRPr="002B1880" w:rsidRDefault="00E27DB9" w:rsidP="00A3239A">
      <w:pPr>
        <w:pStyle w:val="Normal8pt"/>
      </w:pPr>
      <w:r w:rsidRPr="002B1880">
        <w:t>AGIS – 823; 1,733; 1,561; 1,663</w:t>
      </w:r>
    </w:p>
    <w:p w14:paraId="74683EFB" w14:textId="77777777" w:rsidR="00E27DB9" w:rsidRPr="002B1880" w:rsidRDefault="00E27DB9" w:rsidP="00A3239A">
      <w:pPr>
        <w:pStyle w:val="Normal8pt"/>
      </w:pPr>
      <w:r w:rsidRPr="002B1880">
        <w:t>AVAWS – 369; 675; 1,561; 1,669.</w:t>
      </w:r>
    </w:p>
    <w:p w14:paraId="3DCD0136" w14:textId="6EBCFADE" w:rsidR="00C74134" w:rsidRPr="008C29F3" w:rsidRDefault="00E27DB9" w:rsidP="00A3239A">
      <w:pPr>
        <w:pStyle w:val="Normal8pt"/>
      </w:pPr>
      <w:r w:rsidRPr="007D5CED">
        <w:t>There were no significant differences between scales in 2021. Comparison of scales in 2021 is discussed in Section 3.2.</w:t>
      </w:r>
    </w:p>
    <w:p w14:paraId="38DBDBDC" w14:textId="77777777" w:rsidR="007D5CED" w:rsidRPr="007D5CED" w:rsidRDefault="007D5CED" w:rsidP="00A3239A">
      <w:pPr>
        <w:pStyle w:val="Normal8pt"/>
      </w:pPr>
      <w:r w:rsidRPr="007D5CED">
        <w:rPr>
          <w:bCs/>
        </w:rPr>
        <w:t>*</w:t>
      </w:r>
      <w:r w:rsidRPr="007D5CED">
        <w:t xml:space="preserve"> Statistically significant difference on this scale between the year indicated and 2021.</w:t>
      </w:r>
    </w:p>
    <w:p w14:paraId="3C959A83" w14:textId="4337E395" w:rsidR="007D5CED" w:rsidRDefault="007D5CED" w:rsidP="00A3239A">
      <w:pPr>
        <w:rPr>
          <w:rFonts w:cs="Open Sans"/>
          <w:color w:val="000000"/>
          <w:kern w:val="0"/>
          <w:szCs w:val="18"/>
          <w:lang w:val="en-GB"/>
        </w:rPr>
      </w:pPr>
      <w:r w:rsidRPr="007D5CED">
        <w:rPr>
          <w:rFonts w:cs="Open Sans"/>
          <w:color w:val="000000"/>
          <w:kern w:val="0"/>
          <w:szCs w:val="18"/>
          <w:lang w:val="en-GB"/>
        </w:rPr>
        <w:t>As Figure 3-4 shows, between 2017 and 2021, young respondents’ rejection of sexual violence (SVS) significantly improved but their attitudes towards domestic violence (DVS) plateaued. Changes in sexual violence attitudes (SVS) included a significant increase in rejection of sexual harassment (SHS) and sexual assault (SAS; Figure 3-5). These findings for young respondents on the SVS and DVS were similar to those for all NCAS respondents (Main report).</w:t>
      </w:r>
    </w:p>
    <w:p w14:paraId="5255778B" w14:textId="6ADEE512" w:rsidR="007D5CED" w:rsidRPr="007D5CED" w:rsidRDefault="002B41A5" w:rsidP="002A2C0C">
      <w:pPr>
        <w:pStyle w:val="figuretableheading"/>
      </w:pPr>
      <w:bookmarkStart w:id="92" w:name="_Toc187401236"/>
      <w:r>
        <w:t xml:space="preserve">Figure </w:t>
      </w:r>
      <w:r w:rsidR="005B3A89">
        <w:fldChar w:fldCharType="begin"/>
      </w:r>
      <w:r w:rsidR="005B3A89">
        <w:instrText xml:space="preserve"> STYLEREF 1 \s </w:instrText>
      </w:r>
      <w:r w:rsidR="005B3A89">
        <w:fldChar w:fldCharType="separate"/>
      </w:r>
      <w:r w:rsidR="005B3A89">
        <w:t>3</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4</w:t>
      </w:r>
      <w:r w:rsidR="005B3A89">
        <w:fldChar w:fldCharType="end"/>
      </w:r>
      <w:r w:rsidR="007D5CED" w:rsidRPr="007D5CED">
        <w:t>: Understanding (TFAS) and attitudes (DVS, SVS, TFAS) regarding types of violence over time, 16- to</w:t>
      </w:r>
      <w:r w:rsidR="002B1880">
        <w:t xml:space="preserve"> </w:t>
      </w:r>
      <w:r w:rsidR="007D5CED" w:rsidRPr="007D5CED">
        <w:t>24-year-olds, 2009 to 2021</w:t>
      </w:r>
      <w:bookmarkEnd w:id="92"/>
    </w:p>
    <w:p w14:paraId="33D7F52D" w14:textId="541CF79C" w:rsidR="007D5CED" w:rsidRPr="007D5CED" w:rsidRDefault="003A7BD2" w:rsidP="00A3239A">
      <w:pPr>
        <w:suppressAutoHyphens/>
        <w:autoSpaceDE w:val="0"/>
        <w:autoSpaceDN w:val="0"/>
        <w:adjustRightInd w:val="0"/>
        <w:spacing w:before="57" w:after="840" w:line="240" w:lineRule="atLeast"/>
        <w:jc w:val="both"/>
        <w:textAlignment w:val="center"/>
        <w:rPr>
          <w:rFonts w:cs="Open Sans"/>
          <w:color w:val="000000"/>
          <w:kern w:val="0"/>
          <w:szCs w:val="18"/>
          <w:lang w:val="en-GB"/>
        </w:rPr>
      </w:pPr>
      <w:r>
        <w:rPr>
          <w:rFonts w:cs="Open Sans"/>
          <w:noProof/>
          <w:color w:val="000000"/>
          <w:kern w:val="0"/>
          <w:szCs w:val="18"/>
          <w:lang w:val="en-GB"/>
        </w:rPr>
        <w:drawing>
          <wp:inline distT="0" distB="0" distL="0" distR="0" wp14:anchorId="7653FC1A" wp14:editId="31FCC540">
            <wp:extent cx="6120130" cy="2480310"/>
            <wp:effectExtent l="0" t="0" r="1270" b="0"/>
            <wp:docPr id="1469758101" name="Immagine 6" descr="This is a line graph that shows the understanding or rejection of domestic violence, sexual violence and technology-facilitated abus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58101" name="Immagine 6" descr="This is a line graph that shows the understanding or rejection of domestic violence, sexual violence and technology-facilitated abuse. The data in this graph is in the table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480310"/>
                    </a:xfrm>
                    <a:prstGeom prst="rect">
                      <a:avLst/>
                    </a:prstGeom>
                  </pic:spPr>
                </pic:pic>
              </a:graphicData>
            </a:graphic>
          </wp:inline>
        </w:drawing>
      </w:r>
    </w:p>
    <w:p w14:paraId="25F50A77" w14:textId="49D3C9AC" w:rsidR="0001784A" w:rsidRPr="008C29F3" w:rsidRDefault="0001784A" w:rsidP="002A2C0C">
      <w:pPr>
        <w:pStyle w:val="datatableheading"/>
        <w:rPr>
          <w:lang w:val="en-AU"/>
        </w:rPr>
      </w:pPr>
      <w:r>
        <w:lastRenderedPageBreak/>
        <w:t>Data table for figure 3-4</w:t>
      </w:r>
      <w:r w:rsidR="001B3C28">
        <w:t>:</w:t>
      </w:r>
      <w:r w:rsidR="001B3C28" w:rsidRPr="001B3C28">
        <w:t xml:space="preserve"> </w:t>
      </w:r>
      <w:r w:rsidR="001B3C28" w:rsidRPr="007D5CED">
        <w:t>Understanding</w:t>
      </w:r>
      <w:r w:rsidR="007D002F">
        <w:t xml:space="preserve"> or rejection (mean scale score)</w:t>
      </w:r>
    </w:p>
    <w:tbl>
      <w:tblPr>
        <w:tblStyle w:val="Table-SingleHeaderRow"/>
        <w:tblW w:w="0" w:type="auto"/>
        <w:tblLook w:val="04A0" w:firstRow="1" w:lastRow="0" w:firstColumn="1" w:lastColumn="0" w:noHBand="0" w:noVBand="1"/>
      </w:tblPr>
      <w:tblGrid>
        <w:gridCol w:w="3245"/>
        <w:gridCol w:w="2028"/>
        <w:gridCol w:w="1256"/>
        <w:gridCol w:w="2827"/>
      </w:tblGrid>
      <w:tr w:rsidR="006227C0" w:rsidRPr="00EA1044" w14:paraId="600BD7AD"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5" w:type="dxa"/>
          </w:tcPr>
          <w:p w14:paraId="04A33486" w14:textId="6C404D1F" w:rsidR="006227C0" w:rsidRPr="007E1C6F" w:rsidRDefault="006227C0" w:rsidP="00A3239A">
            <w:pPr>
              <w:pStyle w:val="Tablebody"/>
            </w:pPr>
            <w:r w:rsidRPr="008E6594">
              <w:rPr>
                <w:bCs/>
              </w:rPr>
              <w:t>NACS wave (year)</w:t>
            </w:r>
          </w:p>
        </w:tc>
        <w:tc>
          <w:tcPr>
            <w:tcW w:w="2028" w:type="dxa"/>
          </w:tcPr>
          <w:p w14:paraId="0422BAD8" w14:textId="248FB8FB" w:rsidR="006227C0" w:rsidRPr="006227C0" w:rsidRDefault="006227C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Rejection of domestic violence (DVS)</w:t>
            </w:r>
          </w:p>
        </w:tc>
        <w:tc>
          <w:tcPr>
            <w:tcW w:w="1256" w:type="dxa"/>
          </w:tcPr>
          <w:p w14:paraId="4366B2DB" w14:textId="0A681D07" w:rsidR="006227C0" w:rsidRPr="006227C0" w:rsidRDefault="006227C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Rejection of sexual violence (SVS)</w:t>
            </w:r>
          </w:p>
        </w:tc>
        <w:tc>
          <w:tcPr>
            <w:tcW w:w="2827" w:type="dxa"/>
          </w:tcPr>
          <w:p w14:paraId="55E852D9" w14:textId="199C9354" w:rsidR="006227C0" w:rsidRPr="006227C0" w:rsidRDefault="006227C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Understanding and rejection of technology-facilitated abuse (TFAS)</w:t>
            </w:r>
          </w:p>
        </w:tc>
      </w:tr>
      <w:tr w:rsidR="006227C0" w:rsidRPr="007E1C6F" w14:paraId="4B560472" w14:textId="77777777" w:rsidTr="008C29F3">
        <w:tc>
          <w:tcPr>
            <w:cnfStyle w:val="001000000000" w:firstRow="0" w:lastRow="0" w:firstColumn="1" w:lastColumn="0" w:oddVBand="0" w:evenVBand="0" w:oddHBand="0" w:evenHBand="0" w:firstRowFirstColumn="0" w:firstRowLastColumn="0" w:lastRowFirstColumn="0" w:lastRowLastColumn="0"/>
            <w:tcW w:w="3245" w:type="dxa"/>
          </w:tcPr>
          <w:p w14:paraId="415DEFB3" w14:textId="1D28A14B" w:rsidR="006227C0" w:rsidRPr="008E6594" w:rsidRDefault="006227C0" w:rsidP="00A3239A">
            <w:pPr>
              <w:pStyle w:val="Tablebody"/>
            </w:pPr>
            <w:r>
              <w:t>2009</w:t>
            </w:r>
          </w:p>
        </w:tc>
        <w:tc>
          <w:tcPr>
            <w:tcW w:w="2028" w:type="dxa"/>
          </w:tcPr>
          <w:p w14:paraId="4BC1766D" w14:textId="7E124D85" w:rsidR="006227C0" w:rsidRPr="007E1C6F"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1256" w:type="dxa"/>
          </w:tcPr>
          <w:p w14:paraId="57E9099D" w14:textId="5CEC96C9" w:rsidR="006227C0" w:rsidRPr="007E1C6F" w:rsidRDefault="006227C0" w:rsidP="00A3239A">
            <w:pPr>
              <w:pStyle w:val="Tablebody"/>
              <w:cnfStyle w:val="000000000000" w:firstRow="0" w:lastRow="0" w:firstColumn="0" w:lastColumn="0" w:oddVBand="0" w:evenVBand="0" w:oddHBand="0" w:evenHBand="0" w:firstRowFirstColumn="0" w:firstRowLastColumn="0" w:lastRowFirstColumn="0" w:lastRowLastColumn="0"/>
            </w:pPr>
          </w:p>
        </w:tc>
        <w:tc>
          <w:tcPr>
            <w:tcW w:w="2827" w:type="dxa"/>
          </w:tcPr>
          <w:p w14:paraId="2222B9F5" w14:textId="7B618BE9" w:rsidR="006227C0" w:rsidRPr="007E1C6F" w:rsidRDefault="006227C0" w:rsidP="00A3239A">
            <w:pPr>
              <w:pStyle w:val="Tablebody"/>
              <w:cnfStyle w:val="000000000000" w:firstRow="0" w:lastRow="0" w:firstColumn="0" w:lastColumn="0" w:oddVBand="0" w:evenVBand="0" w:oddHBand="0" w:evenHBand="0" w:firstRowFirstColumn="0" w:firstRowLastColumn="0" w:lastRowFirstColumn="0" w:lastRowLastColumn="0"/>
            </w:pPr>
          </w:p>
        </w:tc>
      </w:tr>
      <w:tr w:rsidR="006227C0" w:rsidDel="006D4F1A" w14:paraId="6DEAA81D" w14:textId="77777777" w:rsidTr="008C29F3">
        <w:tc>
          <w:tcPr>
            <w:cnfStyle w:val="001000000000" w:firstRow="0" w:lastRow="0" w:firstColumn="1" w:lastColumn="0" w:oddVBand="0" w:evenVBand="0" w:oddHBand="0" w:evenHBand="0" w:firstRowFirstColumn="0" w:firstRowLastColumn="0" w:lastRowFirstColumn="0" w:lastRowLastColumn="0"/>
            <w:tcW w:w="3245" w:type="dxa"/>
          </w:tcPr>
          <w:p w14:paraId="3DF56F51" w14:textId="24D664AA" w:rsidR="006227C0" w:rsidRPr="008E6594" w:rsidRDefault="006227C0" w:rsidP="00A3239A">
            <w:pPr>
              <w:pStyle w:val="Tablebody"/>
            </w:pPr>
            <w:r>
              <w:t>2013</w:t>
            </w:r>
          </w:p>
        </w:tc>
        <w:tc>
          <w:tcPr>
            <w:tcW w:w="2028" w:type="dxa"/>
          </w:tcPr>
          <w:p w14:paraId="0BBC5178" w14:textId="1B8EE9AB"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1256" w:type="dxa"/>
          </w:tcPr>
          <w:p w14:paraId="528E104E" w14:textId="68416340"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p>
        </w:tc>
        <w:tc>
          <w:tcPr>
            <w:tcW w:w="2827" w:type="dxa"/>
          </w:tcPr>
          <w:p w14:paraId="2F146484" w14:textId="2F8986F6" w:rsidR="006227C0" w:rsidDel="006D4F1A" w:rsidRDefault="006227C0" w:rsidP="00A3239A">
            <w:pPr>
              <w:pStyle w:val="Tablebody"/>
              <w:cnfStyle w:val="000000000000" w:firstRow="0" w:lastRow="0" w:firstColumn="0" w:lastColumn="0" w:oddVBand="0" w:evenVBand="0" w:oddHBand="0" w:evenHBand="0" w:firstRowFirstColumn="0" w:firstRowLastColumn="0" w:lastRowFirstColumn="0" w:lastRowLastColumn="0"/>
            </w:pPr>
          </w:p>
        </w:tc>
      </w:tr>
      <w:tr w:rsidR="006227C0" w:rsidDel="006D4F1A" w14:paraId="31E80191" w14:textId="77777777" w:rsidTr="008C29F3">
        <w:tc>
          <w:tcPr>
            <w:cnfStyle w:val="001000000000" w:firstRow="0" w:lastRow="0" w:firstColumn="1" w:lastColumn="0" w:oddVBand="0" w:evenVBand="0" w:oddHBand="0" w:evenHBand="0" w:firstRowFirstColumn="0" w:firstRowLastColumn="0" w:lastRowFirstColumn="0" w:lastRowLastColumn="0"/>
            <w:tcW w:w="3245" w:type="dxa"/>
          </w:tcPr>
          <w:p w14:paraId="5E406276" w14:textId="2C447F4E" w:rsidR="006227C0" w:rsidRPr="008E6594" w:rsidRDefault="006227C0" w:rsidP="00A3239A">
            <w:pPr>
              <w:pStyle w:val="Tablebody"/>
            </w:pPr>
            <w:r>
              <w:t>2017</w:t>
            </w:r>
          </w:p>
        </w:tc>
        <w:tc>
          <w:tcPr>
            <w:tcW w:w="2028" w:type="dxa"/>
          </w:tcPr>
          <w:p w14:paraId="670E2181" w14:textId="72D94CA5"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256" w:type="dxa"/>
          </w:tcPr>
          <w:p w14:paraId="24284D7F" w14:textId="44E58EBB"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2827" w:type="dxa"/>
          </w:tcPr>
          <w:p w14:paraId="3931CFBD" w14:textId="300BACE3" w:rsidR="006227C0" w:rsidDel="006D4F1A" w:rsidRDefault="006227C0" w:rsidP="00A3239A">
            <w:pPr>
              <w:pStyle w:val="Tablebody"/>
              <w:cnfStyle w:val="000000000000" w:firstRow="0" w:lastRow="0" w:firstColumn="0" w:lastColumn="0" w:oddVBand="0" w:evenVBand="0" w:oddHBand="0" w:evenHBand="0" w:firstRowFirstColumn="0" w:firstRowLastColumn="0" w:lastRowFirstColumn="0" w:lastRowLastColumn="0"/>
            </w:pPr>
          </w:p>
        </w:tc>
      </w:tr>
      <w:tr w:rsidR="006227C0" w:rsidDel="006D4F1A" w14:paraId="36701376" w14:textId="77777777" w:rsidTr="008C29F3">
        <w:tc>
          <w:tcPr>
            <w:cnfStyle w:val="001000000000" w:firstRow="0" w:lastRow="0" w:firstColumn="1" w:lastColumn="0" w:oddVBand="0" w:evenVBand="0" w:oddHBand="0" w:evenHBand="0" w:firstRowFirstColumn="0" w:firstRowLastColumn="0" w:lastRowFirstColumn="0" w:lastRowLastColumn="0"/>
            <w:tcW w:w="3245" w:type="dxa"/>
          </w:tcPr>
          <w:p w14:paraId="37F649E3" w14:textId="1663458F" w:rsidR="006227C0" w:rsidRDefault="006227C0" w:rsidP="00A3239A">
            <w:pPr>
              <w:pStyle w:val="Tablebody"/>
            </w:pPr>
            <w:r>
              <w:t>2021</w:t>
            </w:r>
          </w:p>
        </w:tc>
        <w:tc>
          <w:tcPr>
            <w:tcW w:w="2028" w:type="dxa"/>
          </w:tcPr>
          <w:p w14:paraId="7E7D5A3C" w14:textId="7DB6BA98"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256" w:type="dxa"/>
          </w:tcPr>
          <w:p w14:paraId="29FBA8A8" w14:textId="3C149282"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69*</w:t>
            </w:r>
            <w:r w:rsidRPr="008C29F3">
              <w:rPr>
                <w:kern w:val="2"/>
                <w:sz w:val="20"/>
                <w:vertAlign w:val="superscript"/>
              </w:rPr>
              <w:t>1</w:t>
            </w:r>
          </w:p>
        </w:tc>
        <w:tc>
          <w:tcPr>
            <w:tcW w:w="2827" w:type="dxa"/>
          </w:tcPr>
          <w:p w14:paraId="36820E6C" w14:textId="0EE622A4" w:rsidR="006227C0" w:rsidRDefault="006227C0" w:rsidP="00A3239A">
            <w:pPr>
              <w:pStyle w:val="Tablebody"/>
              <w:cnfStyle w:val="000000000000" w:firstRow="0" w:lastRow="0" w:firstColumn="0" w:lastColumn="0" w:oddVBand="0" w:evenVBand="0" w:oddHBand="0" w:evenHBand="0" w:firstRowFirstColumn="0" w:firstRowLastColumn="0" w:lastRowFirstColumn="0" w:lastRowLastColumn="0"/>
            </w:pPr>
            <w:r>
              <w:t>67</w:t>
            </w:r>
          </w:p>
        </w:tc>
      </w:tr>
    </w:tbl>
    <w:p w14:paraId="4BDE3B1F" w14:textId="77777777" w:rsidR="00E27DB9" w:rsidRPr="007D5CED" w:rsidRDefault="00E27DB9" w:rsidP="00A3239A">
      <w:pPr>
        <w:pStyle w:val="Normal8pt"/>
      </w:pPr>
      <w:r w:rsidRPr="008C29F3">
        <w:rPr>
          <w:b/>
        </w:rPr>
        <w:t>Note</w:t>
      </w:r>
      <w:r w:rsidRPr="007D5CED">
        <w:rPr>
          <w:bCs/>
        </w:rPr>
        <w:t>:</w:t>
      </w:r>
      <w:r w:rsidRPr="007D5CED">
        <w:t xml:space="preserve"> “na” (below) means reliable data was not available. </w:t>
      </w:r>
      <w:r w:rsidRPr="0073256E">
        <w:rPr>
          <w:rStyle w:val="Emphasis"/>
        </w:rPr>
        <w:t>N</w:t>
      </w:r>
      <w:r w:rsidRPr="007D5CED">
        <w:t>s in 2009, 2013, 2017 and 2021 were:</w:t>
      </w:r>
    </w:p>
    <w:p w14:paraId="278EF00D" w14:textId="77777777" w:rsidR="00E27DB9" w:rsidRPr="007D5CED" w:rsidRDefault="00E27DB9" w:rsidP="00A3239A">
      <w:pPr>
        <w:pStyle w:val="Normal8pt"/>
      </w:pPr>
      <w:r w:rsidRPr="007D5CED">
        <w:t xml:space="preserve">DVS – 439; 834; 1,561; 1,668 </w:t>
      </w:r>
    </w:p>
    <w:p w14:paraId="319BE9C2" w14:textId="77777777" w:rsidR="00E27DB9" w:rsidRPr="007D5CED" w:rsidRDefault="00E27DB9" w:rsidP="00A3239A">
      <w:pPr>
        <w:pStyle w:val="Normal8pt"/>
        <w:rPr>
          <w:lang w:val="it-IT"/>
        </w:rPr>
      </w:pPr>
      <w:r w:rsidRPr="007D5CED">
        <w:rPr>
          <w:lang w:val="it-IT"/>
        </w:rPr>
        <w:t>SVS – na; na; 1,557; 1,665</w:t>
      </w:r>
    </w:p>
    <w:p w14:paraId="52D5CC23" w14:textId="4AF44F97" w:rsidR="00E27DB9" w:rsidRPr="008C29F3" w:rsidRDefault="00E27DB9" w:rsidP="00A3239A">
      <w:pPr>
        <w:pStyle w:val="Normal8pt"/>
        <w:rPr>
          <w:bCs/>
          <w:lang w:val="it-IT"/>
        </w:rPr>
      </w:pPr>
      <w:r w:rsidRPr="007D5CED">
        <w:rPr>
          <w:lang w:val="it-IT"/>
        </w:rPr>
        <w:t>TFAS – na; na; na; 1,668.</w:t>
      </w:r>
    </w:p>
    <w:p w14:paraId="7771D6BA" w14:textId="4AE1C881" w:rsidR="007D5CED" w:rsidRPr="007D5CED" w:rsidRDefault="007D5CED" w:rsidP="00A3239A">
      <w:pPr>
        <w:pStyle w:val="Normal8pt"/>
      </w:pPr>
      <w:r w:rsidRPr="007D5CED">
        <w:rPr>
          <w:bCs/>
        </w:rPr>
        <w:t>*</w:t>
      </w:r>
      <w:r w:rsidRPr="007D5CED">
        <w:t xml:space="preserve"> Statistically significant difference on this scale between the year indicated and 2021.</w:t>
      </w:r>
    </w:p>
    <w:p w14:paraId="65479A40" w14:textId="77777777" w:rsidR="007D5CED" w:rsidRPr="007D5CED" w:rsidRDefault="007D5CED" w:rsidP="00A3239A">
      <w:pPr>
        <w:pStyle w:val="Normal8pt"/>
      </w:pPr>
      <w:r w:rsidRPr="007D5CED">
        <w:rPr>
          <w:bCs/>
        </w:rPr>
        <w:t>*1</w:t>
      </w:r>
      <w:r w:rsidRPr="007D5CED">
        <w:t xml:space="preserve"> Rejection of sexual violence (SVS) was significantly higher than rejection of domestic violence (DVS) and higher than understanding and rejection of technology-facilitated abuse (TFAS) in 2021. Differences in 2021 between type of violence scales are discussed in Section 3.2.</w:t>
      </w:r>
    </w:p>
    <w:p w14:paraId="7B0546EF" w14:textId="503870B5" w:rsidR="007D5CED" w:rsidRPr="007D5CED" w:rsidRDefault="003A7BD2" w:rsidP="002A2C0C">
      <w:pPr>
        <w:pStyle w:val="figuretableheading"/>
      </w:pPr>
      <w:bookmarkStart w:id="93" w:name="_Toc187401237"/>
      <w:r>
        <w:t xml:space="preserve">Figure </w:t>
      </w:r>
      <w:r w:rsidR="005B3A89">
        <w:fldChar w:fldCharType="begin"/>
      </w:r>
      <w:r w:rsidR="005B3A89">
        <w:instrText xml:space="preserve"> STYLEREF 1 \s </w:instrText>
      </w:r>
      <w:r w:rsidR="005B3A89">
        <w:fldChar w:fldCharType="separate"/>
      </w:r>
      <w:r w:rsidR="005B3A89">
        <w:t>3</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5</w:t>
      </w:r>
      <w:r w:rsidR="005B3A89">
        <w:fldChar w:fldCharType="end"/>
      </w:r>
      <w:r w:rsidR="007D5CED" w:rsidRPr="007D5CED">
        <w:t>: Rejection of sexual assault (SAS) and sexual harassment (SHS) over time, 16- to 24-year-olds, 2017</w:t>
      </w:r>
      <w:r w:rsidR="00380074">
        <w:t> </w:t>
      </w:r>
      <w:r w:rsidR="007D5CED" w:rsidRPr="007D5CED">
        <w:t>to</w:t>
      </w:r>
      <w:r w:rsidR="002B1880">
        <w:t xml:space="preserve"> </w:t>
      </w:r>
      <w:r w:rsidR="007D5CED" w:rsidRPr="007D5CED">
        <w:t>2021</w:t>
      </w:r>
      <w:bookmarkEnd w:id="93"/>
    </w:p>
    <w:p w14:paraId="147F3D02" w14:textId="577429B8" w:rsidR="007D5CED" w:rsidRPr="007D5CED" w:rsidRDefault="009C1D76" w:rsidP="00A3239A">
      <w:pPr>
        <w:spacing w:after="720"/>
        <w:rPr>
          <w:lang w:val="en-GB"/>
        </w:rPr>
      </w:pPr>
      <w:r>
        <w:rPr>
          <w:noProof/>
          <w:lang w:val="en-GB"/>
        </w:rPr>
        <w:drawing>
          <wp:inline distT="0" distB="0" distL="0" distR="0" wp14:anchorId="1E716312" wp14:editId="38305A16">
            <wp:extent cx="6120130" cy="2319655"/>
            <wp:effectExtent l="0" t="0" r="1270" b="4445"/>
            <wp:docPr id="1381916814" name="Immagine 7" descr="This is a line graph that shows the rejection of sexual assault and sexual harassment. The data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6814" name="Immagine 7" descr="This is a line graph that shows the rejection of sexual assault and sexual harassment. The data in this graph is in the table below.&#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2319655"/>
                    </a:xfrm>
                    <a:prstGeom prst="rect">
                      <a:avLst/>
                    </a:prstGeom>
                  </pic:spPr>
                </pic:pic>
              </a:graphicData>
            </a:graphic>
          </wp:inline>
        </w:drawing>
      </w:r>
    </w:p>
    <w:p w14:paraId="43B3896B" w14:textId="28C5EFA7" w:rsidR="0026785B" w:rsidRPr="007D5CED" w:rsidRDefault="0001784A" w:rsidP="002A2C0C">
      <w:pPr>
        <w:pStyle w:val="datatableheading"/>
      </w:pPr>
      <w:r>
        <w:t>Data table for figure 3-5</w:t>
      </w:r>
      <w:r w:rsidR="001B3C28">
        <w:t xml:space="preserve">: </w:t>
      </w:r>
      <w:r w:rsidR="001B3C28" w:rsidRPr="007D5CED">
        <w:t>Rejection of sexual</w:t>
      </w:r>
      <w:r w:rsidR="007D002F">
        <w:t xml:space="preserve"> violence (mean SAS and SHS scale scores)</w:t>
      </w:r>
    </w:p>
    <w:tbl>
      <w:tblPr>
        <w:tblStyle w:val="Table-SingleHeaderRow"/>
        <w:tblW w:w="0" w:type="auto"/>
        <w:tblLook w:val="04A0" w:firstRow="1" w:lastRow="0" w:firstColumn="1" w:lastColumn="0" w:noHBand="0" w:noVBand="1"/>
      </w:tblPr>
      <w:tblGrid>
        <w:gridCol w:w="1985"/>
        <w:gridCol w:w="3260"/>
        <w:gridCol w:w="3969"/>
      </w:tblGrid>
      <w:tr w:rsidR="0026785B" w:rsidRPr="00EA1044" w14:paraId="3708A9AF"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59AB9ABF" w14:textId="6B52BB61" w:rsidR="0026785B" w:rsidRPr="007E1C6F" w:rsidRDefault="006227C0" w:rsidP="00A3239A">
            <w:pPr>
              <w:pStyle w:val="Tablebody"/>
            </w:pPr>
            <w:r w:rsidRPr="008E6594">
              <w:rPr>
                <w:bCs/>
              </w:rPr>
              <w:t>NACS wave (year)</w:t>
            </w:r>
          </w:p>
        </w:tc>
        <w:tc>
          <w:tcPr>
            <w:tcW w:w="3260" w:type="dxa"/>
          </w:tcPr>
          <w:p w14:paraId="39FD7F14" w14:textId="051D0A0A" w:rsidR="0026785B" w:rsidRPr="00C15A21" w:rsidRDefault="006227C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Rejection of sexual assault (SAS)</w:t>
            </w:r>
          </w:p>
        </w:tc>
        <w:tc>
          <w:tcPr>
            <w:tcW w:w="3969" w:type="dxa"/>
          </w:tcPr>
          <w:p w14:paraId="4D00E972" w14:textId="7B572C29" w:rsidR="0026785B" w:rsidRPr="00C15A21" w:rsidRDefault="006227C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Rejection of sexual harassment (SHS)</w:t>
            </w:r>
          </w:p>
        </w:tc>
      </w:tr>
      <w:tr w:rsidR="0026785B" w:rsidDel="006D4F1A" w14:paraId="7E485C86" w14:textId="77777777" w:rsidTr="008C29F3">
        <w:tc>
          <w:tcPr>
            <w:cnfStyle w:val="001000000000" w:firstRow="0" w:lastRow="0" w:firstColumn="1" w:lastColumn="0" w:oddVBand="0" w:evenVBand="0" w:oddHBand="0" w:evenHBand="0" w:firstRowFirstColumn="0" w:firstRowLastColumn="0" w:lastRowFirstColumn="0" w:lastRowLastColumn="0"/>
            <w:tcW w:w="1985" w:type="dxa"/>
          </w:tcPr>
          <w:p w14:paraId="6F003626" w14:textId="25D93AC7" w:rsidR="0026785B" w:rsidRPr="003B64CF" w:rsidRDefault="006227C0" w:rsidP="00A3239A">
            <w:pPr>
              <w:pStyle w:val="Tablebody"/>
            </w:pPr>
            <w:r w:rsidRPr="003B64CF">
              <w:t>2017</w:t>
            </w:r>
          </w:p>
        </w:tc>
        <w:tc>
          <w:tcPr>
            <w:tcW w:w="3260" w:type="dxa"/>
          </w:tcPr>
          <w:p w14:paraId="53039C82" w14:textId="6480CFED" w:rsidR="0026785B" w:rsidDel="006D4F1A" w:rsidRDefault="00C15A21"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3969" w:type="dxa"/>
          </w:tcPr>
          <w:p w14:paraId="4C980017" w14:textId="45790FB5" w:rsidR="0026785B" w:rsidDel="006D4F1A" w:rsidRDefault="00C15A21" w:rsidP="00A3239A">
            <w:pPr>
              <w:pStyle w:val="Tablebody"/>
              <w:cnfStyle w:val="000000000000" w:firstRow="0" w:lastRow="0" w:firstColumn="0" w:lastColumn="0" w:oddVBand="0" w:evenVBand="0" w:oddHBand="0" w:evenHBand="0" w:firstRowFirstColumn="0" w:firstRowLastColumn="0" w:lastRowFirstColumn="0" w:lastRowLastColumn="0"/>
            </w:pPr>
            <w:r>
              <w:t>66*</w:t>
            </w:r>
          </w:p>
        </w:tc>
      </w:tr>
      <w:tr w:rsidR="0026785B" w:rsidDel="006D4F1A" w14:paraId="7C70BACC" w14:textId="77777777" w:rsidTr="008C29F3">
        <w:tc>
          <w:tcPr>
            <w:cnfStyle w:val="001000000000" w:firstRow="0" w:lastRow="0" w:firstColumn="1" w:lastColumn="0" w:oddVBand="0" w:evenVBand="0" w:oddHBand="0" w:evenHBand="0" w:firstRowFirstColumn="0" w:firstRowLastColumn="0" w:lastRowFirstColumn="0" w:lastRowLastColumn="0"/>
            <w:tcW w:w="1985" w:type="dxa"/>
          </w:tcPr>
          <w:p w14:paraId="39128FA5" w14:textId="371D1CD9" w:rsidR="0026785B" w:rsidRPr="003B64CF" w:rsidRDefault="006227C0" w:rsidP="00A3239A">
            <w:pPr>
              <w:pStyle w:val="Tablebody"/>
            </w:pPr>
            <w:r w:rsidRPr="003B64CF">
              <w:t>2021</w:t>
            </w:r>
          </w:p>
        </w:tc>
        <w:tc>
          <w:tcPr>
            <w:tcW w:w="3260" w:type="dxa"/>
          </w:tcPr>
          <w:p w14:paraId="443A07F6" w14:textId="77569E4B" w:rsidR="0026785B" w:rsidDel="006D4F1A" w:rsidRDefault="00C15A21"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3969" w:type="dxa"/>
          </w:tcPr>
          <w:p w14:paraId="015030E7" w14:textId="6DBFE6DC" w:rsidR="0026785B" w:rsidDel="006D4F1A" w:rsidRDefault="0026785B" w:rsidP="00A3239A">
            <w:pPr>
              <w:pStyle w:val="Tablebody"/>
              <w:cnfStyle w:val="000000000000" w:firstRow="0" w:lastRow="0" w:firstColumn="0" w:lastColumn="0" w:oddVBand="0" w:evenVBand="0" w:oddHBand="0" w:evenHBand="0" w:firstRowFirstColumn="0" w:firstRowLastColumn="0" w:lastRowFirstColumn="0" w:lastRowLastColumn="0"/>
            </w:pPr>
            <w:r>
              <w:t>69</w:t>
            </w:r>
          </w:p>
        </w:tc>
      </w:tr>
    </w:tbl>
    <w:p w14:paraId="71E7A546" w14:textId="77777777" w:rsidR="00E27DB9" w:rsidRPr="007D5CED" w:rsidRDefault="00E27DB9" w:rsidP="00A3239A">
      <w:pPr>
        <w:pStyle w:val="Normal8pt"/>
      </w:pPr>
      <w:r w:rsidRPr="008C29F3">
        <w:rPr>
          <w:b/>
        </w:rPr>
        <w:t>Note</w:t>
      </w:r>
      <w:r w:rsidRPr="007D5CED">
        <w:rPr>
          <w:bCs/>
        </w:rPr>
        <w:t xml:space="preserve">: </w:t>
      </w:r>
      <w:r w:rsidRPr="0073256E">
        <w:rPr>
          <w:rStyle w:val="Emphasis"/>
        </w:rPr>
        <w:t>N</w:t>
      </w:r>
      <w:r w:rsidRPr="007D5CED">
        <w:t>s in 2017 and 2021 were:</w:t>
      </w:r>
    </w:p>
    <w:p w14:paraId="5EBC6CAF" w14:textId="77777777" w:rsidR="00E27DB9" w:rsidRPr="007D5CED" w:rsidRDefault="00E27DB9" w:rsidP="00A3239A">
      <w:pPr>
        <w:pStyle w:val="Normal8pt"/>
      </w:pPr>
      <w:r w:rsidRPr="007D5CED">
        <w:t>SAS: 1,558; 1,662</w:t>
      </w:r>
    </w:p>
    <w:p w14:paraId="3D5FEF86" w14:textId="4C87AA11" w:rsidR="00E27DB9" w:rsidRDefault="00E27DB9" w:rsidP="00A3239A">
      <w:pPr>
        <w:pStyle w:val="Normal8pt"/>
        <w:rPr>
          <w:bCs/>
        </w:rPr>
      </w:pPr>
      <w:r w:rsidRPr="007D5CED">
        <w:t>SHS: 400; 1,654.</w:t>
      </w:r>
    </w:p>
    <w:p w14:paraId="68019D30" w14:textId="0A9CD339" w:rsidR="007D5CED" w:rsidRPr="00E27DB9" w:rsidRDefault="007D5CED" w:rsidP="00A3239A">
      <w:pPr>
        <w:pStyle w:val="Normal8pt"/>
        <w:rPr>
          <w:bCs/>
        </w:rPr>
      </w:pPr>
      <w:r w:rsidRPr="00E27DB9">
        <w:rPr>
          <w:bCs/>
        </w:rPr>
        <w:t>*</w:t>
      </w:r>
      <w:r w:rsidRPr="007D5CED">
        <w:t xml:space="preserve"> Statistically significant difference on this scale between 2017 and 2021.</w:t>
      </w:r>
    </w:p>
    <w:p w14:paraId="20F837CB" w14:textId="0E01301C" w:rsidR="007D5CED" w:rsidRPr="007D5CED" w:rsidRDefault="007D5CED" w:rsidP="00DC3FE8">
      <w:pPr>
        <w:pStyle w:val="Heading3"/>
      </w:pPr>
      <w:bookmarkStart w:id="94" w:name="_Toc152532387"/>
      <w:bookmarkStart w:id="95" w:name="_Toc190941673"/>
      <w:bookmarkStart w:id="96" w:name="_Toc190942373"/>
      <w:r w:rsidRPr="007D5CED">
        <w:t>3.2</w:t>
      </w:r>
      <w:r w:rsidR="001C7C59">
        <w:t xml:space="preserve"> </w:t>
      </w:r>
      <w:r w:rsidRPr="007D5CED">
        <w:t>Benchmarking in 2021: Young people’s understanding and attitudes</w:t>
      </w:r>
      <w:bookmarkEnd w:id="94"/>
      <w:bookmarkEnd w:id="95"/>
      <w:bookmarkEnd w:id="96"/>
    </w:p>
    <w:p w14:paraId="6D813C29" w14:textId="77777777" w:rsidR="007D5CED" w:rsidRPr="007D5CED" w:rsidRDefault="007D5CED" w:rsidP="00A3239A">
      <w:pPr>
        <w:rPr>
          <w:lang w:val="en-GB"/>
        </w:rPr>
      </w:pPr>
      <w:r w:rsidRPr="007D5CED">
        <w:rPr>
          <w:lang w:val="en-GB"/>
        </w:rPr>
        <w:t>Young respondents’ mean scores on the three main scales (UVAWS, AGIS, AVAWS) in 2021 were not significantly different to one another, indicating that young Australians’ understanding of violence and their attitudes towards both gender inequality and violence against women were at a comparable level in 2021 (Figure 3-3). This was also observed for all Australians (Main report).</w:t>
      </w:r>
    </w:p>
    <w:p w14:paraId="11EDF3CC" w14:textId="41151001" w:rsidR="007D5CED" w:rsidRPr="007D5CED" w:rsidRDefault="007D5CED" w:rsidP="00A3239A">
      <w:pPr>
        <w:rPr>
          <w:lang w:val="en-GB"/>
        </w:rPr>
      </w:pPr>
      <w:r w:rsidRPr="007D5CED">
        <w:rPr>
          <w:lang w:val="en-GB"/>
        </w:rPr>
        <w:lastRenderedPageBreak/>
        <w:t>In 2021, young respondents had significantly higher rejection of sexual violence (SVS) than domestic violence (DVS) and technology-facilitated abuse (TFAS), according to mean scores on these type of</w:t>
      </w:r>
      <w:r w:rsidR="00164806">
        <w:rPr>
          <w:lang w:val="en-GB"/>
        </w:rPr>
        <w:t> </w:t>
      </w:r>
      <w:r w:rsidRPr="007D5CED">
        <w:rPr>
          <w:lang w:val="en-GB"/>
        </w:rPr>
        <w:t>violence scales (Figure 3-4). In contrast, there were no significant differences between these type of</w:t>
      </w:r>
      <w:r w:rsidR="00164806">
        <w:rPr>
          <w:lang w:val="en-GB"/>
        </w:rPr>
        <w:t> </w:t>
      </w:r>
      <w:r w:rsidRPr="007D5CED">
        <w:rPr>
          <w:lang w:val="en-GB"/>
        </w:rPr>
        <w:t>violence scales in 2021 based on the analyses for all respondents (Main report).</w:t>
      </w:r>
    </w:p>
    <w:p w14:paraId="70AE992C" w14:textId="4742EF04" w:rsidR="007D5CED" w:rsidRPr="007D5CED" w:rsidRDefault="007D5CED" w:rsidP="00A3239A">
      <w:pPr>
        <w:rPr>
          <w:lang w:val="en-GB"/>
        </w:rPr>
      </w:pPr>
      <w:r w:rsidRPr="007D5CED">
        <w:rPr>
          <w:lang w:val="en-GB"/>
        </w:rPr>
        <w:t>There is still substantial work to be done to improve young people’s understanding and attitudes regarding violence against women and gender inequality in Australia. As Figure 3-6 shows, in 2021, a</w:t>
      </w:r>
      <w:r w:rsidR="00164806">
        <w:rPr>
          <w:lang w:val="en-GB"/>
        </w:rPr>
        <w:t> </w:t>
      </w:r>
      <w:r w:rsidRPr="007D5CED">
        <w:rPr>
          <w:lang w:val="en-GB"/>
        </w:rPr>
        <w:t>minority of young respondents (27–43%) demonstrated “advanced”:</w:t>
      </w:r>
    </w:p>
    <w:p w14:paraId="7537126F" w14:textId="77777777" w:rsidR="007D5CED" w:rsidRPr="007D5CED" w:rsidRDefault="007D5CED" w:rsidP="00A3239A">
      <w:pPr>
        <w:pStyle w:val="ListBullet"/>
        <w:rPr>
          <w:lang w:val="en-GB"/>
        </w:rPr>
      </w:pPr>
      <w:r w:rsidRPr="007D5CED">
        <w:rPr>
          <w:lang w:val="en-GB"/>
        </w:rPr>
        <w:t>understanding of violence against women (UVAWS)</w:t>
      </w:r>
    </w:p>
    <w:p w14:paraId="5CCB2A6D" w14:textId="77777777" w:rsidR="007D5CED" w:rsidRPr="007D5CED" w:rsidRDefault="007D5CED" w:rsidP="00A3239A">
      <w:pPr>
        <w:pStyle w:val="ListBullet"/>
        <w:rPr>
          <w:lang w:val="en-GB"/>
        </w:rPr>
      </w:pPr>
      <w:r w:rsidRPr="007D5CED">
        <w:rPr>
          <w:lang w:val="en-GB"/>
        </w:rPr>
        <w:t>rejection of gender inequality (AGIS)</w:t>
      </w:r>
    </w:p>
    <w:p w14:paraId="79278C68" w14:textId="77777777" w:rsidR="007D5CED" w:rsidRPr="007D5CED" w:rsidRDefault="007D5CED" w:rsidP="00A3239A">
      <w:pPr>
        <w:pStyle w:val="ListBullet"/>
        <w:rPr>
          <w:lang w:val="en-GB"/>
        </w:rPr>
      </w:pPr>
      <w:r w:rsidRPr="007D5CED">
        <w:rPr>
          <w:lang w:val="en-GB"/>
        </w:rPr>
        <w:t>rejection of violence against women (AVAWS), including rejection of sexual violence (SVS) and domestic violence (DVS)</w:t>
      </w:r>
    </w:p>
    <w:p w14:paraId="67387B99" w14:textId="00A7460D" w:rsidR="007D5CED" w:rsidRPr="009C1D76" w:rsidRDefault="007D5CED" w:rsidP="00A3239A">
      <w:pPr>
        <w:pStyle w:val="ListBullet"/>
        <w:rPr>
          <w:lang w:val="en-GB"/>
        </w:rPr>
      </w:pPr>
      <w:r w:rsidRPr="007D5CED">
        <w:rPr>
          <w:lang w:val="en-GB"/>
        </w:rPr>
        <w:t>understanding and rejection of technology-facilitated abuse (TFAS).</w:t>
      </w:r>
    </w:p>
    <w:p w14:paraId="7CEA8BB3" w14:textId="7B7A08CD" w:rsidR="007D5CED" w:rsidRPr="000419A5" w:rsidRDefault="009C1D76" w:rsidP="002A2C0C">
      <w:pPr>
        <w:pStyle w:val="figuretableheading"/>
      </w:pPr>
      <w:bookmarkStart w:id="97" w:name="_Toc187401238"/>
      <w:r w:rsidRPr="000419A5">
        <w:t xml:space="preserve">Figure </w:t>
      </w:r>
      <w:r w:rsidR="005B3A89" w:rsidRPr="000419A5">
        <w:fldChar w:fldCharType="begin"/>
      </w:r>
      <w:r w:rsidR="005B3A89" w:rsidRPr="000419A5">
        <w:instrText xml:space="preserve"> STYLEREF 1 \s </w:instrText>
      </w:r>
      <w:r w:rsidR="005B3A89" w:rsidRPr="000419A5">
        <w:fldChar w:fldCharType="separate"/>
      </w:r>
      <w:r w:rsidR="005B3A89" w:rsidRPr="000419A5">
        <w:t>3</w:t>
      </w:r>
      <w:r w:rsidR="005B3A89" w:rsidRPr="000419A5">
        <w:fldChar w:fldCharType="end"/>
      </w:r>
      <w:r w:rsidR="005B3A89" w:rsidRPr="000419A5">
        <w:noBreakHyphen/>
      </w:r>
      <w:r w:rsidR="005B3A89" w:rsidRPr="000419A5">
        <w:fldChar w:fldCharType="begin"/>
      </w:r>
      <w:r w:rsidR="005B3A89" w:rsidRPr="000419A5">
        <w:instrText xml:space="preserve"> SEQ Figure \* ARABIC \s 1 </w:instrText>
      </w:r>
      <w:r w:rsidR="005B3A89" w:rsidRPr="000419A5">
        <w:fldChar w:fldCharType="separate"/>
      </w:r>
      <w:r w:rsidR="005B3A89" w:rsidRPr="000419A5">
        <w:t>6</w:t>
      </w:r>
      <w:r w:rsidR="005B3A89" w:rsidRPr="000419A5">
        <w:fldChar w:fldCharType="end"/>
      </w:r>
      <w:r w:rsidR="007D5CED" w:rsidRPr="000419A5">
        <w:t>: “Advanced” understanding of violence against women and rejection of problematic attitudes, 16-</w:t>
      </w:r>
      <w:r w:rsidR="000419A5">
        <w:t> </w:t>
      </w:r>
      <w:r w:rsidR="007D5CED" w:rsidRPr="000419A5">
        <w:t>to</w:t>
      </w:r>
      <w:r w:rsidR="000419A5">
        <w:t> </w:t>
      </w:r>
      <w:r w:rsidR="007D5CED" w:rsidRPr="000419A5">
        <w:t>24</w:t>
      </w:r>
      <w:r w:rsidR="000419A5">
        <w:noBreakHyphen/>
      </w:r>
      <w:r w:rsidR="007D5CED" w:rsidRPr="000419A5">
        <w:t>year</w:t>
      </w:r>
      <w:r w:rsidR="000419A5">
        <w:t> </w:t>
      </w:r>
      <w:r w:rsidR="007D5CED" w:rsidRPr="000419A5">
        <w:t>olds, 2021</w:t>
      </w:r>
      <w:bookmarkEnd w:id="97"/>
    </w:p>
    <w:p w14:paraId="4CFE3A2D" w14:textId="288FB59B" w:rsidR="007D5CED" w:rsidRPr="007D5CED" w:rsidRDefault="00575C22" w:rsidP="00A3239A">
      <w:pPr>
        <w:rPr>
          <w:lang w:val="en-GB"/>
        </w:rPr>
      </w:pPr>
      <w:r>
        <w:rPr>
          <w:noProof/>
          <w:lang w:val="en-GB"/>
        </w:rPr>
        <w:drawing>
          <wp:inline distT="0" distB="0" distL="0" distR="0" wp14:anchorId="2C36CF74" wp14:editId="721F5C99">
            <wp:extent cx="6120130" cy="3208020"/>
            <wp:effectExtent l="0" t="0" r="0" b="0"/>
            <wp:docPr id="750700620" name="Immagine 8" descr="A bar graph that shows the percentage of 16 to 24 year old respondents with 'advanced understanding' of violence against women and rejection of problematic attitudes. The data in this graph is in the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00620" name="Immagine 8" descr="A bar graph that shows the percentage of 16 to 24 year old respondents with 'advanced understanding' of violence against women and rejection of problematic attitudes. The data in this graph is in the tables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208020"/>
                    </a:xfrm>
                    <a:prstGeom prst="rect">
                      <a:avLst/>
                    </a:prstGeom>
                  </pic:spPr>
                </pic:pic>
              </a:graphicData>
            </a:graphic>
          </wp:inline>
        </w:drawing>
      </w:r>
    </w:p>
    <w:p w14:paraId="33C27435" w14:textId="59FCA473" w:rsidR="005C5EE1" w:rsidRDefault="00541EB7" w:rsidP="002A2C0C">
      <w:pPr>
        <w:pStyle w:val="datatableheading"/>
      </w:pPr>
      <w:r w:rsidRPr="00541EB7">
        <w:t>Data table</w:t>
      </w:r>
      <w:r w:rsidR="000419A5">
        <w:t>s</w:t>
      </w:r>
      <w:r w:rsidRPr="00541EB7">
        <w:t xml:space="preserve"> for figure 3-</w:t>
      </w:r>
      <w:r>
        <w:t>6</w:t>
      </w:r>
    </w:p>
    <w:tbl>
      <w:tblPr>
        <w:tblStyle w:val="Table-SingleHeaderRow"/>
        <w:tblW w:w="0" w:type="auto"/>
        <w:tblLook w:val="04A0" w:firstRow="1" w:lastRow="0" w:firstColumn="1" w:lastColumn="0" w:noHBand="0" w:noVBand="1"/>
      </w:tblPr>
      <w:tblGrid>
        <w:gridCol w:w="5953"/>
        <w:gridCol w:w="3402"/>
      </w:tblGrid>
      <w:tr w:rsidR="000419A5" w:rsidRPr="00EA1044" w14:paraId="4615FA74" w14:textId="77777777" w:rsidTr="000419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3" w:type="dxa"/>
          </w:tcPr>
          <w:p w14:paraId="7AD5534F" w14:textId="2D4EE4CF" w:rsidR="000419A5" w:rsidRPr="000419A5" w:rsidRDefault="000419A5" w:rsidP="00A3239A">
            <w:pPr>
              <w:pStyle w:val="Tablebody"/>
              <w:rPr>
                <w:b w:val="0"/>
                <w:bCs/>
              </w:rPr>
            </w:pPr>
            <w:r w:rsidRPr="000419A5">
              <w:rPr>
                <w:bCs/>
              </w:rPr>
              <w:t>Main scales</w:t>
            </w:r>
          </w:p>
        </w:tc>
        <w:tc>
          <w:tcPr>
            <w:tcW w:w="3402" w:type="dxa"/>
          </w:tcPr>
          <w:p w14:paraId="013E1771" w14:textId="636330D5" w:rsidR="000419A5" w:rsidRPr="00C15A21" w:rsidRDefault="000419A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 of 16-24-year-old respondents with “advanced” understanding or rejection</w:t>
            </w:r>
          </w:p>
        </w:tc>
      </w:tr>
      <w:tr w:rsidR="000419A5" w:rsidDel="006D4F1A" w14:paraId="25FC660F"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54361B04" w14:textId="1A5EE7EA" w:rsidR="000419A5" w:rsidRPr="003B64CF" w:rsidRDefault="000419A5" w:rsidP="00A3239A">
            <w:pPr>
              <w:pStyle w:val="Tablebody"/>
            </w:pPr>
            <w:r>
              <w:t>Understanding of violence against women</w:t>
            </w:r>
          </w:p>
        </w:tc>
        <w:tc>
          <w:tcPr>
            <w:tcW w:w="3402" w:type="dxa"/>
            <w:vAlign w:val="center"/>
          </w:tcPr>
          <w:p w14:paraId="27709B23" w14:textId="75D5E241"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34</w:t>
            </w:r>
          </w:p>
        </w:tc>
      </w:tr>
      <w:tr w:rsidR="000419A5" w:rsidDel="006D4F1A" w14:paraId="353E2840"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5EE406D8" w14:textId="0295C023" w:rsidR="000419A5" w:rsidRPr="003B64CF" w:rsidRDefault="000419A5" w:rsidP="00A3239A">
            <w:pPr>
              <w:pStyle w:val="Tablebody"/>
            </w:pPr>
            <w:r>
              <w:t>Rejection of gender inequality</w:t>
            </w:r>
          </w:p>
        </w:tc>
        <w:tc>
          <w:tcPr>
            <w:tcW w:w="3402" w:type="dxa"/>
            <w:vAlign w:val="center"/>
          </w:tcPr>
          <w:p w14:paraId="0515ED52" w14:textId="5A9EDD31"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31</w:t>
            </w:r>
          </w:p>
        </w:tc>
      </w:tr>
      <w:tr w:rsidR="000419A5" w:rsidDel="006D4F1A" w14:paraId="75B8B85D"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3D1FAD77" w14:textId="333903A0" w:rsidR="000419A5" w:rsidRPr="003B64CF" w:rsidRDefault="000419A5" w:rsidP="00A3239A">
            <w:pPr>
              <w:pStyle w:val="Tablebody"/>
            </w:pPr>
            <w:r>
              <w:t>Rejection of violence against women</w:t>
            </w:r>
          </w:p>
        </w:tc>
        <w:tc>
          <w:tcPr>
            <w:tcW w:w="3402" w:type="dxa"/>
            <w:vAlign w:val="center"/>
          </w:tcPr>
          <w:p w14:paraId="034E8108" w14:textId="46A534B8"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35</w:t>
            </w:r>
          </w:p>
        </w:tc>
      </w:tr>
    </w:tbl>
    <w:p w14:paraId="36992C78" w14:textId="77777777" w:rsidR="000419A5" w:rsidRDefault="000419A5" w:rsidP="00A3239A">
      <w:pPr>
        <w:pStyle w:val="Normal8pt"/>
        <w:spacing w:after="120"/>
        <w:rPr>
          <w:b/>
        </w:rPr>
      </w:pPr>
    </w:p>
    <w:tbl>
      <w:tblPr>
        <w:tblStyle w:val="Table-SingleHeaderRow"/>
        <w:tblW w:w="0" w:type="auto"/>
        <w:tblLook w:val="04A0" w:firstRow="1" w:lastRow="0" w:firstColumn="1" w:lastColumn="0" w:noHBand="0" w:noVBand="1"/>
      </w:tblPr>
      <w:tblGrid>
        <w:gridCol w:w="5953"/>
        <w:gridCol w:w="3402"/>
      </w:tblGrid>
      <w:tr w:rsidR="000419A5" w:rsidRPr="00EA1044" w14:paraId="5A833E99" w14:textId="77777777" w:rsidTr="000419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3" w:type="dxa"/>
          </w:tcPr>
          <w:p w14:paraId="1A78C58A" w14:textId="3FA0086A" w:rsidR="000419A5" w:rsidRPr="000419A5" w:rsidRDefault="000419A5" w:rsidP="00A3239A">
            <w:pPr>
              <w:pStyle w:val="Tablebody"/>
              <w:rPr>
                <w:b w:val="0"/>
                <w:bCs/>
              </w:rPr>
            </w:pPr>
            <w:r>
              <w:rPr>
                <w:bCs/>
              </w:rPr>
              <w:t>Type of violence scales</w:t>
            </w:r>
          </w:p>
        </w:tc>
        <w:tc>
          <w:tcPr>
            <w:tcW w:w="3402" w:type="dxa"/>
          </w:tcPr>
          <w:p w14:paraId="263F03D8" w14:textId="77777777" w:rsidR="000419A5" w:rsidRPr="00C15A21" w:rsidRDefault="000419A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 of 16-24-year-old respondents with “advanced” understanding or rejection</w:t>
            </w:r>
          </w:p>
        </w:tc>
      </w:tr>
      <w:tr w:rsidR="000419A5" w:rsidDel="006D4F1A" w14:paraId="6356A313"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78055835" w14:textId="34C29523" w:rsidR="000419A5" w:rsidRPr="003B64CF" w:rsidRDefault="000419A5" w:rsidP="00A3239A">
            <w:pPr>
              <w:pStyle w:val="Tablebody"/>
            </w:pPr>
            <w:r>
              <w:t>Rejection of domestic violence</w:t>
            </w:r>
          </w:p>
        </w:tc>
        <w:tc>
          <w:tcPr>
            <w:tcW w:w="3402" w:type="dxa"/>
            <w:vAlign w:val="center"/>
          </w:tcPr>
          <w:p w14:paraId="0015E74A" w14:textId="35BB66F1"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36</w:t>
            </w:r>
          </w:p>
        </w:tc>
      </w:tr>
      <w:tr w:rsidR="000419A5" w:rsidDel="006D4F1A" w14:paraId="2CB15D63"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0DBAFBA7" w14:textId="010CB0D4" w:rsidR="000419A5" w:rsidRPr="003B64CF" w:rsidRDefault="000419A5" w:rsidP="00A3239A">
            <w:pPr>
              <w:pStyle w:val="Tablebody"/>
            </w:pPr>
            <w:r>
              <w:t>Rejection of sexual violence</w:t>
            </w:r>
          </w:p>
        </w:tc>
        <w:tc>
          <w:tcPr>
            <w:tcW w:w="3402" w:type="dxa"/>
            <w:vAlign w:val="center"/>
          </w:tcPr>
          <w:p w14:paraId="5954FE6C" w14:textId="65B5B6DA"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43</w:t>
            </w:r>
          </w:p>
        </w:tc>
      </w:tr>
      <w:tr w:rsidR="000419A5" w:rsidDel="006D4F1A" w14:paraId="420375B3" w14:textId="77777777" w:rsidTr="000419A5">
        <w:tc>
          <w:tcPr>
            <w:cnfStyle w:val="001000000000" w:firstRow="0" w:lastRow="0" w:firstColumn="1" w:lastColumn="0" w:oddVBand="0" w:evenVBand="0" w:oddHBand="0" w:evenHBand="0" w:firstRowFirstColumn="0" w:firstRowLastColumn="0" w:lastRowFirstColumn="0" w:lastRowLastColumn="0"/>
            <w:tcW w:w="5953" w:type="dxa"/>
          </w:tcPr>
          <w:p w14:paraId="2B5864E0" w14:textId="65686372" w:rsidR="000419A5" w:rsidRPr="003B64CF" w:rsidRDefault="000419A5" w:rsidP="00A3239A">
            <w:pPr>
              <w:pStyle w:val="Tablebody"/>
            </w:pPr>
            <w:r>
              <w:lastRenderedPageBreak/>
              <w:t>Understanding and rejection of technology-facilitated abuse (TFAS)</w:t>
            </w:r>
          </w:p>
        </w:tc>
        <w:tc>
          <w:tcPr>
            <w:tcW w:w="3402" w:type="dxa"/>
            <w:vAlign w:val="center"/>
          </w:tcPr>
          <w:p w14:paraId="7922AAE8" w14:textId="0AA71334" w:rsidR="000419A5" w:rsidDel="006D4F1A" w:rsidRDefault="000419A5" w:rsidP="00A3239A">
            <w:pPr>
              <w:pStyle w:val="Tablebody"/>
              <w:jc w:val="center"/>
              <w:cnfStyle w:val="000000000000" w:firstRow="0" w:lastRow="0" w:firstColumn="0" w:lastColumn="0" w:oddVBand="0" w:evenVBand="0" w:oddHBand="0" w:evenHBand="0" w:firstRowFirstColumn="0" w:firstRowLastColumn="0" w:lastRowFirstColumn="0" w:lastRowLastColumn="0"/>
            </w:pPr>
            <w:r>
              <w:t>27</w:t>
            </w:r>
          </w:p>
        </w:tc>
      </w:tr>
    </w:tbl>
    <w:p w14:paraId="500ABCC5" w14:textId="7B9D57C1"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1,669. “Advanced” understanding refers to answering “yes, always” the behaviour is violence to at least 75% of items and “yes, usually” to the remaining items (UVAWS). “Advanced” attitudes refer to answering “strongly disagree” to at least 75% of</w:t>
      </w:r>
      <w:r w:rsidR="000419A5">
        <w:t> </w:t>
      </w:r>
      <w:r w:rsidRPr="007D5CED">
        <w:t>the items in the scale and “somewhat disagree” to the remaining items that condoned gender inequality (AGIS), condoned violence (AVAWS) or condoned a type of violence (DVS, SVS). The “advanced” TFAS category means that the respondent answered “yes, always” the behaviour is violence or “strongly disagreed” with problematic attitudes for at least 75% of items, and answered the remaining items “yes, usually” or “somewhat disagree”. See the Technical report (Section T13) for further details.</w:t>
      </w:r>
    </w:p>
    <w:p w14:paraId="46F8A509" w14:textId="1FDF676A" w:rsidR="007D5CED" w:rsidRPr="007D5CED" w:rsidRDefault="007D5CED" w:rsidP="00DC3FE8">
      <w:pPr>
        <w:pStyle w:val="Heading3"/>
      </w:pPr>
      <w:bookmarkStart w:id="98" w:name="_Toc152532388"/>
      <w:bookmarkStart w:id="99" w:name="_Toc190941674"/>
      <w:bookmarkStart w:id="100" w:name="_Toc190942374"/>
      <w:r w:rsidRPr="007D5CED">
        <w:t>3.3</w:t>
      </w:r>
      <w:r w:rsidR="001C7C59">
        <w:t xml:space="preserve"> </w:t>
      </w:r>
      <w:r w:rsidRPr="007D5CED">
        <w:t>Benchmarking understanding and attitudes by gender and age</w:t>
      </w:r>
      <w:bookmarkEnd w:id="98"/>
      <w:bookmarkEnd w:id="99"/>
      <w:bookmarkEnd w:id="100"/>
      <w:r w:rsidRPr="007D5CED">
        <w:t xml:space="preserve"> </w:t>
      </w:r>
    </w:p>
    <w:p w14:paraId="4BE03172" w14:textId="77777777" w:rsidR="007D5CED" w:rsidRPr="007D5CED" w:rsidRDefault="007D5CED" w:rsidP="0084332B">
      <w:pPr>
        <w:pStyle w:val="Heading4"/>
      </w:pPr>
      <w:r w:rsidRPr="00685DE1">
        <w:t>Comparing young people by gender</w:t>
      </w:r>
    </w:p>
    <w:p w14:paraId="72D5C0D2" w14:textId="791B10A5" w:rsidR="007D5CED" w:rsidRPr="007D5CED" w:rsidRDefault="007D5CED" w:rsidP="00A3239A">
      <w:pPr>
        <w:rPr>
          <w:lang w:val="en-GB"/>
        </w:rPr>
      </w:pPr>
      <w:r w:rsidRPr="007D5CED">
        <w:rPr>
          <w:lang w:val="en-GB"/>
        </w:rPr>
        <w:t>Significant gender differences in the proportion of young respondents with “advanced” understanding and attitudes were seen for all three main scales and two of the three type of violence scales. For the scales with significant gender differences, the effects were in the direction of young women being more likely to have “advanced” understanding and attitudes than young men. For instance, young women (42%) were significantly more likely than young men (27%) to have “advanced” understanding of</w:t>
      </w:r>
      <w:r w:rsidR="000419A5">
        <w:rPr>
          <w:lang w:val="en-GB"/>
        </w:rPr>
        <w:t> </w:t>
      </w:r>
      <w:r w:rsidRPr="007D5CED">
        <w:rPr>
          <w:lang w:val="en-GB"/>
        </w:rPr>
        <w:t>violence against women. Similarly, young women were significantly more likely than young men to</w:t>
      </w:r>
      <w:r w:rsidR="000419A5">
        <w:rPr>
          <w:lang w:val="en-GB"/>
        </w:rPr>
        <w:t> </w:t>
      </w:r>
      <w:r w:rsidRPr="007D5CED">
        <w:rPr>
          <w:lang w:val="en-GB"/>
        </w:rPr>
        <w:t xml:space="preserve">have “advanced” attitudes towards gender inequality (43% versus 20%) and violence against women (48% versus 24%). Regarding different types of violence, young women were significantly more likely than young men to have “advanced” attitudes towards domestic violence (48% versus 26%) and sexual violence (56% versus 32%). However, no significant gender differences were seen for attitudes towards and understanding of technology-facilitated abuse. </w:t>
      </w:r>
    </w:p>
    <w:p w14:paraId="0D533366" w14:textId="77777777" w:rsidR="007D5CED" w:rsidRPr="007D5CED" w:rsidRDefault="007D5CED" w:rsidP="00A3239A">
      <w:pPr>
        <w:rPr>
          <w:lang w:val="en-GB"/>
        </w:rPr>
      </w:pPr>
      <w:r w:rsidRPr="007D5CED">
        <w:rPr>
          <w:lang w:val="en-GB"/>
        </w:rPr>
        <w:t>Compared to young men, young non-binary respondents also had higher rejection of problematic attitudes in some areas of gender inequality and violence against women as detailed in Chapters 5 to 7.</w:t>
      </w:r>
    </w:p>
    <w:p w14:paraId="4BE79450" w14:textId="233B0FC0" w:rsidR="007D5CED" w:rsidRPr="007D5CED" w:rsidRDefault="007D5CED" w:rsidP="0084332B">
      <w:pPr>
        <w:pStyle w:val="Heading4"/>
      </w:pPr>
      <w:r w:rsidRPr="007D5CED">
        <w:t>Comparing 16- to 17-year-olds and 18- to 24-year-olds</w:t>
      </w:r>
    </w:p>
    <w:p w14:paraId="22CAE22A" w14:textId="1A90C85C" w:rsidR="007D5CED" w:rsidRPr="007D5CED" w:rsidRDefault="007D5CED" w:rsidP="00A3239A">
      <w:pPr>
        <w:keepNext/>
        <w:keepLines/>
        <w:rPr>
          <w:lang w:val="en-GB"/>
        </w:rPr>
      </w:pPr>
      <w:r w:rsidRPr="007D5CED">
        <w:rPr>
          <w:lang w:val="en-GB"/>
        </w:rPr>
        <w:t>Among young respondents there was no significant difference between 16- to 17-year-olds and 18</w:t>
      </w:r>
      <w:r w:rsidR="00A51720">
        <w:rPr>
          <w:lang w:val="en-GB"/>
        </w:rPr>
        <w:noBreakHyphen/>
      </w:r>
      <w:r w:rsidRPr="007D5CED">
        <w:rPr>
          <w:lang w:val="en-GB"/>
        </w:rPr>
        <w:t>to</w:t>
      </w:r>
      <w:r w:rsidR="000419A5">
        <w:rPr>
          <w:lang w:val="en-GB"/>
        </w:rPr>
        <w:t> </w:t>
      </w:r>
      <w:r w:rsidRPr="007D5CED">
        <w:rPr>
          <w:lang w:val="en-GB"/>
        </w:rPr>
        <w:t>24-year-olds in the proportion with “advanced” understanding of violence against women. With</w:t>
      </w:r>
      <w:r w:rsidR="000419A5">
        <w:rPr>
          <w:lang w:val="en-GB"/>
        </w:rPr>
        <w:t> </w:t>
      </w:r>
      <w:r w:rsidRPr="007D5CED">
        <w:rPr>
          <w:lang w:val="en-GB"/>
        </w:rPr>
        <w:t>respect to attitudes, 16- to 17-year-olds were significantly less likely than 18- to 24-year-olds to</w:t>
      </w:r>
      <w:r w:rsidR="000419A5">
        <w:rPr>
          <w:lang w:val="en-GB"/>
        </w:rPr>
        <w:t> </w:t>
      </w:r>
      <w:r w:rsidRPr="007D5CED">
        <w:rPr>
          <w:lang w:val="en-GB"/>
        </w:rPr>
        <w:t>demonstrate “advanced” rejection of problematic attitudes towards domestic violence (26% versus 38%) and sexual violence (34% versus 45%). There were no significant differences between the percentage of 16- to 17-year-olds and 18- to 24-year-olds with “advanced” attitudes towards violence against women or gender inequality.</w:t>
      </w:r>
    </w:p>
    <w:p w14:paraId="5C533AAD" w14:textId="77777777" w:rsidR="007D5CED" w:rsidRPr="007D5CED" w:rsidRDefault="007D5CED" w:rsidP="0084332B">
      <w:pPr>
        <w:pStyle w:val="Heading4"/>
      </w:pPr>
      <w:r w:rsidRPr="007D5CED">
        <w:t xml:space="preserve">Comparing 16- to 24-year-olds and people aged 25 years or older </w:t>
      </w:r>
    </w:p>
    <w:p w14:paraId="7FFEDB61" w14:textId="5B000D50" w:rsidR="007D5CED" w:rsidRPr="007D5CED" w:rsidRDefault="007D5CED" w:rsidP="00A3239A">
      <w:pPr>
        <w:rPr>
          <w:lang w:val="en-GB"/>
        </w:rPr>
      </w:pPr>
      <w:r w:rsidRPr="007D5CED">
        <w:rPr>
          <w:lang w:val="en-GB"/>
        </w:rPr>
        <w:t>The percentage of respondents with “advanced” understanding of violence against women was significantly lower for young respondents aged 16 to 24 years (34%) than respondents aged 25 years or</w:t>
      </w:r>
      <w:r w:rsidR="000419A5">
        <w:rPr>
          <w:lang w:val="en-GB"/>
        </w:rPr>
        <w:t> </w:t>
      </w:r>
      <w:r w:rsidRPr="007D5CED">
        <w:rPr>
          <w:lang w:val="en-GB"/>
        </w:rPr>
        <w:t>older (46%). With respect to attitudes, there were no significant differences between young respondents and those aged 25 years or older in the percentage demonstrating “advanced” attitudes towards violence against women overall, domestic violence, sexual violence and gender inequality. There was also no difference between young respondents and those aged 25 years or older in</w:t>
      </w:r>
      <w:r w:rsidR="000419A5">
        <w:rPr>
          <w:lang w:val="en-GB"/>
        </w:rPr>
        <w:t> </w:t>
      </w:r>
      <w:r w:rsidRPr="007D5CED">
        <w:rPr>
          <w:lang w:val="en-GB"/>
        </w:rPr>
        <w:t>understanding and rejection of technology-facilitated abuse.</w:t>
      </w:r>
    </w:p>
    <w:p w14:paraId="181D8347" w14:textId="56D811D5" w:rsidR="007D5CED" w:rsidRPr="00A31096" w:rsidRDefault="007D5CED" w:rsidP="00A3239A">
      <w:pPr>
        <w:rPr>
          <w:lang w:val="en-GB"/>
        </w:rPr>
      </w:pPr>
      <w:r w:rsidRPr="007D5CED">
        <w:rPr>
          <w:lang w:val="en-GB"/>
        </w:rPr>
        <w:t>Item-level data broken down by gender and age is presented in Appendices A to C and discussed in</w:t>
      </w:r>
      <w:r w:rsidR="000419A5">
        <w:rPr>
          <w:lang w:val="en-GB"/>
        </w:rPr>
        <w:t> </w:t>
      </w:r>
      <w:r w:rsidRPr="007D5CED">
        <w:rPr>
          <w:lang w:val="en-GB"/>
        </w:rPr>
        <w:t>Chapters 4 to 7.</w:t>
      </w:r>
    </w:p>
    <w:bookmarkStart w:id="101" w:name="_Toc152532389"/>
    <w:bookmarkStart w:id="102" w:name="_Toc190941675"/>
    <w:bookmarkStart w:id="103" w:name="_Toc190942375"/>
    <w:p w14:paraId="2F46158C" w14:textId="224A8C41" w:rsidR="007D5CED" w:rsidRPr="00D32C21" w:rsidRDefault="00D8474D" w:rsidP="008C29F3">
      <w:pPr>
        <w:pStyle w:val="H2SectionTitle"/>
      </w:pPr>
      <w:r>
        <w:rPr>
          <w:noProof/>
        </w:rPr>
        <w:lastRenderedPageBreak/>
        <mc:AlternateContent>
          <mc:Choice Requires="wps">
            <w:drawing>
              <wp:anchor distT="0" distB="0" distL="114300" distR="114300" simplePos="0" relativeHeight="251658258" behindDoc="0" locked="0" layoutInCell="1" allowOverlap="1" wp14:anchorId="518313C7" wp14:editId="160A2BB5">
                <wp:simplePos x="0" y="0"/>
                <wp:positionH relativeFrom="column">
                  <wp:posOffset>5124</wp:posOffset>
                </wp:positionH>
                <wp:positionV relativeFrom="paragraph">
                  <wp:posOffset>109</wp:posOffset>
                </wp:positionV>
                <wp:extent cx="382138" cy="382138"/>
                <wp:effectExtent l="0" t="0" r="0" b="0"/>
                <wp:wrapSquare wrapText="bothSides"/>
                <wp:docPr id="3164814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AC576" id="Rectangle 2" o:spid="_x0000_s1026" alt="&quot;&quot;" style="position:absolute;margin-left:.4pt;margin-top:0;width:30.1pt;height:30.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4 </w:t>
      </w:r>
      <w:r w:rsidR="007D5CED" w:rsidRPr="00D32C21">
        <w:t>Findings: Young people’s understanding of violence against women – UVAWS in</w:t>
      </w:r>
      <w:r>
        <w:t> </w:t>
      </w:r>
      <w:r w:rsidR="007D5CED" w:rsidRPr="00D32C21">
        <w:t>focus</w:t>
      </w:r>
      <w:bookmarkEnd w:id="101"/>
      <w:bookmarkEnd w:id="102"/>
      <w:bookmarkEnd w:id="103"/>
    </w:p>
    <w:tbl>
      <w:tblPr>
        <w:tblStyle w:val="Yellowcalloutboxlayout"/>
        <w:tblW w:w="0" w:type="auto"/>
        <w:tblLayout w:type="fixed"/>
        <w:tblLook w:val="0000" w:firstRow="0" w:lastRow="0" w:firstColumn="0" w:lastColumn="0" w:noHBand="0" w:noVBand="0"/>
      </w:tblPr>
      <w:tblGrid>
        <w:gridCol w:w="8901"/>
      </w:tblGrid>
      <w:tr w:rsidR="007D5CED" w:rsidRPr="00EA1044" w14:paraId="00210058" w14:textId="77777777" w:rsidTr="001C7C59">
        <w:trPr>
          <w:trHeight w:val="60"/>
        </w:trPr>
        <w:tc>
          <w:tcPr>
            <w:tcW w:w="8901" w:type="dxa"/>
          </w:tcPr>
          <w:p w14:paraId="2EB56644" w14:textId="39BF5DB5" w:rsidR="007D5CED" w:rsidRPr="007D5CED" w:rsidRDefault="007D5CED" w:rsidP="00B83062">
            <w:pPr>
              <w:pStyle w:val="ChapterIntro"/>
            </w:pPr>
            <w:r w:rsidRPr="007D5CED">
              <w:t>Understanding of violence against women can influence both attitudes towards violence against women and prosocial behaviours to intervene when witnessing abuse or violence (Webster et al., 2018). A</w:t>
            </w:r>
            <w:r w:rsidR="000E315F">
              <w:t> </w:t>
            </w:r>
            <w:r w:rsidRPr="007D5CED">
              <w:t>strong understanding of violence against women, together with knowledge of the support and legal services available to victims and survivors, also facilitates reporting, help-seeking and recovery for victims and survivors (Gadd et al., 2003; Gracia et al., 2020; Harmer &amp;</w:t>
            </w:r>
            <w:r w:rsidR="000419A5">
              <w:t> </w:t>
            </w:r>
            <w:r w:rsidRPr="007D5CED">
              <w:t xml:space="preserve">Lewis, 2022; Paul et al., 2014). The 2021 NCAS measured young Australians’ understanding of violence against women, including domestic violence between partners, sexual violence and technology-facilitated abuse, via the </w:t>
            </w:r>
            <w:r w:rsidRPr="007D5CED">
              <w:rPr>
                <w:rFonts w:cs="Open Sans"/>
                <w:lang w:val="en-US"/>
              </w:rPr>
              <w:t>Understanding of Violence against Women Scale (UVAWS)</w:t>
            </w:r>
            <w:r w:rsidRPr="007D5CED">
              <w:t>.</w:t>
            </w:r>
          </w:p>
        </w:tc>
      </w:tr>
    </w:tbl>
    <w:p w14:paraId="47472B33" w14:textId="3FB84C1E" w:rsidR="000E315F" w:rsidRDefault="000E315F">
      <w:pPr>
        <w:spacing w:before="0" w:after="0" w:line="240" w:lineRule="auto"/>
        <w:rPr>
          <w:lang w:val="en-GB"/>
        </w:rPr>
      </w:pPr>
      <w:r>
        <w:rPr>
          <w:lang w:val="en-GB"/>
        </w:rPr>
        <w:br w:type="page"/>
      </w:r>
    </w:p>
    <w:p w14:paraId="10511427" w14:textId="77777777" w:rsidR="007D5CED" w:rsidRPr="007D5CED" w:rsidRDefault="007D5CED" w:rsidP="000E315F">
      <w:pPr>
        <w:rPr>
          <w:lang w:val="en-GB"/>
        </w:rPr>
      </w:pPr>
      <w:r w:rsidRPr="007D5CED">
        <w:rPr>
          <w:lang w:val="en-GB"/>
        </w:rPr>
        <w:lastRenderedPageBreak/>
        <w:t xml:space="preserve">The </w:t>
      </w:r>
      <w:r w:rsidRPr="007D5CED">
        <w:rPr>
          <w:rStyle w:val="Strong"/>
          <w:lang w:val="en-US"/>
        </w:rPr>
        <w:t>UVAWS</w:t>
      </w:r>
      <w:r w:rsidRPr="007D5CED">
        <w:rPr>
          <w:lang w:val="en-GB"/>
        </w:rPr>
        <w:t xml:space="preserve"> comprises three psychometrically validated subscales, each measuring a different conceptual aspect of understanding of violence against women: </w:t>
      </w:r>
    </w:p>
    <w:p w14:paraId="117EE0BB" w14:textId="68576099" w:rsidR="007D5CED" w:rsidRPr="007D5CED" w:rsidRDefault="007D5CED" w:rsidP="000E315F">
      <w:pPr>
        <w:pStyle w:val="ListBullet"/>
        <w:rPr>
          <w:lang w:val="en-GB"/>
        </w:rPr>
      </w:pPr>
      <w:r w:rsidRPr="007D5CED">
        <w:rPr>
          <w:lang w:val="en-GB"/>
        </w:rPr>
        <w:t xml:space="preserve">The </w:t>
      </w:r>
      <w:r w:rsidRPr="007D5CED">
        <w:rPr>
          <w:rStyle w:val="Strong"/>
          <w:lang w:val="en-US"/>
        </w:rPr>
        <w:t>Recognise DV Subscale</w:t>
      </w:r>
      <w:r w:rsidRPr="007D5CED">
        <w:rPr>
          <w:lang w:val="en-GB"/>
        </w:rPr>
        <w:t xml:space="preserve"> comprises 12 items that ask whether problematic behaviours are a</w:t>
      </w:r>
      <w:r w:rsidR="000419A5">
        <w:rPr>
          <w:lang w:val="en-GB"/>
        </w:rPr>
        <w:t> </w:t>
      </w:r>
      <w:r w:rsidRPr="007D5CED">
        <w:rPr>
          <w:lang w:val="en-GB"/>
        </w:rPr>
        <w:t>form of domestic violence on a four-point scale: “yes, always”, “yes, usually”, “yes, sometimes</w:t>
      </w:r>
      <w:r w:rsidRPr="007D5CED">
        <w:rPr>
          <w:lang w:val="en-US"/>
        </w:rPr>
        <w:t>”</w:t>
      </w:r>
      <w:r w:rsidRPr="007D5CED">
        <w:rPr>
          <w:lang w:val="en-GB"/>
        </w:rPr>
        <w:t xml:space="preserve"> and “no”.</w:t>
      </w:r>
    </w:p>
    <w:p w14:paraId="4B802120" w14:textId="57489313" w:rsidR="007D5CED" w:rsidRPr="007D5CED" w:rsidRDefault="007D5CED" w:rsidP="000E315F">
      <w:pPr>
        <w:pStyle w:val="ListBullet"/>
        <w:rPr>
          <w:lang w:val="en-GB"/>
        </w:rPr>
      </w:pPr>
      <w:r w:rsidRPr="007D5CED">
        <w:rPr>
          <w:lang w:val="en-GB"/>
        </w:rPr>
        <w:t xml:space="preserve">The </w:t>
      </w:r>
      <w:r w:rsidRPr="007D5CED">
        <w:rPr>
          <w:rStyle w:val="Strong"/>
          <w:lang w:val="en-US"/>
        </w:rPr>
        <w:t>Recognise VAW Subscale</w:t>
      </w:r>
      <w:r w:rsidRPr="007D5CED">
        <w:rPr>
          <w:b/>
          <w:bCs/>
          <w:lang w:val="en-US"/>
        </w:rPr>
        <w:t xml:space="preserve"> </w:t>
      </w:r>
      <w:r w:rsidRPr="007D5CED">
        <w:rPr>
          <w:lang w:val="en-GB"/>
        </w:rPr>
        <w:t>comprises four items that ask whether problematic behaviours are a</w:t>
      </w:r>
      <w:r w:rsidR="000419A5">
        <w:rPr>
          <w:lang w:val="en-GB"/>
        </w:rPr>
        <w:t> </w:t>
      </w:r>
      <w:r w:rsidRPr="007D5CED">
        <w:rPr>
          <w:lang w:val="en-GB"/>
        </w:rPr>
        <w:t>form of violence against women on a four-point scale: “yes, always”, “yes, usually”, “yes, sometimes” and “no”.</w:t>
      </w:r>
    </w:p>
    <w:p w14:paraId="0D83B580" w14:textId="77777777" w:rsidR="007D5CED" w:rsidRPr="007D5CED" w:rsidRDefault="007D5CED" w:rsidP="000E315F">
      <w:pPr>
        <w:pStyle w:val="ListBullet"/>
        <w:rPr>
          <w:lang w:val="en-GB"/>
        </w:rPr>
      </w:pPr>
      <w:r w:rsidRPr="007D5CED">
        <w:rPr>
          <w:lang w:val="en-GB"/>
        </w:rPr>
        <w:t xml:space="preserve">The </w:t>
      </w:r>
      <w:r w:rsidRPr="007D5CED">
        <w:rPr>
          <w:rStyle w:val="Strong"/>
          <w:lang w:val="en-US"/>
        </w:rPr>
        <w:t>Understand Gendered DV Subscale</w:t>
      </w:r>
      <w:r w:rsidRPr="007D5CED">
        <w:rPr>
          <w:lang w:val="en-GB"/>
        </w:rPr>
        <w:t xml:space="preserve"> comprises three items that examine understanding of the gendered nature of domestic violence by asking about who is more likely to perpetrate and experience fear and harm from domestic violence: “men”, “women” or “both equally”.</w:t>
      </w:r>
    </w:p>
    <w:p w14:paraId="10D6A00F" w14:textId="77777777" w:rsidR="007D5CED" w:rsidRPr="007D5CED" w:rsidRDefault="007D5CED" w:rsidP="000E315F">
      <w:pPr>
        <w:rPr>
          <w:lang w:val="en-GB"/>
        </w:rPr>
      </w:pPr>
      <w:r w:rsidRPr="007D5CED">
        <w:rPr>
          <w:lang w:val="en-GB"/>
        </w:rPr>
        <w:t>This chapter details young respondents’ results on the UVAWS overall, and on its subscales and individual items, to:</w:t>
      </w:r>
    </w:p>
    <w:p w14:paraId="14C7078A" w14:textId="0FE7C763" w:rsidR="007D5CED" w:rsidRPr="007D5CED" w:rsidRDefault="007D5CED" w:rsidP="000E315F">
      <w:pPr>
        <w:pStyle w:val="ListBullet"/>
        <w:rPr>
          <w:lang w:val="en-GB"/>
        </w:rPr>
      </w:pPr>
      <w:r w:rsidRPr="007D5CED">
        <w:rPr>
          <w:lang w:val="en-GB"/>
        </w:rPr>
        <w:t>examine changes in young people’s understanding of violence against women over time (Section</w:t>
      </w:r>
      <w:r w:rsidR="000419A5">
        <w:rPr>
          <w:lang w:val="en-GB"/>
        </w:rPr>
        <w:t> </w:t>
      </w:r>
      <w:r w:rsidRPr="007D5CED">
        <w:rPr>
          <w:lang w:val="en-GB"/>
        </w:rPr>
        <w:t>4.1)</w:t>
      </w:r>
    </w:p>
    <w:p w14:paraId="3278F36E" w14:textId="77777777" w:rsidR="007D5CED" w:rsidRPr="007D5CED" w:rsidRDefault="007D5CED" w:rsidP="000E315F">
      <w:pPr>
        <w:pStyle w:val="ListBullet"/>
        <w:rPr>
          <w:lang w:val="en-GB"/>
        </w:rPr>
      </w:pPr>
      <w:r w:rsidRPr="007D5CED">
        <w:rPr>
          <w:lang w:val="en-GB"/>
        </w:rPr>
        <w:t>examine young people’s understanding of violence against women</w:t>
      </w:r>
      <w:r w:rsidRPr="007D5CED">
        <w:rPr>
          <w:lang w:val="en-US"/>
        </w:rPr>
        <w:t xml:space="preserve"> </w:t>
      </w:r>
      <w:r w:rsidRPr="007D5CED">
        <w:rPr>
          <w:lang w:val="en-GB"/>
        </w:rPr>
        <w:t>in 2021 (Section 4.2)</w:t>
      </w:r>
    </w:p>
    <w:p w14:paraId="651F8293" w14:textId="77777777" w:rsidR="007D5CED" w:rsidRPr="007D5CED" w:rsidRDefault="007D5CED" w:rsidP="000E315F">
      <w:pPr>
        <w:pStyle w:val="ListBullet"/>
        <w:rPr>
          <w:lang w:val="en-GB"/>
        </w:rPr>
      </w:pPr>
      <w:r w:rsidRPr="007D5CED">
        <w:rPr>
          <w:lang w:val="en-GB"/>
        </w:rPr>
        <w:t>compare young people’s understanding of violence against women in 2021 by gender (Section 4.3)</w:t>
      </w:r>
    </w:p>
    <w:p w14:paraId="04E1236A" w14:textId="77777777" w:rsidR="007D5CED" w:rsidRDefault="007D5CED" w:rsidP="000E315F">
      <w:pPr>
        <w:pStyle w:val="ListBullet"/>
        <w:rPr>
          <w:lang w:val="en-GB"/>
        </w:rPr>
      </w:pPr>
      <w:r w:rsidRPr="007D5CED">
        <w:rPr>
          <w:lang w:val="en-GB"/>
        </w:rPr>
        <w:t>compare young people’s understanding of violence against women in 2021 by age (Section 4.4).</w:t>
      </w:r>
    </w:p>
    <w:p w14:paraId="14505C8B" w14:textId="77777777" w:rsidR="000E315F" w:rsidRPr="007D5CED" w:rsidRDefault="000E315F" w:rsidP="00750FEF">
      <w:pPr>
        <w:pStyle w:val="ResultsSummaryHeading"/>
      </w:pPr>
      <w:r w:rsidRPr="007D5CED">
        <w:t>UVAWS results summary</w:t>
      </w:r>
    </w:p>
    <w:p w14:paraId="69FAFDC9" w14:textId="77777777" w:rsidR="000E315F" w:rsidRPr="007D5CED" w:rsidRDefault="000E315F" w:rsidP="00750FEF">
      <w:pPr>
        <w:pStyle w:val="ResultsSummary"/>
      </w:pPr>
      <w:r w:rsidRPr="007D5CED">
        <w:t>Young Australians’ understanding of violence against women has significantly improved over time (Sections 3.1 and 4.1).</w:t>
      </w:r>
    </w:p>
    <w:p w14:paraId="5CE6F830" w14:textId="1D2CF9E4" w:rsidR="000E315F" w:rsidRPr="007D5CED" w:rsidRDefault="000E315F" w:rsidP="00750FEF">
      <w:pPr>
        <w:pStyle w:val="ResultsSummary"/>
      </w:pPr>
      <w:r w:rsidRPr="007D5CED">
        <w:t>Most young respondents recognised that domestic violence and violence against women can manifest as a range of violent, abusive and controlling behaviours. However, like all respondents, young respondents were more adept at identifying these behaviours than they were at understanding the gendered nature of domestic violence (Sections 4.1 and 4.2).</w:t>
      </w:r>
    </w:p>
    <w:p w14:paraId="23CC200F" w14:textId="77777777" w:rsidR="000E315F" w:rsidRPr="007D5CED" w:rsidRDefault="000E315F" w:rsidP="00750FEF">
      <w:pPr>
        <w:pStyle w:val="ResultsSummary"/>
      </w:pPr>
      <w:r w:rsidRPr="007D5CED">
        <w:t xml:space="preserve">Young women respondents had significantly greater understanding of violence against women than young men respondents and were significantly more likely to have “advanced” understanding. This included greater recognition of the behaviours that constitute domestic violence and violence against women more broadly, according to UVAWS and two of the three UVAWS subscale scores: Recognise DV and Recognise VAW Subscales. Young non-binary respondents were not significantly different from young women or young men respondents on the UVAWS or its subscales. </w:t>
      </w:r>
    </w:p>
    <w:p w14:paraId="68F69206" w14:textId="77777777" w:rsidR="000E315F" w:rsidRPr="007D5CED" w:rsidRDefault="000E315F" w:rsidP="00750FEF">
      <w:pPr>
        <w:pStyle w:val="ResultsSummary"/>
      </w:pPr>
      <w:r w:rsidRPr="007D5CED">
        <w:t>In 2021, 16- to 17- year-olds and 18- to 24-year-olds had very similar understanding of violence against women. However, there were a few significant differences between young respondents and those aged 25 years or older regarding understanding of violence against women. These differences were all in the direction of the older age group having significantly better understanding, although there is substantial room for improvement across all age groups.</w:t>
      </w:r>
    </w:p>
    <w:p w14:paraId="64F598C5" w14:textId="67B4ABE3" w:rsidR="007D5CED" w:rsidRPr="00922672" w:rsidRDefault="007D5CED" w:rsidP="00DC3FE8">
      <w:pPr>
        <w:pStyle w:val="Heading3"/>
      </w:pPr>
      <w:bookmarkStart w:id="104" w:name="_Toc152532390"/>
      <w:bookmarkStart w:id="105" w:name="_Toc190941676"/>
      <w:bookmarkStart w:id="106" w:name="_Toc190942376"/>
      <w:r w:rsidRPr="007D5CED">
        <w:rPr>
          <w:color w:val="000000"/>
        </w:rPr>
        <w:t>4.1</w:t>
      </w:r>
      <w:r w:rsidR="001C7C59">
        <w:rPr>
          <w:color w:val="000000"/>
        </w:rPr>
        <w:t xml:space="preserve"> </w:t>
      </w:r>
      <w:r w:rsidRPr="00E3358B">
        <w:t>Understanding over time: Young people’s understanding of violence against women</w:t>
      </w:r>
      <w:bookmarkEnd w:id="104"/>
      <w:bookmarkEnd w:id="105"/>
      <w:bookmarkEnd w:id="106"/>
    </w:p>
    <w:p w14:paraId="3CF2AF3C" w14:textId="77777777" w:rsidR="007D5CED" w:rsidRPr="007D5CED" w:rsidRDefault="007D5CED" w:rsidP="00A3239A">
      <w:pPr>
        <w:rPr>
          <w:lang w:val="en-GB"/>
        </w:rPr>
      </w:pPr>
      <w:r w:rsidRPr="007D5CED">
        <w:rPr>
          <w:lang w:val="en-GB"/>
        </w:rPr>
        <w:t>This section examines young respondents’ understanding of violence against women over time based on the UVAWS scale, subscales and items.</w:t>
      </w:r>
    </w:p>
    <w:p w14:paraId="45395954" w14:textId="1D2A126F" w:rsidR="007D5CED" w:rsidRPr="007D5CED" w:rsidRDefault="007D5CED" w:rsidP="00A3239A">
      <w:pPr>
        <w:rPr>
          <w:lang w:val="en-GB"/>
        </w:rPr>
      </w:pPr>
      <w:r w:rsidRPr="007D5CED">
        <w:rPr>
          <w:lang w:val="en-GB"/>
        </w:rPr>
        <w:t>As Chapter 3 shows, young respondents’ overall understanding of violence against women, as</w:t>
      </w:r>
      <w:r w:rsidR="000419A5">
        <w:rPr>
          <w:lang w:val="en-GB"/>
        </w:rPr>
        <w:t> </w:t>
      </w:r>
      <w:r w:rsidRPr="007D5CED">
        <w:rPr>
          <w:lang w:val="en-GB"/>
        </w:rPr>
        <w:t xml:space="preserve">measured by mean UVAWS scores, was significantly higher in 2021 than in all prior NCAS waves. </w:t>
      </w:r>
    </w:p>
    <w:p w14:paraId="4424BEC3" w14:textId="34EB7451" w:rsidR="007D5CED" w:rsidRPr="007D5CED" w:rsidRDefault="007D5CED" w:rsidP="00A3239A">
      <w:pPr>
        <w:rPr>
          <w:lang w:val="en-GB"/>
        </w:rPr>
      </w:pPr>
      <w:r w:rsidRPr="007D5CED">
        <w:rPr>
          <w:lang w:val="en-GB"/>
        </w:rPr>
        <w:t>Similarly, there has been significant improvement in young people’s understanding of violence against women over time according to two of the three UVAWS subscales (Figure 4-1). Young respondents’ recognition of the behaviours that constitute domestic violence and violence against women more broadly was significantly higher in 2021 compared to all previous years, according to mean scores on</w:t>
      </w:r>
      <w:r w:rsidR="000419A5">
        <w:rPr>
          <w:lang w:val="en-GB"/>
        </w:rPr>
        <w:t> </w:t>
      </w:r>
      <w:r w:rsidRPr="007D5CED">
        <w:rPr>
          <w:lang w:val="en-GB"/>
        </w:rPr>
        <w:t xml:space="preserve">the Recognise DV and Recognise VAW Subscales. Change over time for the remaining UVAWS subscale, which measures </w:t>
      </w:r>
      <w:r w:rsidRPr="007D5CED">
        <w:rPr>
          <w:lang w:val="en-GB"/>
        </w:rPr>
        <w:lastRenderedPageBreak/>
        <w:t>understanding of the gendered nature of domestic violence as a phenomenon perpetrated mainly by men against women, could not be reliably reported because one of the three items in this subscale was substantially revised in 2021.</w:t>
      </w:r>
      <w:r w:rsidRPr="007D5CED">
        <w:rPr>
          <w:vertAlign w:val="superscript"/>
          <w:lang w:val="en-GB"/>
        </w:rPr>
        <w:footnoteReference w:id="17"/>
      </w:r>
      <w:r w:rsidRPr="007D5CED">
        <w:rPr>
          <w:lang w:val="en-GB"/>
        </w:rPr>
        <w:t xml:space="preserve"> </w:t>
      </w:r>
    </w:p>
    <w:p w14:paraId="50B7111C" w14:textId="146F30D0" w:rsidR="007D5CED" w:rsidRPr="007D5CED" w:rsidRDefault="00575C22" w:rsidP="00EC2246">
      <w:pPr>
        <w:pStyle w:val="Caption"/>
      </w:pPr>
      <w:bookmarkStart w:id="107" w:name="_Toc187401239"/>
      <w:r>
        <w:t xml:space="preserve">Figure </w:t>
      </w:r>
      <w:r w:rsidR="005B3A89">
        <w:fldChar w:fldCharType="begin"/>
      </w:r>
      <w:r w:rsidR="005B3A89">
        <w:instrText xml:space="preserve"> STYLEREF 1 \s </w:instrText>
      </w:r>
      <w:r w:rsidR="005B3A89">
        <w:fldChar w:fldCharType="separate"/>
      </w:r>
      <w:r w:rsidR="005B3A89">
        <w:rPr>
          <w:noProof/>
        </w:rPr>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rPr>
          <w:noProof/>
        </w:rPr>
        <w:t>1</w:t>
      </w:r>
      <w:r w:rsidR="005B3A89">
        <w:fldChar w:fldCharType="end"/>
      </w:r>
      <w:r w:rsidR="007D5CED" w:rsidRPr="007D5CED">
        <w:t>: Understanding of different aspects of violence against women (UVAWS subscales) over time, 16- to 24-year-olds, 2009 to 2021</w:t>
      </w:r>
      <w:bookmarkEnd w:id="107"/>
    </w:p>
    <w:p w14:paraId="1A1849F3" w14:textId="08C6449B" w:rsidR="007D5CED" w:rsidRPr="007D5CED" w:rsidRDefault="003E5364" w:rsidP="00A3239A">
      <w:pPr>
        <w:rPr>
          <w:lang w:val="en-GB"/>
        </w:rPr>
      </w:pPr>
      <w:r>
        <w:rPr>
          <w:noProof/>
          <w:lang w:val="en-GB"/>
        </w:rPr>
        <w:drawing>
          <wp:inline distT="0" distB="0" distL="0" distR="0" wp14:anchorId="3942AE4C" wp14:editId="7B7FD51B">
            <wp:extent cx="6120130" cy="2467610"/>
            <wp:effectExtent l="0" t="0" r="1270" b="0"/>
            <wp:docPr id="1009883" name="Immagine 10" descr="This is a line graph that shows the understanding different aspects of violence against women.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3" name="Immagine 10" descr="This is a line graph that shows the understanding different aspects of violence against women. The data in this graph is in the table bel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2467610"/>
                    </a:xfrm>
                    <a:prstGeom prst="rect">
                      <a:avLst/>
                    </a:prstGeom>
                  </pic:spPr>
                </pic:pic>
              </a:graphicData>
            </a:graphic>
          </wp:inline>
        </w:drawing>
      </w:r>
    </w:p>
    <w:p w14:paraId="3F320AF3" w14:textId="702145B8" w:rsidR="00A974BA" w:rsidRDefault="00A974BA" w:rsidP="002A2C0C">
      <w:pPr>
        <w:pStyle w:val="datatableheading"/>
      </w:pPr>
      <w:r>
        <w:t>Data table for figure 4-1</w:t>
      </w:r>
      <w:r w:rsidR="001B3C28">
        <w:t xml:space="preserve">: </w:t>
      </w:r>
      <w:r w:rsidR="001B3C28" w:rsidRPr="007D5CED">
        <w:t xml:space="preserve">Understanding of </w:t>
      </w:r>
      <w:r w:rsidR="007D002F">
        <w:t>v</w:t>
      </w:r>
      <w:r w:rsidR="001B3C28" w:rsidRPr="007D5CED">
        <w:t>iolence against women (</w:t>
      </w:r>
      <w:r w:rsidR="007D002F">
        <w:t xml:space="preserve">mean </w:t>
      </w:r>
      <w:r w:rsidR="001B3C28" w:rsidRPr="007D5CED">
        <w:t>UVAWS subscale</w:t>
      </w:r>
      <w:r w:rsidR="007D002F">
        <w:t xml:space="preserve"> score</w:t>
      </w:r>
      <w:r w:rsidR="001B3C28" w:rsidRPr="007D5CED">
        <w:t>)</w:t>
      </w:r>
    </w:p>
    <w:tbl>
      <w:tblPr>
        <w:tblStyle w:val="Table-SingleHeaderRow"/>
        <w:tblW w:w="0" w:type="auto"/>
        <w:tblLook w:val="04A0" w:firstRow="1" w:lastRow="0" w:firstColumn="1" w:lastColumn="0" w:noHBand="0" w:noVBand="1"/>
      </w:tblPr>
      <w:tblGrid>
        <w:gridCol w:w="3544"/>
        <w:gridCol w:w="1276"/>
        <w:gridCol w:w="1276"/>
        <w:gridCol w:w="3118"/>
      </w:tblGrid>
      <w:tr w:rsidR="005E68EB" w:rsidRPr="008E6594" w14:paraId="5DC44288"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3D31686E" w14:textId="5C112FDB" w:rsidR="005E68EB" w:rsidRPr="008C29F3" w:rsidRDefault="005E68EB" w:rsidP="00A3239A">
            <w:pPr>
              <w:pStyle w:val="Tablebody"/>
              <w:rPr>
                <w:b w:val="0"/>
                <w:bCs/>
              </w:rPr>
            </w:pPr>
            <w:bookmarkStart w:id="108" w:name="_Hlk184710428"/>
            <w:r w:rsidRPr="008C29F3">
              <w:rPr>
                <w:bCs/>
              </w:rPr>
              <w:t>NACS wave (year)</w:t>
            </w:r>
          </w:p>
        </w:tc>
        <w:tc>
          <w:tcPr>
            <w:tcW w:w="1276" w:type="dxa"/>
          </w:tcPr>
          <w:p w14:paraId="2B801A6E" w14:textId="78213F52" w:rsidR="005E68EB" w:rsidRPr="005E68EB" w:rsidRDefault="005E68E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 xml:space="preserve"> Recognise DV subscale</w:t>
            </w:r>
          </w:p>
        </w:tc>
        <w:tc>
          <w:tcPr>
            <w:tcW w:w="1276" w:type="dxa"/>
          </w:tcPr>
          <w:p w14:paraId="6C82B8F6" w14:textId="3D508647" w:rsidR="005E68EB" w:rsidRPr="005E68EB" w:rsidRDefault="005E68E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Recognise VAW Subscale</w:t>
            </w:r>
          </w:p>
        </w:tc>
        <w:tc>
          <w:tcPr>
            <w:tcW w:w="3118" w:type="dxa"/>
          </w:tcPr>
          <w:p w14:paraId="6DFEAEC0" w14:textId="42ADFDEB" w:rsidR="005E68EB" w:rsidRPr="005E68EB" w:rsidRDefault="005E68E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Understand Gendered DV Subscale</w:t>
            </w:r>
          </w:p>
        </w:tc>
      </w:tr>
      <w:tr w:rsidR="005E68EB" w:rsidRPr="007E1C6F" w14:paraId="243F4CCD" w14:textId="77777777" w:rsidTr="008C29F3">
        <w:tc>
          <w:tcPr>
            <w:cnfStyle w:val="001000000000" w:firstRow="0" w:lastRow="0" w:firstColumn="1" w:lastColumn="0" w:oddVBand="0" w:evenVBand="0" w:oddHBand="0" w:evenHBand="0" w:firstRowFirstColumn="0" w:firstRowLastColumn="0" w:lastRowFirstColumn="0" w:lastRowLastColumn="0"/>
            <w:tcW w:w="3544" w:type="dxa"/>
          </w:tcPr>
          <w:p w14:paraId="4D3934DF" w14:textId="7AFD599C" w:rsidR="005E68EB" w:rsidRPr="008E6594" w:rsidRDefault="005E68EB" w:rsidP="00A3239A">
            <w:pPr>
              <w:pStyle w:val="Tablebody"/>
            </w:pPr>
            <w:r>
              <w:t>2009</w:t>
            </w:r>
          </w:p>
        </w:tc>
        <w:tc>
          <w:tcPr>
            <w:tcW w:w="1276" w:type="dxa"/>
          </w:tcPr>
          <w:p w14:paraId="26AE2435" w14:textId="4169E713" w:rsidR="005E68EB" w:rsidRPr="007E1C6F" w:rsidRDefault="005E68E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60*</w:t>
            </w:r>
          </w:p>
        </w:tc>
        <w:tc>
          <w:tcPr>
            <w:tcW w:w="1276" w:type="dxa"/>
          </w:tcPr>
          <w:p w14:paraId="01AFCCE4" w14:textId="2897B388" w:rsidR="005E68EB" w:rsidRPr="007E1C6F"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3118" w:type="dxa"/>
          </w:tcPr>
          <w:p w14:paraId="5053ECD1" w14:textId="08A21314" w:rsidR="005E68EB" w:rsidRPr="007E1C6F" w:rsidRDefault="005E68EB" w:rsidP="00A3239A">
            <w:pPr>
              <w:pStyle w:val="Tablebody"/>
              <w:cnfStyle w:val="000000000000" w:firstRow="0" w:lastRow="0" w:firstColumn="0" w:lastColumn="0" w:oddVBand="0" w:evenVBand="0" w:oddHBand="0" w:evenHBand="0" w:firstRowFirstColumn="0" w:firstRowLastColumn="0" w:lastRowFirstColumn="0" w:lastRowLastColumn="0"/>
            </w:pPr>
          </w:p>
        </w:tc>
      </w:tr>
      <w:tr w:rsidR="005E68EB" w:rsidDel="006D4F1A" w14:paraId="3DBBDB4A" w14:textId="77777777" w:rsidTr="008C29F3">
        <w:tc>
          <w:tcPr>
            <w:cnfStyle w:val="001000000000" w:firstRow="0" w:lastRow="0" w:firstColumn="1" w:lastColumn="0" w:oddVBand="0" w:evenVBand="0" w:oddHBand="0" w:evenHBand="0" w:firstRowFirstColumn="0" w:firstRowLastColumn="0" w:lastRowFirstColumn="0" w:lastRowLastColumn="0"/>
            <w:tcW w:w="3544" w:type="dxa"/>
          </w:tcPr>
          <w:p w14:paraId="2B7222ED" w14:textId="70677D52" w:rsidR="005E68EB" w:rsidRPr="008E6594" w:rsidRDefault="005E68EB" w:rsidP="00A3239A">
            <w:pPr>
              <w:pStyle w:val="Tablebody"/>
            </w:pPr>
            <w:r>
              <w:t>2013</w:t>
            </w:r>
          </w:p>
        </w:tc>
        <w:tc>
          <w:tcPr>
            <w:tcW w:w="1276" w:type="dxa"/>
          </w:tcPr>
          <w:p w14:paraId="54B29864" w14:textId="1497CE28"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1276" w:type="dxa"/>
          </w:tcPr>
          <w:p w14:paraId="628D1A4E" w14:textId="44829AF9"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3118" w:type="dxa"/>
          </w:tcPr>
          <w:p w14:paraId="5A370457" w14:textId="4CC29B2A" w:rsidR="005E68EB" w:rsidDel="006D4F1A" w:rsidRDefault="005E68EB" w:rsidP="00A3239A">
            <w:pPr>
              <w:pStyle w:val="Tablebody"/>
              <w:cnfStyle w:val="000000000000" w:firstRow="0" w:lastRow="0" w:firstColumn="0" w:lastColumn="0" w:oddVBand="0" w:evenVBand="0" w:oddHBand="0" w:evenHBand="0" w:firstRowFirstColumn="0" w:firstRowLastColumn="0" w:lastRowFirstColumn="0" w:lastRowLastColumn="0"/>
            </w:pPr>
          </w:p>
        </w:tc>
      </w:tr>
      <w:tr w:rsidR="005E68EB" w:rsidDel="006D4F1A" w14:paraId="0D982CC4" w14:textId="77777777" w:rsidTr="008C29F3">
        <w:trPr>
          <w:trHeight w:val="406"/>
        </w:trPr>
        <w:tc>
          <w:tcPr>
            <w:cnfStyle w:val="001000000000" w:firstRow="0" w:lastRow="0" w:firstColumn="1" w:lastColumn="0" w:oddVBand="0" w:evenVBand="0" w:oddHBand="0" w:evenHBand="0" w:firstRowFirstColumn="0" w:firstRowLastColumn="0" w:lastRowFirstColumn="0" w:lastRowLastColumn="0"/>
            <w:tcW w:w="3544" w:type="dxa"/>
          </w:tcPr>
          <w:p w14:paraId="6AD87694" w14:textId="79452304" w:rsidR="005E68EB" w:rsidRPr="008E6594" w:rsidRDefault="005E68EB" w:rsidP="00A3239A">
            <w:pPr>
              <w:pStyle w:val="Tablebody"/>
            </w:pPr>
            <w:r>
              <w:t>2017</w:t>
            </w:r>
          </w:p>
        </w:tc>
        <w:tc>
          <w:tcPr>
            <w:tcW w:w="1276" w:type="dxa"/>
          </w:tcPr>
          <w:p w14:paraId="0D49FDA9" w14:textId="19CB0360"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62*</w:t>
            </w:r>
          </w:p>
        </w:tc>
        <w:tc>
          <w:tcPr>
            <w:tcW w:w="1276" w:type="dxa"/>
          </w:tcPr>
          <w:p w14:paraId="6A94F377" w14:textId="60C77D3D"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61*</w:t>
            </w:r>
          </w:p>
        </w:tc>
        <w:tc>
          <w:tcPr>
            <w:tcW w:w="3118" w:type="dxa"/>
          </w:tcPr>
          <w:p w14:paraId="6F4D0979" w14:textId="601C64F9" w:rsidR="005E68EB" w:rsidDel="006D4F1A" w:rsidRDefault="005E68EB" w:rsidP="00A3239A">
            <w:pPr>
              <w:pStyle w:val="Tablebody"/>
              <w:cnfStyle w:val="000000000000" w:firstRow="0" w:lastRow="0" w:firstColumn="0" w:lastColumn="0" w:oddVBand="0" w:evenVBand="0" w:oddHBand="0" w:evenHBand="0" w:firstRowFirstColumn="0" w:firstRowLastColumn="0" w:lastRowFirstColumn="0" w:lastRowLastColumn="0"/>
            </w:pPr>
          </w:p>
        </w:tc>
      </w:tr>
      <w:bookmarkEnd w:id="108"/>
      <w:tr w:rsidR="005E68EB" w:rsidDel="006D4F1A" w14:paraId="3234550E" w14:textId="77777777" w:rsidTr="008C29F3">
        <w:trPr>
          <w:trHeight w:val="406"/>
        </w:trPr>
        <w:tc>
          <w:tcPr>
            <w:cnfStyle w:val="001000000000" w:firstRow="0" w:lastRow="0" w:firstColumn="1" w:lastColumn="0" w:oddVBand="0" w:evenVBand="0" w:oddHBand="0" w:evenHBand="0" w:firstRowFirstColumn="0" w:firstRowLastColumn="0" w:lastRowFirstColumn="0" w:lastRowLastColumn="0"/>
            <w:tcW w:w="3544" w:type="dxa"/>
          </w:tcPr>
          <w:p w14:paraId="393AE74D" w14:textId="3385A0D4" w:rsidR="005E68EB" w:rsidRDefault="005E68EB" w:rsidP="00A3239A">
            <w:pPr>
              <w:pStyle w:val="Tablebody"/>
            </w:pPr>
            <w:r>
              <w:t>2021</w:t>
            </w:r>
          </w:p>
        </w:tc>
        <w:tc>
          <w:tcPr>
            <w:tcW w:w="1276" w:type="dxa"/>
          </w:tcPr>
          <w:p w14:paraId="23C84E97" w14:textId="44CFDF0E" w:rsidR="005E68EB" w:rsidRDefault="005E68EB" w:rsidP="00A3239A">
            <w:pPr>
              <w:pStyle w:val="Superscript"/>
              <w:cnfStyle w:val="000000000000" w:firstRow="0" w:lastRow="0" w:firstColumn="0" w:lastColumn="0" w:oddVBand="0" w:evenVBand="0" w:oddHBand="0" w:evenHBand="0" w:firstRowFirstColumn="0" w:firstRowLastColumn="0" w:lastRowFirstColumn="0" w:lastRowLastColumn="0"/>
            </w:pPr>
            <w:r>
              <w:t>67*</w:t>
            </w:r>
            <w:r w:rsidRPr="008C29F3">
              <w:rPr>
                <w:kern w:val="2"/>
                <w:sz w:val="20"/>
                <w:vertAlign w:val="superscript"/>
              </w:rPr>
              <w:t>1</w:t>
            </w:r>
          </w:p>
        </w:tc>
        <w:tc>
          <w:tcPr>
            <w:tcW w:w="1276" w:type="dxa"/>
          </w:tcPr>
          <w:p w14:paraId="567BB39F" w14:textId="7BED1187"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3118" w:type="dxa"/>
          </w:tcPr>
          <w:p w14:paraId="62A6C083" w14:textId="5CD6E807" w:rsidR="005E68EB" w:rsidRDefault="005E68EB" w:rsidP="00A3239A">
            <w:pPr>
              <w:pStyle w:val="Tablebody"/>
              <w:cnfStyle w:val="000000000000" w:firstRow="0" w:lastRow="0" w:firstColumn="0" w:lastColumn="0" w:oddVBand="0" w:evenVBand="0" w:oddHBand="0" w:evenHBand="0" w:firstRowFirstColumn="0" w:firstRowLastColumn="0" w:lastRowFirstColumn="0" w:lastRowLastColumn="0"/>
            </w:pPr>
            <w:r>
              <w:t>62*</w:t>
            </w:r>
            <w:r w:rsidRPr="008C29F3">
              <w:rPr>
                <w:kern w:val="2"/>
                <w:sz w:val="20"/>
                <w:vertAlign w:val="superscript"/>
              </w:rPr>
              <w:t>1</w:t>
            </w:r>
          </w:p>
        </w:tc>
      </w:tr>
    </w:tbl>
    <w:p w14:paraId="0D65D659" w14:textId="77777777" w:rsidR="00E27DB9" w:rsidRPr="00AD187F" w:rsidRDefault="00E27DB9" w:rsidP="00A3239A">
      <w:pPr>
        <w:pStyle w:val="Normal8pt"/>
      </w:pPr>
      <w:r w:rsidRPr="008C29F3">
        <w:rPr>
          <w:b/>
        </w:rPr>
        <w:t>Note</w:t>
      </w:r>
      <w:r w:rsidRPr="007D5CED">
        <w:rPr>
          <w:bCs/>
        </w:rPr>
        <w:t>:</w:t>
      </w:r>
      <w:r w:rsidRPr="007D5CED">
        <w:t xml:space="preserve"> </w:t>
      </w:r>
      <w:r w:rsidRPr="00AD187F">
        <w:t xml:space="preserve">“na” (below) means reliable data was not available. </w:t>
      </w:r>
      <w:r w:rsidRPr="00AD187F">
        <w:rPr>
          <w:rStyle w:val="Emphasis"/>
          <w:i w:val="0"/>
          <w:iCs w:val="0"/>
        </w:rPr>
        <w:t>N</w:t>
      </w:r>
      <w:r w:rsidRPr="00AD187F">
        <w:t xml:space="preserve">s in 2009, 2013, 2017 and 2021 were: </w:t>
      </w:r>
    </w:p>
    <w:p w14:paraId="16DCDC31" w14:textId="77777777" w:rsidR="00E27DB9" w:rsidRPr="00AD187F" w:rsidRDefault="00E27DB9" w:rsidP="00A3239A">
      <w:pPr>
        <w:pStyle w:val="Normal8pt"/>
      </w:pPr>
      <w:r w:rsidRPr="00AD187F">
        <w:t>Recognise DV Subscale – 882; 1,919; 1,523; 1,669</w:t>
      </w:r>
    </w:p>
    <w:p w14:paraId="31F7FEB2" w14:textId="77777777" w:rsidR="00E27DB9" w:rsidRPr="00AD187F" w:rsidRDefault="00E27DB9" w:rsidP="00A3239A">
      <w:pPr>
        <w:pStyle w:val="Normal8pt"/>
      </w:pPr>
      <w:r w:rsidRPr="00AD187F">
        <w:t>Recognise VAW Subscale – 866; 1,887; 758; 1,667</w:t>
      </w:r>
    </w:p>
    <w:p w14:paraId="62EA9438" w14:textId="3C5AA02A" w:rsidR="00E27DB9" w:rsidRPr="00AD187F" w:rsidRDefault="00E27DB9" w:rsidP="00A3239A">
      <w:pPr>
        <w:pStyle w:val="Normal8pt"/>
      </w:pPr>
      <w:r w:rsidRPr="00AD187F">
        <w:t>Understand Gendered DV Subscale – na; na; na; 396.</w:t>
      </w:r>
    </w:p>
    <w:p w14:paraId="3CF801A3" w14:textId="311738CB" w:rsidR="007D5CED" w:rsidRPr="00AD187F" w:rsidRDefault="007D5CED" w:rsidP="00A3239A">
      <w:pPr>
        <w:pStyle w:val="Normal8pt"/>
      </w:pPr>
      <w:r w:rsidRPr="00AD187F">
        <w:t xml:space="preserve">* Statistically significant difference on this subscale between the year indicated and 2021. </w:t>
      </w:r>
    </w:p>
    <w:p w14:paraId="1163AC73" w14:textId="77777777" w:rsidR="007D5CED" w:rsidRPr="00AD187F" w:rsidRDefault="007D5CED" w:rsidP="00A3239A">
      <w:pPr>
        <w:pStyle w:val="Normal8pt"/>
      </w:pPr>
      <w:r w:rsidRPr="00AD187F">
        <w:t>*1 The Recognise DV Subscale had a significantly higher mean score compared to the Recognise VAW in 2021. Differences in 2021 between UVAWS subscales are discussed in Section 4.2.</w:t>
      </w:r>
    </w:p>
    <w:p w14:paraId="626E9A25" w14:textId="1EE56EE5" w:rsidR="00A31096" w:rsidRDefault="007D5CED" w:rsidP="00A3239A">
      <w:pPr>
        <w:pStyle w:val="Normal8pt"/>
      </w:pPr>
      <w:r w:rsidRPr="00AD187F">
        <w:t xml:space="preserve">*2 The Understand Gendered DV Subscale had a significantly lower mean score compared to the Recognise DV and Recognise VAW Subscales in 2021. Differences in 2021 between UVAWS subscales are discussed in Section 4.2. </w:t>
      </w:r>
    </w:p>
    <w:p w14:paraId="786F059E" w14:textId="2AD325D7" w:rsidR="007D5CED" w:rsidRPr="007D5CED" w:rsidRDefault="007D5CED" w:rsidP="00A3239A">
      <w:pPr>
        <w:rPr>
          <w:lang w:val="en-GB"/>
        </w:rPr>
      </w:pPr>
      <w:r w:rsidRPr="007D5CED">
        <w:rPr>
          <w:lang w:val="en-GB"/>
        </w:rPr>
        <w:t>Consistent with the results for the Recognise DV Subscale overall (Figure 4-1), some of the subscale’s items also showed improvement in young respondents’ understanding over time. Of the six Recognise DV Subscale items that were included in both 2017 and 2021, two showed significant improvement in</w:t>
      </w:r>
      <w:r w:rsidR="000419A5">
        <w:rPr>
          <w:lang w:val="en-GB"/>
        </w:rPr>
        <w:t> </w:t>
      </w:r>
      <w:r w:rsidRPr="007D5CED">
        <w:rPr>
          <w:lang w:val="en-GB"/>
        </w:rPr>
        <w:t>young respondents’ recognition of domestic violence behaviours over this period (Figure 4-2). These</w:t>
      </w:r>
      <w:r w:rsidR="000419A5">
        <w:rPr>
          <w:lang w:val="en-GB"/>
        </w:rPr>
        <w:t> </w:t>
      </w:r>
      <w:r w:rsidRPr="007D5CED">
        <w:rPr>
          <w:lang w:val="en-GB"/>
        </w:rPr>
        <w:t>items examined repeatedly tracking a partner on electronic devices (D6) and restricting a</w:t>
      </w:r>
      <w:r w:rsidR="000419A5">
        <w:rPr>
          <w:lang w:val="en-GB"/>
        </w:rPr>
        <w:t> </w:t>
      </w:r>
      <w:r w:rsidRPr="007D5CED">
        <w:rPr>
          <w:lang w:val="en-GB"/>
        </w:rPr>
        <w:t>partner’s access to money (D5; Figure 4-3). Of the remaining four Recognise DV Subscale items included in 2021 and previous waves, three demonstrated significant improvement in 2021 compared to 2009 and 2013, indicating a significant increase in the recognition that physical violence such as</w:t>
      </w:r>
      <w:r w:rsidR="000419A5">
        <w:rPr>
          <w:lang w:val="en-GB"/>
        </w:rPr>
        <w:t> </w:t>
      </w:r>
      <w:r w:rsidRPr="007D5CED">
        <w:rPr>
          <w:lang w:val="en-GB"/>
        </w:rPr>
        <w:t>slapping or</w:t>
      </w:r>
      <w:r w:rsidR="000419A5">
        <w:rPr>
          <w:lang w:val="en-GB"/>
        </w:rPr>
        <w:t> </w:t>
      </w:r>
      <w:r w:rsidRPr="007D5CED">
        <w:rPr>
          <w:lang w:val="en-GB"/>
        </w:rPr>
        <w:t>pushing to cause harm or fear (D1), emotional abuse (D3) and limiting a partner’s social life (D4) are forms of domestic violence.</w:t>
      </w:r>
    </w:p>
    <w:p w14:paraId="56377695" w14:textId="77777777" w:rsidR="007D5CED" w:rsidRPr="007D5CED" w:rsidRDefault="007D5CED" w:rsidP="00A3239A">
      <w:pPr>
        <w:rPr>
          <w:lang w:val="en-GB"/>
        </w:rPr>
      </w:pPr>
      <w:r w:rsidRPr="007D5CED">
        <w:rPr>
          <w:lang w:val="en-GB"/>
        </w:rPr>
        <w:t xml:space="preserve">Like the results for the Recognise VAW Subscale overall (Figure 4-1), two of the subscale’s four items also indicated significant improvement in young respondents’ understanding over time. That is, there was </w:t>
      </w:r>
      <w:r w:rsidRPr="007D5CED">
        <w:rPr>
          <w:lang w:val="en-GB"/>
        </w:rPr>
        <w:lastRenderedPageBreak/>
        <w:t>significant improvement between 2017 and 2021 in young respondents’ recognition that in-person stalking (V4) and harassment via repeated messages (V5) are forms of domestic violence (Figure 4-3).</w:t>
      </w:r>
    </w:p>
    <w:p w14:paraId="28CD1975" w14:textId="4510DF3A" w:rsidR="007D5CED" w:rsidRPr="007D5CED" w:rsidRDefault="007D5CED" w:rsidP="00A3239A">
      <w:pPr>
        <w:rPr>
          <w:lang w:val="en-GB"/>
        </w:rPr>
      </w:pPr>
      <w:r w:rsidRPr="007D5CED">
        <w:rPr>
          <w:lang w:val="en-GB"/>
        </w:rPr>
        <w:t>As noted above, it was not possible to reliably report on change over time for the UVAWS Understand Gendered DV Subscale because one of its three items was substantially revised in 2021. However, based on the other two items in this subscale, young respondents’ understanding of the gendered nature of domestic violence showed a significant decline over time. Their understanding that domestic violence is mainly committed by men (D13) and that women are more likely to suffer physical harm from domestic violence (D14) was significantly lower in 2021 compared to both 2009 and 2013. Between 2017 and 2021, while there was no further significant decline in young respondents’ understanding that men are the main perpetrators of domestic violence (D13; Figure 4-4), their</w:t>
      </w:r>
      <w:r w:rsidR="000419A5">
        <w:rPr>
          <w:lang w:val="en-GB"/>
        </w:rPr>
        <w:t> </w:t>
      </w:r>
      <w:r w:rsidRPr="007D5CED">
        <w:rPr>
          <w:lang w:val="en-GB"/>
        </w:rPr>
        <w:t>understanding that women are more likely to suffer harm as victims did show a further significant</w:t>
      </w:r>
      <w:r w:rsidR="000419A5">
        <w:rPr>
          <w:lang w:val="en-GB"/>
        </w:rPr>
        <w:t> </w:t>
      </w:r>
      <w:r w:rsidRPr="007D5CED">
        <w:rPr>
          <w:lang w:val="en-GB"/>
        </w:rPr>
        <w:t>decline (D14; Figure 4-5).</w:t>
      </w:r>
    </w:p>
    <w:p w14:paraId="5F56637C" w14:textId="72CC031C" w:rsidR="007D5CED" w:rsidRPr="007D5CED" w:rsidRDefault="007D5CED" w:rsidP="00DC3FE8">
      <w:pPr>
        <w:pStyle w:val="Heading3"/>
      </w:pPr>
      <w:bookmarkStart w:id="109" w:name="_Toc152532391"/>
      <w:bookmarkStart w:id="110" w:name="_Toc190941677"/>
      <w:bookmarkStart w:id="111" w:name="_Toc190942377"/>
      <w:r w:rsidRPr="007D5CED">
        <w:t>4.2</w:t>
      </w:r>
      <w:r w:rsidR="001C7C59">
        <w:t xml:space="preserve"> </w:t>
      </w:r>
      <w:r w:rsidRPr="007D5CED">
        <w:t>Understanding in 2021: Young people’s understanding of violence against women</w:t>
      </w:r>
      <w:bookmarkEnd w:id="109"/>
      <w:bookmarkEnd w:id="110"/>
      <w:bookmarkEnd w:id="111"/>
    </w:p>
    <w:p w14:paraId="10337EEA" w14:textId="5D73B038" w:rsidR="007D5CED" w:rsidRPr="007D5CED" w:rsidRDefault="007D5CED" w:rsidP="00A3239A">
      <w:pPr>
        <w:rPr>
          <w:lang w:val="en-GB"/>
        </w:rPr>
      </w:pPr>
      <w:r w:rsidRPr="007D5CED">
        <w:rPr>
          <w:lang w:val="en-GB"/>
        </w:rPr>
        <w:t>This section examines young respondents’ understanding of violence against women in 2021 based on</w:t>
      </w:r>
      <w:r w:rsidR="00A51720">
        <w:rPr>
          <w:lang w:val="en-GB"/>
        </w:rPr>
        <w:t> </w:t>
      </w:r>
      <w:r w:rsidRPr="007D5CED">
        <w:rPr>
          <w:lang w:val="en-GB"/>
        </w:rPr>
        <w:t xml:space="preserve">the UVAWS subscales and the items within them. </w:t>
      </w:r>
    </w:p>
    <w:p w14:paraId="22989BF2" w14:textId="77777777" w:rsidR="007D5CED" w:rsidRPr="007D5CED" w:rsidRDefault="007D5CED" w:rsidP="00A3239A">
      <w:pPr>
        <w:rPr>
          <w:lang w:val="en-GB"/>
        </w:rPr>
      </w:pPr>
      <w:r w:rsidRPr="007D5CED">
        <w:rPr>
          <w:lang w:val="en-GB"/>
        </w:rPr>
        <w:t xml:space="preserve">In 2021, according to mean scores on the UVAWS subscales, young respondents had better understanding of some aspects of violence against women than other aspects. Specifically, young respondents were significantly better at recognising the behaviours that constitute domestic violence and violence against women (Recognise DV and Recognise VAW Subscales; Figures 4-2 and 4-3) than they were at understanding the gendered nature of domestic violence (Understand Gendered DV Subscale; Figures 4-4 and 4-5). In addition, young respondents’ recognition of domestic violence behaviours (Recognise DV Subscale; Figure 4-2) was significantly better than their recognition of other behaviours constituting violence against women (Recognise VAW Subscale; Figure 4-3). </w:t>
      </w:r>
    </w:p>
    <w:p w14:paraId="3A7134C2" w14:textId="53127FB4" w:rsidR="007D5CED" w:rsidRPr="007D5CED" w:rsidRDefault="007D5CED" w:rsidP="00A3239A">
      <w:pPr>
        <w:rPr>
          <w:lang w:val="en-GB"/>
        </w:rPr>
      </w:pPr>
      <w:r w:rsidRPr="007D5CED">
        <w:rPr>
          <w:lang w:val="en-GB"/>
        </w:rPr>
        <w:t>Figures 4-2 to 4-5 present the 2021 results for the items in each UVAWS subscale. Figure 4-2 presents young respondents’ understanding in 2021 of the different behaviours that constitute domestic violence, based on the 12 items in the Recognise DV Subscale of the UVAWS. In 2021, at least 3 in 4 young respondents identified physical harm or threats of physical harm as “always” forms of domestic violence (78–93%; D2, D1, D12; Figure 4-2). However, there was less recognition of non-physical forms of domestic violence, including controlling behaviours and behaviours targeting a partner’s identity, as</w:t>
      </w:r>
      <w:r w:rsidR="00D8474D">
        <w:rPr>
          <w:lang w:val="en-GB"/>
        </w:rPr>
        <w:t> </w:t>
      </w:r>
      <w:r w:rsidRPr="007D5CED">
        <w:rPr>
          <w:lang w:val="en-GB"/>
        </w:rPr>
        <w:t>“always” forms of domestic violence. For example, fewer young respondents recognised the following behaviours as “always” domestic violence (58–72%): emotional abuse (D3); coercive controlling behaviours, including those that target an aspect of the partner’s identity, beliefs</w:t>
      </w:r>
      <w:r w:rsidR="00D8474D">
        <w:rPr>
          <w:lang w:val="en-GB"/>
        </w:rPr>
        <w:t> </w:t>
      </w:r>
      <w:r w:rsidRPr="007D5CED">
        <w:rPr>
          <w:lang w:val="en-GB"/>
        </w:rPr>
        <w:t>or</w:t>
      </w:r>
      <w:r w:rsidR="00D8474D">
        <w:rPr>
          <w:lang w:val="en-GB"/>
        </w:rPr>
        <w:t> </w:t>
      </w:r>
      <w:r w:rsidRPr="007D5CED">
        <w:rPr>
          <w:lang w:val="en-GB"/>
        </w:rPr>
        <w:t>experience (D9, D4, D8, D10, D11, D6, D7); and financial abuse (D5).</w:t>
      </w:r>
    </w:p>
    <w:p w14:paraId="2401CF45" w14:textId="62DBFD5D" w:rsidR="007D5CED" w:rsidRPr="007D5CED" w:rsidRDefault="002F13B6" w:rsidP="002A2C0C">
      <w:pPr>
        <w:pStyle w:val="figuretableheading"/>
      </w:pPr>
      <w:bookmarkStart w:id="112" w:name="_Toc187401240"/>
      <w:r>
        <w:lastRenderedPageBreak/>
        <w:t xml:space="preserve">Figure </w:t>
      </w:r>
      <w:r w:rsidR="005B3A89">
        <w:fldChar w:fldCharType="begin"/>
      </w:r>
      <w:r w:rsidR="005B3A89">
        <w:instrText xml:space="preserve"> STYLEREF 1 \s </w:instrText>
      </w:r>
      <w:r w:rsidR="005B3A89">
        <w:fldChar w:fldCharType="separate"/>
      </w:r>
      <w:r w:rsidR="005B3A89">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2</w:t>
      </w:r>
      <w:r w:rsidR="005B3A89">
        <w:fldChar w:fldCharType="end"/>
      </w:r>
      <w:r w:rsidR="007D5CED" w:rsidRPr="007D5CED">
        <w:t>: Recognising domestic violence (UVAWS subscale items), 16- to 24-year-olds, 2021</w:t>
      </w:r>
      <w:bookmarkEnd w:id="112"/>
    </w:p>
    <w:p w14:paraId="747946E8" w14:textId="61821710" w:rsidR="007D5CED" w:rsidRPr="007D5CED" w:rsidRDefault="002F13B6" w:rsidP="00A3239A">
      <w:pPr>
        <w:rPr>
          <w:lang w:val="en-GB"/>
        </w:rPr>
      </w:pPr>
      <w:r>
        <w:rPr>
          <w:noProof/>
          <w:lang w:val="en-GB"/>
        </w:rPr>
        <w:drawing>
          <wp:inline distT="0" distB="0" distL="0" distR="0" wp14:anchorId="56BBB626" wp14:editId="2B94835A">
            <wp:extent cx="6120130" cy="6675120"/>
            <wp:effectExtent l="0" t="0" r="0" b="0"/>
            <wp:docPr id="735303216" name="Immagine 12" descr="A bar graph that shows the percentage 16 to 24 year old respondents who believe different behaviours are a form of domestic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03216" name="Immagine 12" descr="A bar graph that shows the percentage 16 to 24 year old respondents who believe different behaviours are a form of domestic violence. The data in this graph is in the table bel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6675120"/>
                    </a:xfrm>
                    <a:prstGeom prst="rect">
                      <a:avLst/>
                    </a:prstGeom>
                  </pic:spPr>
                </pic:pic>
              </a:graphicData>
            </a:graphic>
          </wp:inline>
        </w:drawing>
      </w:r>
    </w:p>
    <w:p w14:paraId="45D5CC75" w14:textId="57EE7FE6" w:rsidR="00A974BA" w:rsidRPr="00380074" w:rsidRDefault="00A974BA" w:rsidP="002A2C0C">
      <w:pPr>
        <w:pStyle w:val="datatableheading"/>
      </w:pPr>
      <w:r w:rsidRPr="00380074">
        <w:t>Data table for figure 4-2</w:t>
      </w:r>
      <w:r w:rsidR="001B3C28" w:rsidRPr="00380074">
        <w:t xml:space="preserve">: </w:t>
      </w:r>
      <w:r w:rsidR="007D002F" w:rsidRPr="00380074">
        <w:t>Is this a form of domestic violence?</w:t>
      </w:r>
    </w:p>
    <w:tbl>
      <w:tblPr>
        <w:tblStyle w:val="Table-SingleHeaderRow"/>
        <w:tblW w:w="9603" w:type="dxa"/>
        <w:tblLook w:val="04A0" w:firstRow="1" w:lastRow="0" w:firstColumn="1" w:lastColumn="0" w:noHBand="0" w:noVBand="1"/>
      </w:tblPr>
      <w:tblGrid>
        <w:gridCol w:w="3345"/>
        <w:gridCol w:w="964"/>
        <w:gridCol w:w="1191"/>
        <w:gridCol w:w="964"/>
        <w:gridCol w:w="882"/>
        <w:gridCol w:w="907"/>
        <w:gridCol w:w="1350"/>
      </w:tblGrid>
      <w:tr w:rsidR="00D8474D" w:rsidRPr="005E68EB" w14:paraId="16FB6177" w14:textId="1323A8FB" w:rsidTr="008D0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tcPr>
          <w:p w14:paraId="674EEB20" w14:textId="3928C2C1" w:rsidR="00E82641" w:rsidRPr="008E6594" w:rsidRDefault="00650763" w:rsidP="00A3239A">
            <w:pPr>
              <w:pStyle w:val="Tablebody"/>
              <w:rPr>
                <w:b w:val="0"/>
                <w:bCs/>
              </w:rPr>
            </w:pPr>
            <w:r>
              <w:rPr>
                <w:bCs/>
              </w:rPr>
              <w:t>Type of domestic violence</w:t>
            </w:r>
          </w:p>
        </w:tc>
        <w:tc>
          <w:tcPr>
            <w:tcW w:w="964" w:type="dxa"/>
          </w:tcPr>
          <w:p w14:paraId="599F1313" w14:textId="45055FFD" w:rsidR="00E82641" w:rsidRPr="005E68EB"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No</w:t>
            </w:r>
          </w:p>
        </w:tc>
        <w:tc>
          <w:tcPr>
            <w:tcW w:w="1191" w:type="dxa"/>
          </w:tcPr>
          <w:p w14:paraId="46ABA1AF" w14:textId="7DBE29BC" w:rsidR="00E82641" w:rsidRPr="005E68EB"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sometimes</w:t>
            </w:r>
          </w:p>
        </w:tc>
        <w:tc>
          <w:tcPr>
            <w:tcW w:w="964" w:type="dxa"/>
          </w:tcPr>
          <w:p w14:paraId="416691FD" w14:textId="6183AD1F" w:rsidR="00E82641" w:rsidRPr="005E68EB"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usually</w:t>
            </w:r>
          </w:p>
        </w:tc>
        <w:tc>
          <w:tcPr>
            <w:tcW w:w="882" w:type="dxa"/>
          </w:tcPr>
          <w:p w14:paraId="58DED8B2" w14:textId="6D7D7B47" w:rsidR="00E82641"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always</w:t>
            </w:r>
          </w:p>
        </w:tc>
        <w:tc>
          <w:tcPr>
            <w:tcW w:w="907" w:type="dxa"/>
          </w:tcPr>
          <w:p w14:paraId="43F66257" w14:textId="5A826EBB" w:rsidR="00E82641"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Unsure</w:t>
            </w:r>
          </w:p>
        </w:tc>
        <w:tc>
          <w:tcPr>
            <w:tcW w:w="1350" w:type="dxa"/>
          </w:tcPr>
          <w:p w14:paraId="5A16688B" w14:textId="5F12812E" w:rsidR="00E82641" w:rsidRDefault="00E82641"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Unanswered</w:t>
            </w:r>
          </w:p>
        </w:tc>
      </w:tr>
      <w:tr w:rsidR="008D07A5" w:rsidRPr="007E1C6F" w14:paraId="7BF31CD5" w14:textId="28B581A7" w:rsidTr="008D07A5">
        <w:tc>
          <w:tcPr>
            <w:cnfStyle w:val="001000000000" w:firstRow="0" w:lastRow="0" w:firstColumn="1" w:lastColumn="0" w:oddVBand="0" w:evenVBand="0" w:oddHBand="0" w:evenHBand="0" w:firstRowFirstColumn="0" w:firstRowLastColumn="0" w:lastRowFirstColumn="0" w:lastRowLastColumn="0"/>
            <w:tcW w:w="3345" w:type="dxa"/>
          </w:tcPr>
          <w:p w14:paraId="44D6E1CE" w14:textId="6BC43037" w:rsidR="00BA59D0" w:rsidRPr="008E6594" w:rsidRDefault="00E82641" w:rsidP="00A3239A">
            <w:pPr>
              <w:pStyle w:val="Tablebody"/>
            </w:pPr>
            <w:r>
              <w:t>Scares or controls partner by threatening family members (D2)</w:t>
            </w:r>
            <w:r w:rsidR="00BA59D0">
              <w:t xml:space="preserve"> </w:t>
            </w:r>
            <w:r w:rsidR="00B626BA">
              <w:t xml:space="preserve">~ </w:t>
            </w:r>
            <w:r w:rsidR="00B626BA" w:rsidRPr="008C29F3">
              <w:rPr>
                <w:kern w:val="2"/>
                <w:sz w:val="20"/>
                <w:vertAlign w:val="superscript"/>
              </w:rPr>
              <w:t>ns</w:t>
            </w:r>
          </w:p>
        </w:tc>
        <w:tc>
          <w:tcPr>
            <w:tcW w:w="964" w:type="dxa"/>
          </w:tcPr>
          <w:p w14:paraId="02A171EF" w14:textId="607AA078" w:rsidR="00E82641" w:rsidRPr="007E1C6F" w:rsidRDefault="00E82641"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1%</w:t>
            </w:r>
          </w:p>
        </w:tc>
        <w:tc>
          <w:tcPr>
            <w:tcW w:w="1191" w:type="dxa"/>
          </w:tcPr>
          <w:p w14:paraId="069C85FD" w14:textId="5B6B0A69" w:rsidR="00E82641" w:rsidRPr="007E1C6F"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964" w:type="dxa"/>
          </w:tcPr>
          <w:p w14:paraId="3DCCFC2D" w14:textId="51DF716F" w:rsidR="00E82641" w:rsidRPr="007E1C6F"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882" w:type="dxa"/>
          </w:tcPr>
          <w:p w14:paraId="4A11B512" w14:textId="35505824" w:rsidR="00E82641" w:rsidRPr="007E1C6F"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93%</w:t>
            </w:r>
          </w:p>
        </w:tc>
        <w:tc>
          <w:tcPr>
            <w:tcW w:w="907" w:type="dxa"/>
          </w:tcPr>
          <w:p w14:paraId="2CD346C7" w14:textId="782BF98E" w:rsidR="00E82641" w:rsidRPr="007E1C6F"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563B9F63" w14:textId="77777777" w:rsidR="00E82641" w:rsidRPr="007E1C6F"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r w:rsidR="008D07A5" w:rsidRPr="00E82641" w:rsidDel="006D4F1A" w14:paraId="71F8FF7B" w14:textId="485E69E3" w:rsidTr="008D07A5">
        <w:tc>
          <w:tcPr>
            <w:cnfStyle w:val="001000000000" w:firstRow="0" w:lastRow="0" w:firstColumn="1" w:lastColumn="0" w:oddVBand="0" w:evenVBand="0" w:oddHBand="0" w:evenHBand="0" w:firstRowFirstColumn="0" w:firstRowLastColumn="0" w:lastRowFirstColumn="0" w:lastRowLastColumn="0"/>
            <w:tcW w:w="3345" w:type="dxa"/>
          </w:tcPr>
          <w:p w14:paraId="38A607C6" w14:textId="347B50C9" w:rsidR="00E82641" w:rsidRPr="008E6594" w:rsidRDefault="00E82641" w:rsidP="00A3239A">
            <w:pPr>
              <w:pStyle w:val="Tablebody"/>
            </w:pPr>
            <w:r>
              <w:t>Slaps or pushes partner to cause harm or fear (D1)</w:t>
            </w:r>
            <w:r w:rsidR="000B20A8">
              <w:t xml:space="preserve"> </w:t>
            </w:r>
            <w:r w:rsidR="000B20A8" w:rsidRPr="007D05B5">
              <w:rPr>
                <w:kern w:val="2"/>
                <w:sz w:val="20"/>
                <w:vertAlign w:val="superscript"/>
              </w:rPr>
              <w:t>ns</w:t>
            </w:r>
            <w:r w:rsidR="000B20A8" w:rsidDel="005E68EB">
              <w:t xml:space="preserve"> </w:t>
            </w:r>
          </w:p>
        </w:tc>
        <w:tc>
          <w:tcPr>
            <w:tcW w:w="964" w:type="dxa"/>
          </w:tcPr>
          <w:p w14:paraId="5484FC16" w14:textId="79D70569"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91" w:type="dxa"/>
          </w:tcPr>
          <w:p w14:paraId="0CC7CAF0" w14:textId="48F7778B"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964" w:type="dxa"/>
          </w:tcPr>
          <w:p w14:paraId="67C0FEB9" w14:textId="4C5F571C"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82" w:type="dxa"/>
          </w:tcPr>
          <w:p w14:paraId="04844EBE" w14:textId="0C3F918A"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78%</w:t>
            </w:r>
          </w:p>
        </w:tc>
        <w:tc>
          <w:tcPr>
            <w:tcW w:w="907" w:type="dxa"/>
          </w:tcPr>
          <w:p w14:paraId="31604D6D" w14:textId="245C5061"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691109E5" w14:textId="7777777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r w:rsidR="008D07A5" w:rsidRPr="00E82641" w:rsidDel="006D4F1A" w14:paraId="38C88236" w14:textId="4DB58DA0"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786E10AF" w14:textId="58B1E6A3" w:rsidR="00E82641" w:rsidRPr="008E6594" w:rsidRDefault="00E82641" w:rsidP="00A3239A">
            <w:pPr>
              <w:pStyle w:val="Superscript"/>
            </w:pPr>
            <w:r>
              <w:t xml:space="preserve">Forces partner to undergo an unnecessary medical procedure, </w:t>
            </w:r>
            <w:r>
              <w:lastRenderedPageBreak/>
              <w:t>such as contraception or abortion (D12)</w:t>
            </w:r>
            <w:r w:rsidR="00650763">
              <w:t>~</w:t>
            </w:r>
            <w:r w:rsidR="000B20A8">
              <w:t xml:space="preserve"> </w:t>
            </w:r>
            <w:r w:rsidR="000B20A8" w:rsidRPr="008C29F3">
              <w:rPr>
                <w:kern w:val="2"/>
                <w:sz w:val="20"/>
                <w:vertAlign w:val="superscript"/>
              </w:rPr>
              <w:t>a</w:t>
            </w:r>
          </w:p>
        </w:tc>
        <w:tc>
          <w:tcPr>
            <w:tcW w:w="964" w:type="dxa"/>
          </w:tcPr>
          <w:p w14:paraId="31830548" w14:textId="3BE9DE92"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lastRenderedPageBreak/>
              <w:t>4%</w:t>
            </w:r>
          </w:p>
        </w:tc>
        <w:tc>
          <w:tcPr>
            <w:tcW w:w="1191" w:type="dxa"/>
          </w:tcPr>
          <w:p w14:paraId="0A6E70CE" w14:textId="160C5B56"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964" w:type="dxa"/>
          </w:tcPr>
          <w:p w14:paraId="49EA338D" w14:textId="1116048F"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12%</w:t>
            </w:r>
          </w:p>
        </w:tc>
        <w:tc>
          <w:tcPr>
            <w:tcW w:w="882" w:type="dxa"/>
          </w:tcPr>
          <w:p w14:paraId="7F4E0E9A" w14:textId="0AE7DE4F"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78%</w:t>
            </w:r>
          </w:p>
        </w:tc>
        <w:tc>
          <w:tcPr>
            <w:tcW w:w="907" w:type="dxa"/>
          </w:tcPr>
          <w:p w14:paraId="1A49A0CF" w14:textId="62CD76A9"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4907217F" w14:textId="602F530C"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8D07A5" w:rsidRPr="00E82641" w:rsidDel="006D4F1A" w14:paraId="625DB007"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555985C8" w14:textId="6D01310F" w:rsidR="00E82641" w:rsidRDefault="00E82641" w:rsidP="00A3239A">
            <w:pPr>
              <w:pStyle w:val="Tablebody"/>
            </w:pPr>
            <w:r>
              <w:t>Repeatedly threatens to deport partner on temporary visa (D9)</w:t>
            </w:r>
            <w:r w:rsidR="000B20A8">
              <w:t xml:space="preserve"> </w:t>
            </w:r>
            <w:r w:rsidR="000B20A8" w:rsidRPr="007D05B5">
              <w:rPr>
                <w:kern w:val="2"/>
                <w:sz w:val="20"/>
                <w:vertAlign w:val="superscript"/>
              </w:rPr>
              <w:t>a</w:t>
            </w:r>
          </w:p>
        </w:tc>
        <w:tc>
          <w:tcPr>
            <w:tcW w:w="964" w:type="dxa"/>
          </w:tcPr>
          <w:p w14:paraId="666E1BED" w14:textId="4DC9F61E"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191" w:type="dxa"/>
          </w:tcPr>
          <w:p w14:paraId="29323DDF" w14:textId="4CA5EE3A"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964" w:type="dxa"/>
          </w:tcPr>
          <w:p w14:paraId="077C67A3" w14:textId="19FA8BDE"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82" w:type="dxa"/>
          </w:tcPr>
          <w:p w14:paraId="588B4823" w14:textId="3E25E9D5"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72%</w:t>
            </w:r>
          </w:p>
        </w:tc>
        <w:tc>
          <w:tcPr>
            <w:tcW w:w="907" w:type="dxa"/>
          </w:tcPr>
          <w:p w14:paraId="4AA0809A" w14:textId="552AEA51"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0A726A1E" w14:textId="0FD88329"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r w:rsidR="008D07A5" w:rsidRPr="00E82641" w:rsidDel="006D4F1A" w14:paraId="598C9B4A"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20FD5A52" w14:textId="7F683716" w:rsidR="00E82641" w:rsidRDefault="00E82641" w:rsidP="00A3239A">
            <w:pPr>
              <w:pStyle w:val="Tablebody"/>
            </w:pPr>
            <w:r>
              <w:t>Controls social life by preventing partner from seeing family and friends (D4)</w:t>
            </w:r>
            <w:r w:rsidR="000B20A8">
              <w:t xml:space="preserve"> </w:t>
            </w:r>
            <w:r w:rsidR="000B20A8" w:rsidRPr="007D05B5">
              <w:rPr>
                <w:kern w:val="2"/>
                <w:sz w:val="20"/>
                <w:vertAlign w:val="superscript"/>
              </w:rPr>
              <w:t>ns</w:t>
            </w:r>
          </w:p>
        </w:tc>
        <w:tc>
          <w:tcPr>
            <w:tcW w:w="964" w:type="dxa"/>
          </w:tcPr>
          <w:p w14:paraId="327EB243" w14:textId="599F99E9"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191" w:type="dxa"/>
          </w:tcPr>
          <w:p w14:paraId="41899034" w14:textId="2E7B865D"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964" w:type="dxa"/>
          </w:tcPr>
          <w:p w14:paraId="556DE8E4" w14:textId="330DDA5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14%</w:t>
            </w:r>
          </w:p>
        </w:tc>
        <w:tc>
          <w:tcPr>
            <w:tcW w:w="882" w:type="dxa"/>
          </w:tcPr>
          <w:p w14:paraId="339FC40D" w14:textId="6C2102E0"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907" w:type="dxa"/>
          </w:tcPr>
          <w:p w14:paraId="748C5009" w14:textId="725B4CD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45E767F9" w14:textId="35E8F509"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8D07A5" w:rsidRPr="00E82641" w:rsidDel="006D4F1A" w14:paraId="27E65103"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669AC431" w14:textId="22779907" w:rsidR="00E82641" w:rsidRDefault="00E82641" w:rsidP="00A3239A">
            <w:pPr>
              <w:pStyle w:val="Tablebody"/>
            </w:pPr>
            <w:r>
              <w:t>Controls partner with disability by threatening to put them into care or a home (D8)</w:t>
            </w:r>
            <w:r w:rsidR="00650763">
              <w:t>~</w:t>
            </w:r>
            <w:r w:rsidR="000B20A8" w:rsidRPr="007D05B5">
              <w:rPr>
                <w:kern w:val="2"/>
                <w:sz w:val="20"/>
                <w:vertAlign w:val="superscript"/>
              </w:rPr>
              <w:t>a</w:t>
            </w:r>
          </w:p>
        </w:tc>
        <w:tc>
          <w:tcPr>
            <w:tcW w:w="964" w:type="dxa"/>
          </w:tcPr>
          <w:p w14:paraId="5A658722" w14:textId="6030E7DD"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191" w:type="dxa"/>
          </w:tcPr>
          <w:p w14:paraId="03FDFC72" w14:textId="42ABD4D6"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964" w:type="dxa"/>
          </w:tcPr>
          <w:p w14:paraId="41CA53C4" w14:textId="19766D5E"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16%</w:t>
            </w:r>
          </w:p>
        </w:tc>
        <w:tc>
          <w:tcPr>
            <w:tcW w:w="882" w:type="dxa"/>
          </w:tcPr>
          <w:p w14:paraId="56578F5E" w14:textId="0AC918EA"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69%</w:t>
            </w:r>
          </w:p>
        </w:tc>
        <w:tc>
          <w:tcPr>
            <w:tcW w:w="907" w:type="dxa"/>
          </w:tcPr>
          <w:p w14:paraId="09FC6272" w14:textId="1330E896"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32595388" w14:textId="427C59FE"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8D07A5" w:rsidRPr="00E82641" w:rsidDel="006D4F1A" w14:paraId="06132516"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2CBE1010" w14:textId="10833C22" w:rsidR="00E82641" w:rsidRDefault="00E82641" w:rsidP="00A3239A">
            <w:pPr>
              <w:pStyle w:val="Tablebody"/>
            </w:pPr>
            <w:r>
              <w:t>Forces partner to stop practising their religion (D10)</w:t>
            </w:r>
            <w:r w:rsidR="00650763">
              <w:t>~</w:t>
            </w:r>
            <w:r w:rsidR="000B20A8">
              <w:t xml:space="preserve"> </w:t>
            </w:r>
            <w:r w:rsidR="000B20A8" w:rsidRPr="007D05B5">
              <w:rPr>
                <w:kern w:val="2"/>
                <w:sz w:val="20"/>
                <w:vertAlign w:val="superscript"/>
              </w:rPr>
              <w:t>a</w:t>
            </w:r>
          </w:p>
        </w:tc>
        <w:tc>
          <w:tcPr>
            <w:tcW w:w="964" w:type="dxa"/>
          </w:tcPr>
          <w:p w14:paraId="127B11AD" w14:textId="560CDA6C"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191" w:type="dxa"/>
          </w:tcPr>
          <w:p w14:paraId="1661E7DA" w14:textId="59048F12"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964" w:type="dxa"/>
          </w:tcPr>
          <w:p w14:paraId="45084D0B" w14:textId="1559F46B"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14%</w:t>
            </w:r>
          </w:p>
        </w:tc>
        <w:tc>
          <w:tcPr>
            <w:tcW w:w="882" w:type="dxa"/>
          </w:tcPr>
          <w:p w14:paraId="15DE7D88" w14:textId="15A7EFBC"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907" w:type="dxa"/>
          </w:tcPr>
          <w:p w14:paraId="6A807756" w14:textId="7823F0EC"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5D6EFE00" w14:textId="5C77DF99"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2%</w:t>
            </w:r>
          </w:p>
        </w:tc>
      </w:tr>
      <w:tr w:rsidR="008D07A5" w:rsidRPr="00E82641" w:rsidDel="006D4F1A" w14:paraId="157B83B2"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4BD53414" w14:textId="6AC26BA5" w:rsidR="00E82641" w:rsidRDefault="00E82641" w:rsidP="00A3239A">
            <w:pPr>
              <w:pStyle w:val="Tablebody"/>
            </w:pPr>
            <w:r>
              <w:t>Controls partner by forcing them to hide that they are trans gender (D11)</w:t>
            </w:r>
            <w:r w:rsidR="000B20A8">
              <w:t xml:space="preserve"> </w:t>
            </w:r>
            <w:r w:rsidR="000B20A8" w:rsidRPr="007D05B5">
              <w:rPr>
                <w:kern w:val="2"/>
                <w:sz w:val="20"/>
                <w:vertAlign w:val="superscript"/>
              </w:rPr>
              <w:t>a</w:t>
            </w:r>
          </w:p>
        </w:tc>
        <w:tc>
          <w:tcPr>
            <w:tcW w:w="964" w:type="dxa"/>
          </w:tcPr>
          <w:p w14:paraId="4D3BBE27" w14:textId="360EF5E2"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191" w:type="dxa"/>
          </w:tcPr>
          <w:p w14:paraId="07FAC4AC" w14:textId="0F7E858F"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964" w:type="dxa"/>
          </w:tcPr>
          <w:p w14:paraId="3A57C08B" w14:textId="37363215"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14%</w:t>
            </w:r>
          </w:p>
        </w:tc>
        <w:tc>
          <w:tcPr>
            <w:tcW w:w="882" w:type="dxa"/>
          </w:tcPr>
          <w:p w14:paraId="102F9842" w14:textId="72C5DB70"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907" w:type="dxa"/>
          </w:tcPr>
          <w:p w14:paraId="538267F7" w14:textId="23961065"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4CDB55E8" w14:textId="7777777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r w:rsidR="008D07A5" w:rsidRPr="00E82641" w:rsidDel="006D4F1A" w14:paraId="400DE6CF"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25CE32EC" w14:textId="77246F15" w:rsidR="00E82641" w:rsidRDefault="00E82641" w:rsidP="00A3239A">
            <w:pPr>
              <w:pStyle w:val="Tablebody"/>
            </w:pPr>
            <w:r>
              <w:t>Repeatedly keeps track of partner on electronic devices (D6)</w:t>
            </w:r>
            <w:r w:rsidR="000B20A8" w:rsidRPr="008C29F3">
              <w:rPr>
                <w:kern w:val="2"/>
                <w:sz w:val="20"/>
                <w:vertAlign w:val="superscript"/>
              </w:rPr>
              <w:t xml:space="preserve"> *</w:t>
            </w:r>
          </w:p>
        </w:tc>
        <w:tc>
          <w:tcPr>
            <w:tcW w:w="964" w:type="dxa"/>
          </w:tcPr>
          <w:p w14:paraId="728456C8" w14:textId="7383AE99"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191" w:type="dxa"/>
          </w:tcPr>
          <w:p w14:paraId="5A023433" w14:textId="646A3610"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11%</w:t>
            </w:r>
          </w:p>
        </w:tc>
        <w:tc>
          <w:tcPr>
            <w:tcW w:w="964" w:type="dxa"/>
          </w:tcPr>
          <w:p w14:paraId="21995C39" w14:textId="3D62BD48"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17%</w:t>
            </w:r>
          </w:p>
        </w:tc>
        <w:tc>
          <w:tcPr>
            <w:tcW w:w="882" w:type="dxa"/>
          </w:tcPr>
          <w:p w14:paraId="108981D4" w14:textId="2B3FCFF1"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907" w:type="dxa"/>
          </w:tcPr>
          <w:p w14:paraId="1373CC6E" w14:textId="0CF0E4E3"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5C7643A5" w14:textId="4BC0AEB9"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8D07A5" w:rsidRPr="00E82641" w:rsidDel="006D4F1A" w14:paraId="663E3485"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79C80178" w14:textId="36649E85" w:rsidR="00E82641" w:rsidRDefault="00E82641" w:rsidP="00A3239A">
            <w:pPr>
              <w:pStyle w:val="Tablebody"/>
            </w:pPr>
            <w:r>
              <w:t>Controls partner by refusing to assist with their disability needs (D7)</w:t>
            </w:r>
            <w:r w:rsidR="000B20A8">
              <w:t xml:space="preserve"> </w:t>
            </w:r>
            <w:r w:rsidR="000B20A8" w:rsidRPr="007D05B5">
              <w:rPr>
                <w:kern w:val="2"/>
                <w:sz w:val="20"/>
                <w:vertAlign w:val="superscript"/>
              </w:rPr>
              <w:t>a</w:t>
            </w:r>
          </w:p>
        </w:tc>
        <w:tc>
          <w:tcPr>
            <w:tcW w:w="964" w:type="dxa"/>
          </w:tcPr>
          <w:p w14:paraId="08ED5881" w14:textId="35F82549"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191" w:type="dxa"/>
          </w:tcPr>
          <w:p w14:paraId="1468F34E" w14:textId="658F8935"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11%</w:t>
            </w:r>
          </w:p>
        </w:tc>
        <w:tc>
          <w:tcPr>
            <w:tcW w:w="964" w:type="dxa"/>
          </w:tcPr>
          <w:p w14:paraId="194AB1C8" w14:textId="7953C09B"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19%</w:t>
            </w:r>
          </w:p>
        </w:tc>
        <w:tc>
          <w:tcPr>
            <w:tcW w:w="882" w:type="dxa"/>
          </w:tcPr>
          <w:p w14:paraId="54D182DB" w14:textId="2744458C"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907" w:type="dxa"/>
          </w:tcPr>
          <w:p w14:paraId="61931335" w14:textId="5EEF69F5"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6254B204" w14:textId="7777777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r w:rsidR="008D07A5" w:rsidRPr="00E82641" w:rsidDel="006D4F1A" w14:paraId="454A304D"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2B68617C" w14:textId="167C1BEF" w:rsidR="00E82641" w:rsidRDefault="00E82641" w:rsidP="00A3239A">
            <w:pPr>
              <w:pStyle w:val="Tablebody"/>
            </w:pPr>
            <w:r>
              <w:t>Controls partner by denying them money (D5)</w:t>
            </w:r>
            <w:r w:rsidR="000B20A8">
              <w:t xml:space="preserve"> </w:t>
            </w:r>
            <w:r w:rsidR="000B20A8" w:rsidRPr="007D05B5">
              <w:rPr>
                <w:kern w:val="2"/>
                <w:sz w:val="20"/>
                <w:vertAlign w:val="superscript"/>
              </w:rPr>
              <w:t>*</w:t>
            </w:r>
          </w:p>
        </w:tc>
        <w:tc>
          <w:tcPr>
            <w:tcW w:w="964" w:type="dxa"/>
          </w:tcPr>
          <w:p w14:paraId="5E709DA6" w14:textId="5C26963A"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191" w:type="dxa"/>
          </w:tcPr>
          <w:p w14:paraId="215CCDB6" w14:textId="2AF8FDBB"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964" w:type="dxa"/>
          </w:tcPr>
          <w:p w14:paraId="004C81E2" w14:textId="175C3623"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18%</w:t>
            </w:r>
          </w:p>
        </w:tc>
        <w:tc>
          <w:tcPr>
            <w:tcW w:w="882" w:type="dxa"/>
          </w:tcPr>
          <w:p w14:paraId="07BBF2A4" w14:textId="05A05570"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59%</w:t>
            </w:r>
          </w:p>
        </w:tc>
        <w:tc>
          <w:tcPr>
            <w:tcW w:w="907" w:type="dxa"/>
          </w:tcPr>
          <w:p w14:paraId="121F6883" w14:textId="0495F3F0"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59F91FEA" w14:textId="253718C9"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8D07A5" w:rsidRPr="00E82641" w:rsidDel="006D4F1A" w14:paraId="1F175EF0" w14:textId="77777777" w:rsidTr="008D07A5">
        <w:trPr>
          <w:trHeight w:val="406"/>
        </w:trPr>
        <w:tc>
          <w:tcPr>
            <w:cnfStyle w:val="001000000000" w:firstRow="0" w:lastRow="0" w:firstColumn="1" w:lastColumn="0" w:oddVBand="0" w:evenVBand="0" w:oddHBand="0" w:evenHBand="0" w:firstRowFirstColumn="0" w:firstRowLastColumn="0" w:lastRowFirstColumn="0" w:lastRowLastColumn="0"/>
            <w:tcW w:w="3345" w:type="dxa"/>
          </w:tcPr>
          <w:p w14:paraId="4D1C8703" w14:textId="36CEB3F7" w:rsidR="00E82641" w:rsidRDefault="00E82641" w:rsidP="00A3239A">
            <w:pPr>
              <w:pStyle w:val="Tablebody"/>
            </w:pPr>
            <w:r>
              <w:t>Repeatedly criticises to make partner feel bad or useless (D3)</w:t>
            </w:r>
            <w:r w:rsidR="000B20A8">
              <w:t xml:space="preserve"> </w:t>
            </w:r>
            <w:r w:rsidR="000B20A8" w:rsidRPr="007D05B5">
              <w:rPr>
                <w:kern w:val="2"/>
                <w:sz w:val="20"/>
                <w:vertAlign w:val="superscript"/>
              </w:rPr>
              <w:t>ns</w:t>
            </w:r>
          </w:p>
        </w:tc>
        <w:tc>
          <w:tcPr>
            <w:tcW w:w="964" w:type="dxa"/>
          </w:tcPr>
          <w:p w14:paraId="5A744C3D" w14:textId="0EAEE656" w:rsidR="00E82641" w:rsidRDefault="00E82641"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191" w:type="dxa"/>
          </w:tcPr>
          <w:p w14:paraId="3A9DAB4F" w14:textId="343576D0" w:rsidR="00E82641"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15%</w:t>
            </w:r>
          </w:p>
        </w:tc>
        <w:tc>
          <w:tcPr>
            <w:tcW w:w="964" w:type="dxa"/>
          </w:tcPr>
          <w:p w14:paraId="4DC1C5CC" w14:textId="20FB7310"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21%</w:t>
            </w:r>
          </w:p>
        </w:tc>
        <w:tc>
          <w:tcPr>
            <w:tcW w:w="882" w:type="dxa"/>
          </w:tcPr>
          <w:p w14:paraId="63392DED" w14:textId="57352917" w:rsidR="00E82641"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r>
              <w:t>58%</w:t>
            </w:r>
          </w:p>
        </w:tc>
        <w:tc>
          <w:tcPr>
            <w:tcW w:w="907" w:type="dxa"/>
          </w:tcPr>
          <w:p w14:paraId="1DCE039F" w14:textId="505836BF"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036D9C71" w14:textId="77777777" w:rsidR="00E82641" w:rsidDel="006D4F1A" w:rsidRDefault="00E82641"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48502123" w14:textId="77777777" w:rsidR="00E27DB9" w:rsidRDefault="00E27DB9" w:rsidP="00A3239A">
      <w:pPr>
        <w:pStyle w:val="Normal8pt"/>
      </w:pPr>
      <w:r w:rsidRPr="008E6594">
        <w:rPr>
          <w:b/>
        </w:rPr>
        <w:t>Note</w:t>
      </w:r>
      <w:r w:rsidRPr="007D5CED">
        <w:rPr>
          <w:bCs/>
        </w:rPr>
        <w:t xml:space="preserve">: </w:t>
      </w:r>
      <w:r w:rsidRPr="0073256E">
        <w:rPr>
          <w:rStyle w:val="Emphasis"/>
        </w:rPr>
        <w:t>N</w:t>
      </w:r>
      <w:r w:rsidRPr="007D5CED">
        <w:t xml:space="preserve"> = 1,669 unless otherwise noted. Percentages in the figure do not always add to 100 or exactly correspond to percentages in the text due to rounding. Significant differences over time are based on the percentage of young respondents who answered “yes” the behaviour is violence against women either “always” or “usually”.</w:t>
      </w:r>
    </w:p>
    <w:p w14:paraId="458C326B" w14:textId="77777777" w:rsidR="007D5CED" w:rsidRPr="007D5CED" w:rsidRDefault="007D5CED" w:rsidP="00A3239A">
      <w:pPr>
        <w:pStyle w:val="Normal8pt"/>
        <w:rPr>
          <w:szCs w:val="16"/>
        </w:rPr>
      </w:pPr>
      <w:r w:rsidRPr="007D5CED">
        <w:rPr>
          <w:bCs/>
        </w:rPr>
        <w:t xml:space="preserve">* </w:t>
      </w:r>
      <w:r w:rsidRPr="007D5CED">
        <w:t>Significantly higher understanding in 2021 than 2017. Change over time results are discussed in Section 4.1.</w:t>
      </w:r>
      <w:r w:rsidRPr="007D5CED">
        <w:rPr>
          <w:szCs w:val="16"/>
        </w:rPr>
        <w:t xml:space="preserve"> </w:t>
      </w:r>
    </w:p>
    <w:p w14:paraId="2E77109C" w14:textId="77777777" w:rsidR="007D5CED" w:rsidRPr="007D5CED" w:rsidRDefault="007D5CED" w:rsidP="00A3239A">
      <w:pPr>
        <w:pStyle w:val="Normal8pt"/>
      </w:pPr>
      <w:r w:rsidRPr="007D5CED">
        <w:rPr>
          <w:bCs/>
        </w:rPr>
        <w:t>ns</w:t>
      </w:r>
      <w:r w:rsidRPr="007D5CED">
        <w:t xml:space="preserve"> No significant difference between 2021 and 2017.</w:t>
      </w:r>
    </w:p>
    <w:p w14:paraId="28C4ED11" w14:textId="77777777" w:rsidR="007D5CED" w:rsidRPr="007D5CED" w:rsidRDefault="007D5CED" w:rsidP="00A3239A">
      <w:pPr>
        <w:pStyle w:val="Normal8pt"/>
      </w:pPr>
      <w:r w:rsidRPr="007D5CED">
        <w:rPr>
          <w:bCs/>
        </w:rPr>
        <w:t>a</w:t>
      </w:r>
      <w:r w:rsidRPr="007D5CED">
        <w:t xml:space="preserve"> New item in 2021. Thus, change over time could not be examined.</w:t>
      </w:r>
    </w:p>
    <w:p w14:paraId="25C76817" w14:textId="77777777" w:rsidR="007D5CED" w:rsidRPr="007D5CED" w:rsidRDefault="007D5CED" w:rsidP="00A3239A">
      <w:pPr>
        <w:pStyle w:val="Normal8pt"/>
      </w:pPr>
      <w:r w:rsidRPr="007D5CED">
        <w:rPr>
          <w:rFonts w:ascii="Montserrat" w:hAnsi="Montserrat" w:cs="Montserrat"/>
          <w:bCs/>
        </w:rPr>
        <w:t>~</w:t>
      </w:r>
      <w:r w:rsidRPr="007D5CED">
        <w:t xml:space="preserve"> Asked of one quarter of the sample in 2021.</w:t>
      </w:r>
    </w:p>
    <w:p w14:paraId="500EA879" w14:textId="48AC08BF" w:rsidR="007D5CED" w:rsidRPr="007D5CED" w:rsidRDefault="007D5CED" w:rsidP="00A3239A">
      <w:pPr>
        <w:rPr>
          <w:lang w:val="en-GB"/>
        </w:rPr>
      </w:pPr>
      <w:r w:rsidRPr="007D5CED">
        <w:rPr>
          <w:lang w:val="en-GB"/>
        </w:rPr>
        <w:t>Figure 4-3 shows young respondents’ understanding in 2021 of the different behaviours that constitute violence against women, according to the four items in the Recognise VAW Subscale. Three of the four items in this subscale describe technology-facilitated abuse (V7, V6, V5), while the remaining item describes in-person stalking (V4). Most young respondents recognised all these behaviours as “always” constituting forms of violence against women (60–73%). Although there is room to improve the recognition of all these behaviours as violence against women, recognition of the technology-facilitated abuse behaviours was lower than that of the in-person stalking behaviour. In-person stalking was more often recognised as “always” a form of violence against women (73%; V4) than were the three forms of</w:t>
      </w:r>
      <w:r w:rsidR="00D8474D">
        <w:rPr>
          <w:lang w:val="en-GB"/>
        </w:rPr>
        <w:t> </w:t>
      </w:r>
      <w:r w:rsidRPr="007D5CED">
        <w:rPr>
          <w:lang w:val="en-GB"/>
        </w:rPr>
        <w:t>technology-facilitated abuse (60–62%; V7, V6, V5). In addition, a sizeable minority of young</w:t>
      </w:r>
      <w:r w:rsidRPr="007D5CED">
        <w:rPr>
          <w:b/>
          <w:bCs/>
          <w:lang w:val="en-GB"/>
        </w:rPr>
        <w:t xml:space="preserve"> </w:t>
      </w:r>
      <w:r w:rsidRPr="007D5CED">
        <w:rPr>
          <w:lang w:val="en-GB"/>
        </w:rPr>
        <w:t xml:space="preserve">respondents thought that technology-facilitated abuse behaviours are not, or are only “sometimes”, violence against women (19–23%; V7, V6, V5). </w:t>
      </w:r>
    </w:p>
    <w:p w14:paraId="5D61F8B5" w14:textId="57E0B3E3" w:rsidR="007D5CED" w:rsidRPr="007D5CED" w:rsidRDefault="002F13B6" w:rsidP="001C7C59">
      <w:pPr>
        <w:pStyle w:val="Caption"/>
        <w:keepNext/>
        <w:keepLines/>
      </w:pPr>
      <w:bookmarkStart w:id="113" w:name="_Toc187401241"/>
      <w:r>
        <w:lastRenderedPageBreak/>
        <w:t xml:space="preserve">Figure </w:t>
      </w:r>
      <w:r w:rsidR="005B3A89">
        <w:fldChar w:fldCharType="begin"/>
      </w:r>
      <w:r w:rsidR="005B3A89">
        <w:instrText xml:space="preserve"> STYLEREF 1 \s </w:instrText>
      </w:r>
      <w:r w:rsidR="005B3A89">
        <w:fldChar w:fldCharType="separate"/>
      </w:r>
      <w:r w:rsidR="005B3A89">
        <w:rPr>
          <w:noProof/>
        </w:rPr>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rPr>
          <w:noProof/>
        </w:rPr>
        <w:t>3</w:t>
      </w:r>
      <w:r w:rsidR="005B3A89">
        <w:fldChar w:fldCharType="end"/>
      </w:r>
      <w:r w:rsidR="007D5CED" w:rsidRPr="007D5CED">
        <w:t xml:space="preserve">: </w:t>
      </w:r>
      <w:r w:rsidR="00F43662">
        <w:tab/>
      </w:r>
      <w:r w:rsidR="007D5CED" w:rsidRPr="007D5CED">
        <w:t>Recognising violence against women (UVAWS subscale items), 16- to 24-year-olds, 2021</w:t>
      </w:r>
      <w:bookmarkEnd w:id="113"/>
    </w:p>
    <w:p w14:paraId="128F0DED" w14:textId="0A3179D3" w:rsidR="007D5CED" w:rsidRPr="007D5CED" w:rsidRDefault="008355A7" w:rsidP="00A3239A">
      <w:pPr>
        <w:rPr>
          <w:lang w:val="en-GB"/>
        </w:rPr>
      </w:pPr>
      <w:r>
        <w:rPr>
          <w:noProof/>
          <w:lang w:val="en-GB"/>
        </w:rPr>
        <w:drawing>
          <wp:inline distT="0" distB="0" distL="0" distR="0" wp14:anchorId="271B3958" wp14:editId="729725DD">
            <wp:extent cx="6120130" cy="3257550"/>
            <wp:effectExtent l="0" t="0" r="0" b="6350"/>
            <wp:docPr id="852224117" name="Immagine 13" descr="A bar graph that shows the percentage 16 to 24 year old respondents who believe different behaviours are a form of domestic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24117" name="Immagine 13" descr="A bar graph that shows the percentage 16 to 24 year old respondents who believe different behaviours are a form of domestic violence. The data in this graph is in the table be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3257550"/>
                    </a:xfrm>
                    <a:prstGeom prst="rect">
                      <a:avLst/>
                    </a:prstGeom>
                  </pic:spPr>
                </pic:pic>
              </a:graphicData>
            </a:graphic>
          </wp:inline>
        </w:drawing>
      </w:r>
    </w:p>
    <w:p w14:paraId="6CF175BE" w14:textId="3C26DE66" w:rsidR="00A974BA" w:rsidRPr="00A974BA" w:rsidRDefault="00A974BA" w:rsidP="002A2C0C">
      <w:pPr>
        <w:pStyle w:val="datatableheading"/>
      </w:pPr>
      <w:r>
        <w:t>Data table for figure 4-3</w:t>
      </w:r>
      <w:r w:rsidR="001B3C28">
        <w:t xml:space="preserve">: </w:t>
      </w:r>
      <w:r w:rsidR="007D002F">
        <w:t>…is this a form of violence against women?</w:t>
      </w:r>
    </w:p>
    <w:tbl>
      <w:tblPr>
        <w:tblStyle w:val="Table-SingleHeaderRow"/>
        <w:tblW w:w="9726" w:type="dxa"/>
        <w:tblLook w:val="04A0" w:firstRow="1" w:lastRow="0" w:firstColumn="1" w:lastColumn="0" w:noHBand="0" w:noVBand="1"/>
      </w:tblPr>
      <w:tblGrid>
        <w:gridCol w:w="3515"/>
        <w:gridCol w:w="964"/>
        <w:gridCol w:w="1244"/>
        <w:gridCol w:w="864"/>
        <w:gridCol w:w="882"/>
        <w:gridCol w:w="907"/>
        <w:gridCol w:w="1350"/>
      </w:tblGrid>
      <w:tr w:rsidR="00D8474D" w14:paraId="18387868" w14:textId="77777777" w:rsidTr="00D847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5" w:type="dxa"/>
          </w:tcPr>
          <w:p w14:paraId="24AFA00B" w14:textId="77777777" w:rsidR="00A126DC" w:rsidRPr="008E6594" w:rsidRDefault="00A126DC" w:rsidP="00A3239A">
            <w:pPr>
              <w:pStyle w:val="Tablebody"/>
              <w:rPr>
                <w:b w:val="0"/>
                <w:bCs/>
              </w:rPr>
            </w:pPr>
          </w:p>
        </w:tc>
        <w:tc>
          <w:tcPr>
            <w:tcW w:w="964" w:type="dxa"/>
          </w:tcPr>
          <w:p w14:paraId="009B9A85" w14:textId="77777777" w:rsidR="00A126DC" w:rsidRPr="005E68EB"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No</w:t>
            </w:r>
          </w:p>
        </w:tc>
        <w:tc>
          <w:tcPr>
            <w:tcW w:w="1244" w:type="dxa"/>
          </w:tcPr>
          <w:p w14:paraId="6C838F98" w14:textId="77777777" w:rsidR="00A126DC" w:rsidRPr="005E68EB"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sometimes</w:t>
            </w:r>
          </w:p>
        </w:tc>
        <w:tc>
          <w:tcPr>
            <w:tcW w:w="864" w:type="dxa"/>
          </w:tcPr>
          <w:p w14:paraId="0E28ABAA" w14:textId="77777777" w:rsidR="00A126DC" w:rsidRPr="005E68EB"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usually</w:t>
            </w:r>
          </w:p>
        </w:tc>
        <w:tc>
          <w:tcPr>
            <w:tcW w:w="882" w:type="dxa"/>
          </w:tcPr>
          <w:p w14:paraId="494E57EC" w14:textId="77777777" w:rsidR="00A126DC"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Yes, always</w:t>
            </w:r>
          </w:p>
        </w:tc>
        <w:tc>
          <w:tcPr>
            <w:tcW w:w="907" w:type="dxa"/>
          </w:tcPr>
          <w:p w14:paraId="5D8FD74B" w14:textId="77777777" w:rsidR="00A126DC"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Unsure</w:t>
            </w:r>
          </w:p>
        </w:tc>
        <w:tc>
          <w:tcPr>
            <w:tcW w:w="1350" w:type="dxa"/>
          </w:tcPr>
          <w:p w14:paraId="72433AED" w14:textId="77777777" w:rsidR="00A126DC" w:rsidRDefault="00A126D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Unanswered</w:t>
            </w:r>
          </w:p>
        </w:tc>
      </w:tr>
      <w:tr w:rsidR="00D8474D" w:rsidRPr="00846E5F" w14:paraId="71B38368" w14:textId="77777777" w:rsidTr="00D8474D">
        <w:tc>
          <w:tcPr>
            <w:cnfStyle w:val="001000000000" w:firstRow="0" w:lastRow="0" w:firstColumn="1" w:lastColumn="0" w:oddVBand="0" w:evenVBand="0" w:oddHBand="0" w:evenHBand="0" w:firstRowFirstColumn="0" w:firstRowLastColumn="0" w:lastRowFirstColumn="0" w:lastRowLastColumn="0"/>
            <w:tcW w:w="3515" w:type="dxa"/>
          </w:tcPr>
          <w:p w14:paraId="496FED3F" w14:textId="77F63145" w:rsidR="00A126DC" w:rsidRPr="008E6594" w:rsidRDefault="00846E5F" w:rsidP="00A3239A">
            <w:pPr>
              <w:pStyle w:val="Tablebody"/>
            </w:pPr>
            <w:r>
              <w:t>Stalking by repeatedly following/watching at home/work (V4)</w:t>
            </w:r>
            <w:r w:rsidR="00857313">
              <w:t xml:space="preserve"> </w:t>
            </w:r>
            <w:r w:rsidR="00857313" w:rsidRPr="008C29F3">
              <w:rPr>
                <w:kern w:val="2"/>
                <w:sz w:val="20"/>
                <w:vertAlign w:val="superscript"/>
              </w:rPr>
              <w:t>*</w:t>
            </w:r>
          </w:p>
        </w:tc>
        <w:tc>
          <w:tcPr>
            <w:tcW w:w="964" w:type="dxa"/>
          </w:tcPr>
          <w:p w14:paraId="65ED5DF4" w14:textId="00C21652" w:rsidR="00A126DC" w:rsidRPr="007E1C6F" w:rsidRDefault="00846E5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7%</w:t>
            </w:r>
          </w:p>
        </w:tc>
        <w:tc>
          <w:tcPr>
            <w:tcW w:w="1244" w:type="dxa"/>
          </w:tcPr>
          <w:p w14:paraId="5E3A5233" w14:textId="5DB2C48C" w:rsidR="00A126DC" w:rsidRPr="007E1C6F"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864" w:type="dxa"/>
          </w:tcPr>
          <w:p w14:paraId="7E705254" w14:textId="4AF0175C" w:rsidR="00A126DC" w:rsidRPr="007E1C6F"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82" w:type="dxa"/>
          </w:tcPr>
          <w:p w14:paraId="36135E9F" w14:textId="451DFACC" w:rsidR="00A126DC" w:rsidRPr="007E1C6F"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73%</w:t>
            </w:r>
          </w:p>
        </w:tc>
        <w:tc>
          <w:tcPr>
            <w:tcW w:w="907" w:type="dxa"/>
          </w:tcPr>
          <w:p w14:paraId="2021C837" w14:textId="77777777" w:rsidR="00A126DC" w:rsidRPr="007E1C6F" w:rsidRDefault="00A126DC"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4B0AA046" w14:textId="2BDC198D" w:rsidR="00A126DC" w:rsidRPr="007E1C6F"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D8474D" w:rsidRPr="00846E5F" w:rsidDel="006D4F1A" w14:paraId="19516A38" w14:textId="77777777" w:rsidTr="00D8474D">
        <w:tc>
          <w:tcPr>
            <w:cnfStyle w:val="001000000000" w:firstRow="0" w:lastRow="0" w:firstColumn="1" w:lastColumn="0" w:oddVBand="0" w:evenVBand="0" w:oddHBand="0" w:evenHBand="0" w:firstRowFirstColumn="0" w:firstRowLastColumn="0" w:lastRowFirstColumn="0" w:lastRowLastColumn="0"/>
            <w:tcW w:w="3515" w:type="dxa"/>
          </w:tcPr>
          <w:p w14:paraId="0EC50ECA" w14:textId="6FF46899" w:rsidR="00A126DC" w:rsidRPr="008E6594" w:rsidRDefault="00846E5F" w:rsidP="00A3239A">
            <w:pPr>
              <w:pStyle w:val="Tablebody"/>
            </w:pPr>
            <w:r>
              <w:t>A man sends an unwanted picture of</w:t>
            </w:r>
            <w:r w:rsidR="00D8474D">
              <w:t> </w:t>
            </w:r>
            <w:r>
              <w:t>his genitals to a woman (V7)</w:t>
            </w:r>
            <w:r w:rsidR="00857313">
              <w:t xml:space="preserve"> </w:t>
            </w:r>
            <w:r w:rsidR="00857313" w:rsidRPr="008C29F3">
              <w:rPr>
                <w:kern w:val="2"/>
                <w:sz w:val="20"/>
                <w:vertAlign w:val="superscript"/>
              </w:rPr>
              <w:t>a</w:t>
            </w:r>
          </w:p>
        </w:tc>
        <w:tc>
          <w:tcPr>
            <w:tcW w:w="964" w:type="dxa"/>
          </w:tcPr>
          <w:p w14:paraId="38D52556" w14:textId="589BDBB6"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1244" w:type="dxa"/>
          </w:tcPr>
          <w:p w14:paraId="640638CB" w14:textId="143974BB"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64" w:type="dxa"/>
          </w:tcPr>
          <w:p w14:paraId="5DBDBACE" w14:textId="186C7BFC"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14%</w:t>
            </w:r>
          </w:p>
        </w:tc>
        <w:tc>
          <w:tcPr>
            <w:tcW w:w="882" w:type="dxa"/>
          </w:tcPr>
          <w:p w14:paraId="52B462BA" w14:textId="14A7D1A8"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62%</w:t>
            </w:r>
          </w:p>
        </w:tc>
        <w:tc>
          <w:tcPr>
            <w:tcW w:w="907" w:type="dxa"/>
          </w:tcPr>
          <w:p w14:paraId="6D3C5701" w14:textId="77777777" w:rsidR="00A126DC"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3EE2AE9C" w14:textId="5C715E97"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D8474D" w:rsidRPr="00846E5F" w:rsidDel="006D4F1A" w14:paraId="69CD7B93" w14:textId="77777777" w:rsidTr="00D8474D">
        <w:trPr>
          <w:trHeight w:val="406"/>
        </w:trPr>
        <w:tc>
          <w:tcPr>
            <w:cnfStyle w:val="001000000000" w:firstRow="0" w:lastRow="0" w:firstColumn="1" w:lastColumn="0" w:oddVBand="0" w:evenVBand="0" w:oddHBand="0" w:evenHBand="0" w:firstRowFirstColumn="0" w:firstRowLastColumn="0" w:lastRowFirstColumn="0" w:lastRowLastColumn="0"/>
            <w:tcW w:w="3515" w:type="dxa"/>
          </w:tcPr>
          <w:p w14:paraId="6364AE20" w14:textId="5219A236" w:rsidR="00A126DC" w:rsidRPr="008E6594" w:rsidRDefault="00846E5F" w:rsidP="00A3239A">
            <w:pPr>
              <w:pStyle w:val="Tablebody"/>
            </w:pPr>
            <w:r>
              <w:t>Abusive messages or comments targeted at women on social media (V6)</w:t>
            </w:r>
            <w:r w:rsidR="00857313">
              <w:t xml:space="preserve"> </w:t>
            </w:r>
            <w:r w:rsidR="00857313" w:rsidRPr="007D05B5">
              <w:rPr>
                <w:kern w:val="2"/>
                <w:sz w:val="20"/>
                <w:vertAlign w:val="superscript"/>
              </w:rPr>
              <w:t>a</w:t>
            </w:r>
          </w:p>
        </w:tc>
        <w:tc>
          <w:tcPr>
            <w:tcW w:w="964" w:type="dxa"/>
          </w:tcPr>
          <w:p w14:paraId="2878DBEA" w14:textId="359C235F"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44" w:type="dxa"/>
          </w:tcPr>
          <w:p w14:paraId="3F997520" w14:textId="5E267490"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64" w:type="dxa"/>
          </w:tcPr>
          <w:p w14:paraId="7D2F33A6" w14:textId="14129092"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20%</w:t>
            </w:r>
          </w:p>
        </w:tc>
        <w:tc>
          <w:tcPr>
            <w:tcW w:w="882" w:type="dxa"/>
          </w:tcPr>
          <w:p w14:paraId="16DD5E25" w14:textId="6421AB6F"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907" w:type="dxa"/>
          </w:tcPr>
          <w:p w14:paraId="45716837" w14:textId="77777777" w:rsidR="00A126DC"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2AB7D75B" w14:textId="35346883"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D8474D" w:rsidRPr="00846E5F" w:rsidDel="006D4F1A" w14:paraId="204C0C80" w14:textId="77777777" w:rsidTr="00D8474D">
        <w:trPr>
          <w:trHeight w:val="406"/>
        </w:trPr>
        <w:tc>
          <w:tcPr>
            <w:cnfStyle w:val="001000000000" w:firstRow="0" w:lastRow="0" w:firstColumn="1" w:lastColumn="0" w:oddVBand="0" w:evenVBand="0" w:oddHBand="0" w:evenHBand="0" w:firstRowFirstColumn="0" w:firstRowLastColumn="0" w:lastRowFirstColumn="0" w:lastRowLastColumn="0"/>
            <w:tcW w:w="3515" w:type="dxa"/>
          </w:tcPr>
          <w:p w14:paraId="0B0A951E" w14:textId="3ACC0083" w:rsidR="00A126DC" w:rsidRDefault="00846E5F" w:rsidP="00A3239A">
            <w:pPr>
              <w:pStyle w:val="Tablebody"/>
            </w:pPr>
            <w:r>
              <w:t>Harassment via repeated emails, text</w:t>
            </w:r>
            <w:r w:rsidR="00D8474D">
              <w:t> </w:t>
            </w:r>
            <w:r>
              <w:t>messages etc. (V5)</w:t>
            </w:r>
            <w:r w:rsidR="00857313">
              <w:t xml:space="preserve"> </w:t>
            </w:r>
            <w:r w:rsidR="00857313" w:rsidRPr="007D05B5">
              <w:rPr>
                <w:kern w:val="2"/>
                <w:sz w:val="20"/>
                <w:vertAlign w:val="superscript"/>
              </w:rPr>
              <w:t>*</w:t>
            </w:r>
          </w:p>
        </w:tc>
        <w:tc>
          <w:tcPr>
            <w:tcW w:w="964" w:type="dxa"/>
          </w:tcPr>
          <w:p w14:paraId="300743CA" w14:textId="1CBFBF62"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244" w:type="dxa"/>
          </w:tcPr>
          <w:p w14:paraId="21C07673" w14:textId="75AD5DDC" w:rsidR="00A126DC"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864" w:type="dxa"/>
          </w:tcPr>
          <w:p w14:paraId="6F8CD9FD" w14:textId="4163A73D"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19%</w:t>
            </w:r>
          </w:p>
        </w:tc>
        <w:tc>
          <w:tcPr>
            <w:tcW w:w="882" w:type="dxa"/>
          </w:tcPr>
          <w:p w14:paraId="0993B24E" w14:textId="30372373"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907" w:type="dxa"/>
          </w:tcPr>
          <w:p w14:paraId="022C0353" w14:textId="3B25A49F" w:rsidR="00A126DC" w:rsidDel="006D4F1A" w:rsidRDefault="00A126DC"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6D884856" w14:textId="15807350" w:rsidR="00A126DC" w:rsidDel="006D4F1A" w:rsidRDefault="00846E5F" w:rsidP="00A3239A">
            <w:pPr>
              <w:pStyle w:val="Tablebody"/>
              <w:cnfStyle w:val="000000000000" w:firstRow="0" w:lastRow="0" w:firstColumn="0" w:lastColumn="0" w:oddVBand="0" w:evenVBand="0" w:oddHBand="0" w:evenHBand="0" w:firstRowFirstColumn="0" w:firstRowLastColumn="0" w:lastRowFirstColumn="0" w:lastRowLastColumn="0"/>
            </w:pPr>
            <w:r>
              <w:t>1%</w:t>
            </w:r>
          </w:p>
        </w:tc>
      </w:tr>
    </w:tbl>
    <w:p w14:paraId="6DD1D27B" w14:textId="6AFF0237" w:rsidR="00A126DC" w:rsidRPr="00E27DB9" w:rsidRDefault="00E27DB9" w:rsidP="00A3239A">
      <w:pPr>
        <w:pStyle w:val="Normal8pt"/>
      </w:pPr>
      <w:r w:rsidRPr="008C29F3">
        <w:rPr>
          <w:b/>
        </w:rPr>
        <w:t>Note</w:t>
      </w:r>
      <w:r w:rsidRPr="007D5CED">
        <w:rPr>
          <w:bCs/>
        </w:rPr>
        <w:t xml:space="preserve">: </w:t>
      </w:r>
      <w:r w:rsidRPr="0073256E">
        <w:rPr>
          <w:rStyle w:val="Emphasis"/>
        </w:rPr>
        <w:t>N</w:t>
      </w:r>
      <w:r w:rsidRPr="007D5CED">
        <w:t xml:space="preserve"> = 1,667. Percentages in the figure do not always add to 100 or exactly correspond to percentages in the text due to</w:t>
      </w:r>
      <w:r w:rsidR="00D8474D">
        <w:t> </w:t>
      </w:r>
      <w:r w:rsidRPr="007D5CED">
        <w:t>rounding. Significant differences over time are based on the percentage of young respondents who answered “yes” the behaviour is violence against women either “always” or “usually”.</w:t>
      </w:r>
    </w:p>
    <w:p w14:paraId="05145094" w14:textId="77777777" w:rsidR="007D5CED" w:rsidRPr="007D5CED" w:rsidRDefault="007D5CED" w:rsidP="00A3239A">
      <w:pPr>
        <w:pStyle w:val="Normal8pt"/>
      </w:pPr>
      <w:r w:rsidRPr="007D5CED">
        <w:rPr>
          <w:bCs/>
        </w:rPr>
        <w:t>*</w:t>
      </w:r>
      <w:r w:rsidRPr="007D5CED">
        <w:t xml:space="preserve"> Significantly higher understanding in 2021 than 2017. Change over time results are discussed in Section 4.1.</w:t>
      </w:r>
    </w:p>
    <w:p w14:paraId="7763F9A1" w14:textId="77777777" w:rsidR="007D5CED" w:rsidRPr="007D5CED" w:rsidRDefault="007D5CED" w:rsidP="00A3239A">
      <w:pPr>
        <w:pStyle w:val="Normal8pt"/>
      </w:pPr>
      <w:r w:rsidRPr="007D5CED">
        <w:rPr>
          <w:bCs/>
        </w:rPr>
        <w:t>a</w:t>
      </w:r>
      <w:r w:rsidRPr="007D5CED">
        <w:t xml:space="preserve"> New item in 2021. Thus, change over time could not be examined.</w:t>
      </w:r>
    </w:p>
    <w:p w14:paraId="7082AE0C" w14:textId="67964806" w:rsidR="008355A7" w:rsidRPr="007D5CED" w:rsidRDefault="007D5CED" w:rsidP="00A3239A">
      <w:pPr>
        <w:rPr>
          <w:lang w:val="en-GB"/>
        </w:rPr>
      </w:pPr>
      <w:r w:rsidRPr="007D5CED">
        <w:rPr>
          <w:lang w:val="en-GB"/>
        </w:rPr>
        <w:t>Figures 4-4 and 4-5 show young respondents’ level of understanding that domestic violence is</w:t>
      </w:r>
      <w:r w:rsidR="00D8474D">
        <w:rPr>
          <w:lang w:val="en-GB"/>
        </w:rPr>
        <w:t> </w:t>
      </w:r>
      <w:r w:rsidRPr="007D5CED">
        <w:rPr>
          <w:lang w:val="en-GB"/>
        </w:rPr>
        <w:t>predominantly perpetrated by men against women, according to the three items in the Understand Gendered DV Subscale of the UVAWS. In 2021, almost half of young respondents incorrectly believed that domestic violence is equally committed by men and women (46%; D13; Figure 4-4). Similarly, in</w:t>
      </w:r>
      <w:r w:rsidR="00D8474D">
        <w:rPr>
          <w:lang w:val="en-GB"/>
        </w:rPr>
        <w:t> </w:t>
      </w:r>
      <w:r w:rsidRPr="007D5CED">
        <w:rPr>
          <w:lang w:val="en-GB"/>
        </w:rPr>
        <w:t>2021, sizeable proportions of young respondents believed that men and women are equally likely to</w:t>
      </w:r>
      <w:r w:rsidR="00D8474D">
        <w:rPr>
          <w:lang w:val="en-GB"/>
        </w:rPr>
        <w:t> </w:t>
      </w:r>
      <w:r w:rsidRPr="007D5CED">
        <w:rPr>
          <w:lang w:val="en-GB"/>
        </w:rPr>
        <w:t>suffer physical harm as a result of domestic violence (26%; D14; Figure 4-5) and that men and women are equally likely to experience fear as a result of domestic violence (45%; D15; Figure 4-5). These findings are contrary to the evidence that women are more likely to suffer harm and other adverse consequences from domestic violence, including fear, anxiety, physical injury and homicide (ABS, 2017; Australian Domestic and Family Violence Death Review Network &amp; ANROWS, 2022).</w:t>
      </w:r>
    </w:p>
    <w:p w14:paraId="76F58825" w14:textId="69BB6E6C" w:rsidR="000E315F" w:rsidRDefault="007D5CED" w:rsidP="0084332B">
      <w:pPr>
        <w:pStyle w:val="Quote"/>
      </w:pPr>
      <w:r w:rsidRPr="007D5CED">
        <w:t xml:space="preserve">Often a lot of people think it is equal that both women and men experience domestic violence at the same rate and debunking that’s really interesting. </w:t>
      </w:r>
      <w:r w:rsidRPr="007D5CED">
        <w:lastRenderedPageBreak/>
        <w:t>Because actually saying, OK, you know, like, 97 per cent of people committing violence are actually men, so it ends up being gendered and we have to, like, tell young people, this stat is pretty bad, right? But we don’t wanna bash young men or</w:t>
      </w:r>
      <w:r w:rsidR="000E315F">
        <w:t xml:space="preserve"> </w:t>
      </w:r>
      <w:r w:rsidRPr="007D5CED">
        <w:t xml:space="preserve">say that doesn’t happen, but this is what’s going on in the community. </w:t>
      </w:r>
    </w:p>
    <w:p w14:paraId="4E781075" w14:textId="31A88162" w:rsidR="007D5CED" w:rsidRPr="007D5CED" w:rsidRDefault="007D5CED" w:rsidP="00A3239A">
      <w:pPr>
        <w:suppressAutoHyphens/>
        <w:autoSpaceDE w:val="0"/>
        <w:autoSpaceDN w:val="0"/>
        <w:adjustRightInd w:val="0"/>
        <w:spacing w:before="113" w:after="340" w:line="300" w:lineRule="atLeast"/>
        <w:ind w:left="624" w:right="397"/>
        <w:textAlignment w:val="center"/>
        <w:rPr>
          <w:rFonts w:ascii="Hind Medium" w:hAnsi="Hind Medium" w:cs="Hind Medium"/>
          <w:color w:val="000000"/>
          <w:kern w:val="0"/>
          <w:sz w:val="24"/>
          <w:lang w:val="en-GB"/>
        </w:rPr>
      </w:pPr>
      <w:r w:rsidRPr="007D5CED">
        <w:rPr>
          <w:rFonts w:ascii="Hind" w:hAnsi="Hind" w:cs="Hind"/>
          <w:color w:val="000000"/>
          <w:kern w:val="0"/>
          <w:szCs w:val="20"/>
          <w:lang w:val="en-GB"/>
        </w:rPr>
        <w:t>– Youth Ambassador</w:t>
      </w:r>
    </w:p>
    <w:p w14:paraId="6F1C3842" w14:textId="5404DDCF" w:rsidR="007D5CED" w:rsidRPr="007D5CED" w:rsidRDefault="008355A7" w:rsidP="002A2C0C">
      <w:pPr>
        <w:pStyle w:val="figuretableheading"/>
      </w:pPr>
      <w:bookmarkStart w:id="114" w:name="_Toc187401242"/>
      <w:r>
        <w:t xml:space="preserve">Figure </w:t>
      </w:r>
      <w:r w:rsidR="005B3A89">
        <w:fldChar w:fldCharType="begin"/>
      </w:r>
      <w:r w:rsidR="005B3A89">
        <w:instrText xml:space="preserve"> STYLEREF 1 \s </w:instrText>
      </w:r>
      <w:r w:rsidR="005B3A89">
        <w:fldChar w:fldCharType="separate"/>
      </w:r>
      <w:r w:rsidR="005B3A89">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4</w:t>
      </w:r>
      <w:r w:rsidR="005B3A89">
        <w:fldChar w:fldCharType="end"/>
      </w:r>
      <w:r w:rsidR="007D5CED" w:rsidRPr="007D5CED">
        <w:t>: Understanding the gendered nature of domestic violence perpetration (UVAWS subscale items), 16-</w:t>
      </w:r>
      <w:r w:rsidR="00D8474D">
        <w:t> </w:t>
      </w:r>
      <w:r w:rsidR="007D5CED" w:rsidRPr="007D5CED">
        <w:t>to</w:t>
      </w:r>
      <w:r w:rsidR="00D8474D">
        <w:t> </w:t>
      </w:r>
      <w:r w:rsidR="007D5CED" w:rsidRPr="007D5CED">
        <w:t>24</w:t>
      </w:r>
      <w:r w:rsidR="00D8474D">
        <w:noBreakHyphen/>
      </w:r>
      <w:r w:rsidR="007D5CED" w:rsidRPr="007D5CED">
        <w:t>year-olds, 2021</w:t>
      </w:r>
      <w:bookmarkEnd w:id="114"/>
    </w:p>
    <w:p w14:paraId="28A7416D" w14:textId="6BC3E1BC" w:rsidR="007D5CED" w:rsidRPr="007D5CED" w:rsidRDefault="008B7F22" w:rsidP="00A3239A">
      <w:pPr>
        <w:spacing w:before="0"/>
        <w:rPr>
          <w:lang w:val="en-GB"/>
        </w:rPr>
      </w:pPr>
      <w:r>
        <w:rPr>
          <w:noProof/>
          <w:lang w:val="en-GB"/>
        </w:rPr>
        <w:drawing>
          <wp:inline distT="0" distB="0" distL="0" distR="0" wp14:anchorId="54B7E022" wp14:editId="7A74EC38">
            <wp:extent cx="5791200" cy="1350323"/>
            <wp:effectExtent l="0" t="0" r="0" b="2540"/>
            <wp:docPr id="1981931311" name="Immagine 14" descr="A bar graph that shows the percentage 16 to 24 year old respondents who believe domestic violence is mainly committed &#10;by women, men or both equally.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1311" name="Immagine 14" descr="A bar graph that shows the percentage 16 to 24 year old respondents who believe domestic violence is mainly committed &#10;by women, men or both equally. The data in this graph is in the table below."/>
                    <pic:cNvPicPr/>
                  </pic:nvPicPr>
                  <pic:blipFill rotWithShape="1">
                    <a:blip r:embed="rId33" cstate="print">
                      <a:extLst>
                        <a:ext uri="{28A0092B-C50C-407E-A947-70E740481C1C}">
                          <a14:useLocalDpi xmlns:a14="http://schemas.microsoft.com/office/drawing/2010/main" val="0"/>
                        </a:ext>
                      </a:extLst>
                    </a:blip>
                    <a:srcRect t="4212"/>
                    <a:stretch/>
                  </pic:blipFill>
                  <pic:spPr bwMode="auto">
                    <a:xfrm>
                      <a:off x="0" y="0"/>
                      <a:ext cx="5791200" cy="1350323"/>
                    </a:xfrm>
                    <a:prstGeom prst="rect">
                      <a:avLst/>
                    </a:prstGeom>
                    <a:ln>
                      <a:noFill/>
                    </a:ln>
                    <a:extLst>
                      <a:ext uri="{53640926-AAD7-44D8-BBD7-CCE9431645EC}">
                        <a14:shadowObscured xmlns:a14="http://schemas.microsoft.com/office/drawing/2010/main"/>
                      </a:ext>
                    </a:extLst>
                  </pic:spPr>
                </pic:pic>
              </a:graphicData>
            </a:graphic>
          </wp:inline>
        </w:drawing>
      </w:r>
    </w:p>
    <w:p w14:paraId="5A445A69" w14:textId="4ECB2AD8" w:rsidR="00A974BA" w:rsidRPr="00A974BA" w:rsidRDefault="00A974BA" w:rsidP="002A2C0C">
      <w:pPr>
        <w:pStyle w:val="datatableheading"/>
      </w:pPr>
      <w:r>
        <w:t>Data table for figure 4-4</w:t>
      </w:r>
      <w:r w:rsidR="001B3C28">
        <w:t xml:space="preserve">: </w:t>
      </w:r>
      <w:r w:rsidR="007D002F">
        <w:t>Who is domestic violence mainly committed by? (D13)</w:t>
      </w:r>
    </w:p>
    <w:tbl>
      <w:tblPr>
        <w:tblStyle w:val="Table-SingleHeaderRow"/>
        <w:tblW w:w="9072" w:type="dxa"/>
        <w:tblLook w:val="04A0" w:firstRow="1" w:lastRow="0" w:firstColumn="1" w:lastColumn="0" w:noHBand="0" w:noVBand="1"/>
      </w:tblPr>
      <w:tblGrid>
        <w:gridCol w:w="2253"/>
        <w:gridCol w:w="6819"/>
      </w:tblGrid>
      <w:tr w:rsidR="007D002F" w:rsidRPr="00EA1044" w14:paraId="254891A3"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3" w:type="dxa"/>
          </w:tcPr>
          <w:p w14:paraId="497A5822" w14:textId="2864F033" w:rsidR="007D002F" w:rsidRPr="008E6594" w:rsidRDefault="007D002F" w:rsidP="00A3239A">
            <w:pPr>
              <w:pStyle w:val="Tablebody"/>
              <w:rPr>
                <w:b w:val="0"/>
                <w:bCs/>
              </w:rPr>
            </w:pPr>
          </w:p>
        </w:tc>
        <w:tc>
          <w:tcPr>
            <w:tcW w:w="6819" w:type="dxa"/>
          </w:tcPr>
          <w:p w14:paraId="7593FF78" w14:textId="51282205" w:rsidR="007D002F" w:rsidRPr="005E68EB" w:rsidRDefault="007D002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Percentage of 16- to 24-year-old respondents</w:t>
            </w:r>
            <w:r w:rsidR="00857313">
              <w:rPr>
                <w:bCs/>
              </w:rPr>
              <w:t xml:space="preserve"> </w:t>
            </w:r>
            <w:r w:rsidR="00857313" w:rsidRPr="008C29F3">
              <w:rPr>
                <w:kern w:val="2"/>
                <w:sz w:val="20"/>
                <w:vertAlign w:val="superscript"/>
              </w:rPr>
              <w:t>ns</w:t>
            </w:r>
          </w:p>
        </w:tc>
      </w:tr>
      <w:tr w:rsidR="007D002F" w:rsidRPr="007E1C6F" w14:paraId="7B9B90C1" w14:textId="77777777" w:rsidTr="008C29F3">
        <w:tc>
          <w:tcPr>
            <w:cnfStyle w:val="001000000000" w:firstRow="0" w:lastRow="0" w:firstColumn="1" w:lastColumn="0" w:oddVBand="0" w:evenVBand="0" w:oddHBand="0" w:evenHBand="0" w:firstRowFirstColumn="0" w:firstRowLastColumn="0" w:lastRowFirstColumn="0" w:lastRowLastColumn="0"/>
            <w:tcW w:w="2253" w:type="dxa"/>
          </w:tcPr>
          <w:p w14:paraId="6C07DE66" w14:textId="637A1C90" w:rsidR="007D002F" w:rsidRPr="007D002F" w:rsidRDefault="007D002F" w:rsidP="00A3239A">
            <w:pPr>
              <w:pStyle w:val="Tablebody"/>
            </w:pPr>
            <w:r w:rsidRPr="008C29F3">
              <w:t>Women</w:t>
            </w:r>
          </w:p>
        </w:tc>
        <w:tc>
          <w:tcPr>
            <w:tcW w:w="6819" w:type="dxa"/>
          </w:tcPr>
          <w:p w14:paraId="04EBD423" w14:textId="58C7A0EC" w:rsidR="007D002F" w:rsidRPr="007E1C6F" w:rsidRDefault="007D002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1%</w:t>
            </w:r>
          </w:p>
        </w:tc>
      </w:tr>
      <w:tr w:rsidR="007D002F" w:rsidRPr="007E1C6F" w14:paraId="0E1326B5" w14:textId="77777777" w:rsidTr="008C29F3">
        <w:tc>
          <w:tcPr>
            <w:cnfStyle w:val="001000000000" w:firstRow="0" w:lastRow="0" w:firstColumn="1" w:lastColumn="0" w:oddVBand="0" w:evenVBand="0" w:oddHBand="0" w:evenHBand="0" w:firstRowFirstColumn="0" w:firstRowLastColumn="0" w:lastRowFirstColumn="0" w:lastRowLastColumn="0"/>
            <w:tcW w:w="2253" w:type="dxa"/>
          </w:tcPr>
          <w:p w14:paraId="57F49CB7" w14:textId="0D48BC9F" w:rsidR="007D002F" w:rsidRPr="008C29F3" w:rsidRDefault="007D002F" w:rsidP="00A3239A">
            <w:pPr>
              <w:pStyle w:val="Tablebody"/>
            </w:pPr>
            <w:r w:rsidRPr="008C29F3">
              <w:t>Both equally</w:t>
            </w:r>
          </w:p>
        </w:tc>
        <w:tc>
          <w:tcPr>
            <w:tcW w:w="6819" w:type="dxa"/>
          </w:tcPr>
          <w:p w14:paraId="5E2CFA69" w14:textId="16E437DA" w:rsidR="007D002F" w:rsidRDefault="007D002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46%</w:t>
            </w:r>
          </w:p>
        </w:tc>
      </w:tr>
      <w:tr w:rsidR="007D002F" w:rsidRPr="007E1C6F" w14:paraId="5D61F530" w14:textId="77777777" w:rsidTr="008C29F3">
        <w:tc>
          <w:tcPr>
            <w:cnfStyle w:val="001000000000" w:firstRow="0" w:lastRow="0" w:firstColumn="1" w:lastColumn="0" w:oddVBand="0" w:evenVBand="0" w:oddHBand="0" w:evenHBand="0" w:firstRowFirstColumn="0" w:firstRowLastColumn="0" w:lastRowFirstColumn="0" w:lastRowLastColumn="0"/>
            <w:tcW w:w="2253" w:type="dxa"/>
          </w:tcPr>
          <w:p w14:paraId="5CB9394B" w14:textId="6A7FBF08" w:rsidR="007D002F" w:rsidRPr="008C29F3" w:rsidRDefault="007D002F" w:rsidP="00A3239A">
            <w:pPr>
              <w:pStyle w:val="Tablebody"/>
            </w:pPr>
            <w:r w:rsidRPr="008C29F3">
              <w:t>Men</w:t>
            </w:r>
          </w:p>
        </w:tc>
        <w:tc>
          <w:tcPr>
            <w:tcW w:w="6819" w:type="dxa"/>
          </w:tcPr>
          <w:p w14:paraId="48D7E5DC" w14:textId="7CA2E6A4" w:rsidR="007D002F" w:rsidRDefault="007D002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53%</w:t>
            </w:r>
          </w:p>
        </w:tc>
      </w:tr>
      <w:tr w:rsidR="007D002F" w:rsidRPr="007E1C6F" w14:paraId="7A371BFE" w14:textId="77777777" w:rsidTr="008C29F3">
        <w:tc>
          <w:tcPr>
            <w:cnfStyle w:val="001000000000" w:firstRow="0" w:lastRow="0" w:firstColumn="1" w:lastColumn="0" w:oddVBand="0" w:evenVBand="0" w:oddHBand="0" w:evenHBand="0" w:firstRowFirstColumn="0" w:firstRowLastColumn="0" w:lastRowFirstColumn="0" w:lastRowLastColumn="0"/>
            <w:tcW w:w="2253" w:type="dxa"/>
          </w:tcPr>
          <w:p w14:paraId="0E182C6F" w14:textId="5C074A03" w:rsidR="007D002F" w:rsidRPr="008C29F3" w:rsidRDefault="007D002F" w:rsidP="00A3239A">
            <w:pPr>
              <w:pStyle w:val="Tablebody"/>
            </w:pPr>
            <w:r w:rsidRPr="008C29F3">
              <w:t>Unsure</w:t>
            </w:r>
          </w:p>
        </w:tc>
        <w:tc>
          <w:tcPr>
            <w:tcW w:w="6819" w:type="dxa"/>
          </w:tcPr>
          <w:p w14:paraId="506D4C08" w14:textId="77777777" w:rsidR="007D002F" w:rsidRDefault="007D002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p>
        </w:tc>
      </w:tr>
      <w:tr w:rsidR="007D002F" w:rsidRPr="007E1C6F" w14:paraId="44D9638F" w14:textId="77777777" w:rsidTr="008C29F3">
        <w:tc>
          <w:tcPr>
            <w:cnfStyle w:val="001000000000" w:firstRow="0" w:lastRow="0" w:firstColumn="1" w:lastColumn="0" w:oddVBand="0" w:evenVBand="0" w:oddHBand="0" w:evenHBand="0" w:firstRowFirstColumn="0" w:firstRowLastColumn="0" w:lastRowFirstColumn="0" w:lastRowLastColumn="0"/>
            <w:tcW w:w="2253" w:type="dxa"/>
          </w:tcPr>
          <w:p w14:paraId="1E22AC33" w14:textId="74011BC8" w:rsidR="007D002F" w:rsidRPr="008C29F3" w:rsidRDefault="007D002F" w:rsidP="00A3239A">
            <w:pPr>
              <w:pStyle w:val="Tablebody"/>
            </w:pPr>
            <w:r w:rsidRPr="008C29F3">
              <w:t>Unanswered</w:t>
            </w:r>
          </w:p>
        </w:tc>
        <w:tc>
          <w:tcPr>
            <w:tcW w:w="6819" w:type="dxa"/>
          </w:tcPr>
          <w:p w14:paraId="3334EDEE" w14:textId="77777777" w:rsidR="007D002F" w:rsidRDefault="007D002F"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p>
        </w:tc>
      </w:tr>
    </w:tbl>
    <w:p w14:paraId="63771530" w14:textId="633777E9" w:rsidR="00846E5F" w:rsidRPr="00E27DB9" w:rsidRDefault="00E27DB9"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397. “Men” is the correct answer according to empirical evidence from police and court data (Hulme et al., 2019). Asked of one quarter of the sample in 2021.</w:t>
      </w:r>
    </w:p>
    <w:p w14:paraId="1875F9DA" w14:textId="3CC2612B" w:rsidR="008B7F22" w:rsidRDefault="007D5CED" w:rsidP="00A3239A">
      <w:pPr>
        <w:pStyle w:val="Normal8pt"/>
      </w:pPr>
      <w:r w:rsidRPr="007D5CED">
        <w:rPr>
          <w:bCs/>
        </w:rPr>
        <w:t>ns</w:t>
      </w:r>
      <w:r w:rsidRPr="007D5CED">
        <w:t xml:space="preserve"> No significant difference between 2021 and 2017. However, there was significantly lower understanding in 2021 compared to</w:t>
      </w:r>
      <w:r w:rsidR="008D07A5">
        <w:t> </w:t>
      </w:r>
      <w:r w:rsidRPr="007D5CED">
        <w:t>both 2009 and 2013. Change over time results are discussed in Section 4.1.</w:t>
      </w:r>
    </w:p>
    <w:p w14:paraId="5F83B095" w14:textId="60E506FC" w:rsidR="007D5CED" w:rsidRPr="007D5CED" w:rsidRDefault="008B7F22" w:rsidP="002A2C0C">
      <w:pPr>
        <w:pStyle w:val="figuretableheading"/>
      </w:pPr>
      <w:bookmarkStart w:id="115" w:name="_Toc187401243"/>
      <w:r>
        <w:t xml:space="preserve">Figure </w:t>
      </w:r>
      <w:r w:rsidR="005B3A89">
        <w:fldChar w:fldCharType="begin"/>
      </w:r>
      <w:r w:rsidR="005B3A89">
        <w:instrText xml:space="preserve"> STYLEREF 1 \s </w:instrText>
      </w:r>
      <w:r w:rsidR="005B3A89">
        <w:fldChar w:fldCharType="separate"/>
      </w:r>
      <w:r w:rsidR="005B3A89">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5</w:t>
      </w:r>
      <w:r w:rsidR="005B3A89">
        <w:fldChar w:fldCharType="end"/>
      </w:r>
      <w:r w:rsidR="007D5CED" w:rsidRPr="007D5CED">
        <w:t>: Understanding the gendered nature of domestic violence impacts (UVAWS subscale items), 16-</w:t>
      </w:r>
      <w:r w:rsidR="008D07A5">
        <w:t> </w:t>
      </w:r>
      <w:r w:rsidR="007D5CED" w:rsidRPr="007D5CED">
        <w:t>to</w:t>
      </w:r>
      <w:r w:rsidR="008D07A5">
        <w:t> </w:t>
      </w:r>
      <w:r w:rsidR="007D5CED" w:rsidRPr="007D5CED">
        <w:t>24</w:t>
      </w:r>
      <w:r w:rsidR="008D07A5">
        <w:noBreakHyphen/>
      </w:r>
      <w:r w:rsidR="007D5CED" w:rsidRPr="007D5CED">
        <w:t>year</w:t>
      </w:r>
      <w:r w:rsidR="008D07A5">
        <w:noBreakHyphen/>
      </w:r>
      <w:r w:rsidR="007D5CED" w:rsidRPr="007D5CED">
        <w:t>olds, 2021</w:t>
      </w:r>
      <w:bookmarkEnd w:id="115"/>
    </w:p>
    <w:p w14:paraId="5A1A2649" w14:textId="238F742E" w:rsidR="007D5CED" w:rsidRPr="007D5CED" w:rsidRDefault="00430BE2" w:rsidP="00A3239A">
      <w:pPr>
        <w:spacing w:before="480" w:after="1200"/>
        <w:rPr>
          <w:lang w:val="en-GB"/>
        </w:rPr>
      </w:pPr>
      <w:r>
        <w:rPr>
          <w:noProof/>
          <w:lang w:val="en-GB"/>
        </w:rPr>
        <w:drawing>
          <wp:inline distT="0" distB="0" distL="0" distR="0" wp14:anchorId="5168D5A9" wp14:editId="4E1799D2">
            <wp:extent cx="6108700" cy="2133600"/>
            <wp:effectExtent l="0" t="0" r="0" b="0"/>
            <wp:docPr id="803176458" name="Immagine 15" descr="A bar graph that shows  the percentage 16 to 24 year old respondents who believe that domestic violence is more likely to be experienced by men or women or both equally. The data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76458" name="Immagine 15" descr="A bar graph that shows  the percentage 16 to 24 year old respondents who believe that domestic violence is more likely to be experienced by men or women or both equally. The data in this graph is in the table below.&#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08700" cy="2133600"/>
                    </a:xfrm>
                    <a:prstGeom prst="rect">
                      <a:avLst/>
                    </a:prstGeom>
                  </pic:spPr>
                </pic:pic>
              </a:graphicData>
            </a:graphic>
          </wp:inline>
        </w:drawing>
      </w:r>
    </w:p>
    <w:p w14:paraId="6E2D2BFD" w14:textId="4F60A0B2" w:rsidR="00A974BA" w:rsidRPr="008C29F3" w:rsidRDefault="00A974BA" w:rsidP="002A2C0C">
      <w:pPr>
        <w:pStyle w:val="datatableheading"/>
      </w:pPr>
      <w:r>
        <w:lastRenderedPageBreak/>
        <w:t>Data table for figure 4-5</w:t>
      </w:r>
      <w:r w:rsidR="001B3C28">
        <w:t xml:space="preserve">: </w:t>
      </w:r>
      <w:r w:rsidR="0056216C">
        <w:t>Who do you think is more likely to…</w:t>
      </w:r>
    </w:p>
    <w:tbl>
      <w:tblPr>
        <w:tblStyle w:val="Table-SingleHeaderRow"/>
        <w:tblW w:w="0" w:type="auto"/>
        <w:tblLook w:val="04A0" w:firstRow="1" w:lastRow="0" w:firstColumn="1" w:lastColumn="0" w:noHBand="0" w:noVBand="1"/>
      </w:tblPr>
      <w:tblGrid>
        <w:gridCol w:w="2778"/>
        <w:gridCol w:w="1531"/>
        <w:gridCol w:w="1155"/>
        <w:gridCol w:w="1298"/>
        <w:gridCol w:w="1203"/>
        <w:gridCol w:w="1474"/>
      </w:tblGrid>
      <w:tr w:rsidR="00AD187F" w14:paraId="68BA8A3F" w14:textId="77777777" w:rsidTr="00AD18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tcPr>
          <w:p w14:paraId="5EF18652" w14:textId="456070D4" w:rsidR="00E24A22" w:rsidRPr="008E6594" w:rsidRDefault="00E24A22" w:rsidP="00A3239A">
            <w:pPr>
              <w:pStyle w:val="Tablebody"/>
              <w:rPr>
                <w:b w:val="0"/>
                <w:bCs/>
              </w:rPr>
            </w:pPr>
          </w:p>
        </w:tc>
        <w:tc>
          <w:tcPr>
            <w:tcW w:w="1531" w:type="dxa"/>
          </w:tcPr>
          <w:p w14:paraId="72BAD9A5" w14:textId="4901BE2E" w:rsidR="00E24A22" w:rsidRPr="005E68E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Men</w:t>
            </w:r>
          </w:p>
        </w:tc>
        <w:tc>
          <w:tcPr>
            <w:tcW w:w="1155" w:type="dxa"/>
          </w:tcPr>
          <w:p w14:paraId="053C7154" w14:textId="5E9344D6" w:rsidR="00E24A22" w:rsidRPr="005E68EB" w:rsidRDefault="00E24A2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Both equally</w:t>
            </w:r>
          </w:p>
        </w:tc>
        <w:tc>
          <w:tcPr>
            <w:tcW w:w="1298" w:type="dxa"/>
          </w:tcPr>
          <w:p w14:paraId="7AD443A8" w14:textId="62E9CBAB" w:rsidR="00E24A22" w:rsidRPr="005E68E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Women</w:t>
            </w:r>
          </w:p>
        </w:tc>
        <w:tc>
          <w:tcPr>
            <w:tcW w:w="1203" w:type="dxa"/>
          </w:tcPr>
          <w:p w14:paraId="3C348150" w14:textId="77777777" w:rsidR="00E24A22" w:rsidRDefault="00E24A2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Unsure</w:t>
            </w:r>
          </w:p>
        </w:tc>
        <w:tc>
          <w:tcPr>
            <w:tcW w:w="1474" w:type="dxa"/>
          </w:tcPr>
          <w:p w14:paraId="4551A883" w14:textId="77777777" w:rsidR="00E24A22" w:rsidRDefault="00E24A2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Unanswered</w:t>
            </w:r>
          </w:p>
        </w:tc>
      </w:tr>
      <w:tr w:rsidR="00E24A22" w:rsidRPr="007E1C6F" w14:paraId="03613F4E" w14:textId="77777777" w:rsidTr="008C29F3">
        <w:tc>
          <w:tcPr>
            <w:cnfStyle w:val="001000000000" w:firstRow="0" w:lastRow="0" w:firstColumn="1" w:lastColumn="0" w:oddVBand="0" w:evenVBand="0" w:oddHBand="0" w:evenHBand="0" w:firstRowFirstColumn="0" w:firstRowLastColumn="0" w:lastRowFirstColumn="0" w:lastRowLastColumn="0"/>
            <w:tcW w:w="2778" w:type="dxa"/>
          </w:tcPr>
          <w:p w14:paraId="575678DD" w14:textId="1FFC092A" w:rsidR="00E24A22" w:rsidRPr="008E6594" w:rsidRDefault="00E24A22" w:rsidP="00A3239A">
            <w:pPr>
              <w:pStyle w:val="Tablebody"/>
            </w:pPr>
            <w:r>
              <w:t xml:space="preserve">Suffer physical harm from domestic violence (D14) </w:t>
            </w:r>
            <w:r w:rsidRPr="008C29F3">
              <w:rPr>
                <w:kern w:val="2"/>
                <w:sz w:val="20"/>
                <w:vertAlign w:val="superscript"/>
              </w:rPr>
              <w:t>*</w:t>
            </w:r>
          </w:p>
        </w:tc>
        <w:tc>
          <w:tcPr>
            <w:tcW w:w="1531" w:type="dxa"/>
          </w:tcPr>
          <w:p w14:paraId="2B67984B" w14:textId="3E373A9C" w:rsidR="00E24A22" w:rsidRPr="007E1C6F" w:rsidRDefault="00A862B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3%</w:t>
            </w:r>
          </w:p>
        </w:tc>
        <w:tc>
          <w:tcPr>
            <w:tcW w:w="1155" w:type="dxa"/>
          </w:tcPr>
          <w:p w14:paraId="404A3F33" w14:textId="67D04431" w:rsidR="00E24A22" w:rsidRPr="007E1C6F" w:rsidRDefault="00E24A22" w:rsidP="00A3239A">
            <w:pPr>
              <w:pStyle w:val="Tablebody"/>
              <w:cnfStyle w:val="000000000000" w:firstRow="0" w:lastRow="0" w:firstColumn="0" w:lastColumn="0" w:oddVBand="0" w:evenVBand="0" w:oddHBand="0" w:evenHBand="0" w:firstRowFirstColumn="0" w:firstRowLastColumn="0" w:lastRowFirstColumn="0" w:lastRowLastColumn="0"/>
            </w:pPr>
            <w:r>
              <w:t>26%</w:t>
            </w:r>
          </w:p>
        </w:tc>
        <w:tc>
          <w:tcPr>
            <w:tcW w:w="1298" w:type="dxa"/>
          </w:tcPr>
          <w:p w14:paraId="7B676C14" w14:textId="3BD4FD9E" w:rsidR="00E24A22" w:rsidRPr="007E1C6F"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71%</w:t>
            </w:r>
          </w:p>
        </w:tc>
        <w:tc>
          <w:tcPr>
            <w:tcW w:w="1203" w:type="dxa"/>
          </w:tcPr>
          <w:p w14:paraId="49AA3254" w14:textId="77777777" w:rsidR="00E24A22" w:rsidRPr="007E1C6F" w:rsidRDefault="00E24A22" w:rsidP="00A3239A">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21598C1F" w14:textId="77777777" w:rsidR="00E24A22" w:rsidRPr="007E1C6F" w:rsidRDefault="00E24A22" w:rsidP="00A3239A">
            <w:pPr>
              <w:pStyle w:val="Tablebody"/>
              <w:cnfStyle w:val="000000000000" w:firstRow="0" w:lastRow="0" w:firstColumn="0" w:lastColumn="0" w:oddVBand="0" w:evenVBand="0" w:oddHBand="0" w:evenHBand="0" w:firstRowFirstColumn="0" w:firstRowLastColumn="0" w:lastRowFirstColumn="0" w:lastRowLastColumn="0"/>
            </w:pPr>
          </w:p>
        </w:tc>
      </w:tr>
      <w:tr w:rsidR="00E24A22" w:rsidRPr="00A974BA" w14:paraId="5383730A" w14:textId="77777777" w:rsidTr="008C29F3">
        <w:tc>
          <w:tcPr>
            <w:cnfStyle w:val="001000000000" w:firstRow="0" w:lastRow="0" w:firstColumn="1" w:lastColumn="0" w:oddVBand="0" w:evenVBand="0" w:oddHBand="0" w:evenHBand="0" w:firstRowFirstColumn="0" w:firstRowLastColumn="0" w:lastRowFirstColumn="0" w:lastRowLastColumn="0"/>
            <w:tcW w:w="2778" w:type="dxa"/>
          </w:tcPr>
          <w:p w14:paraId="23FDD5C1" w14:textId="4D0AAA54" w:rsidR="00E24A22" w:rsidRDefault="00E24A22" w:rsidP="00A3239A">
            <w:pPr>
              <w:pStyle w:val="Tablebody"/>
            </w:pPr>
            <w:r>
              <w:t>Experience fear as a result of</w:t>
            </w:r>
            <w:r w:rsidR="00AD187F">
              <w:t> </w:t>
            </w:r>
            <w:r>
              <w:t>domestic violence? (D15)</w:t>
            </w:r>
            <w:r w:rsidRPr="008C29F3">
              <w:rPr>
                <w:kern w:val="2"/>
                <w:sz w:val="20"/>
                <w:vertAlign w:val="superscript"/>
              </w:rPr>
              <w:t xml:space="preserve"> a</w:t>
            </w:r>
          </w:p>
        </w:tc>
        <w:tc>
          <w:tcPr>
            <w:tcW w:w="1531" w:type="dxa"/>
          </w:tcPr>
          <w:p w14:paraId="5BFE0934" w14:textId="1AF68D33" w:rsidR="00E24A22" w:rsidRDefault="00A862B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1%</w:t>
            </w:r>
          </w:p>
        </w:tc>
        <w:tc>
          <w:tcPr>
            <w:tcW w:w="1155" w:type="dxa"/>
          </w:tcPr>
          <w:p w14:paraId="3BB403A8" w14:textId="4944C4C1" w:rsidR="00E24A22" w:rsidRDefault="00E24A22" w:rsidP="00A3239A">
            <w:pPr>
              <w:pStyle w:val="Tablebody"/>
              <w:cnfStyle w:val="000000000000" w:firstRow="0" w:lastRow="0" w:firstColumn="0" w:lastColumn="0" w:oddVBand="0" w:evenVBand="0" w:oddHBand="0" w:evenHBand="0" w:firstRowFirstColumn="0" w:firstRowLastColumn="0" w:lastRowFirstColumn="0" w:lastRowLastColumn="0"/>
            </w:pPr>
            <w:r>
              <w:t>45%</w:t>
            </w:r>
          </w:p>
        </w:tc>
        <w:tc>
          <w:tcPr>
            <w:tcW w:w="1298" w:type="dxa"/>
          </w:tcPr>
          <w:p w14:paraId="03FD0FDD" w14:textId="4C966E0E" w:rsidR="00E24A22"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54%</w:t>
            </w:r>
          </w:p>
        </w:tc>
        <w:tc>
          <w:tcPr>
            <w:tcW w:w="1203" w:type="dxa"/>
          </w:tcPr>
          <w:p w14:paraId="1E563DDF" w14:textId="77777777" w:rsidR="00E24A22" w:rsidRPr="007E1C6F" w:rsidRDefault="00E24A22" w:rsidP="00A3239A">
            <w:pPr>
              <w:pStyle w:val="Tablebody"/>
              <w:cnfStyle w:val="000000000000" w:firstRow="0" w:lastRow="0" w:firstColumn="0" w:lastColumn="0" w:oddVBand="0" w:evenVBand="0" w:oddHBand="0" w:evenHBand="0" w:firstRowFirstColumn="0" w:firstRowLastColumn="0" w:lastRowFirstColumn="0" w:lastRowLastColumn="0"/>
            </w:pPr>
          </w:p>
        </w:tc>
        <w:tc>
          <w:tcPr>
            <w:tcW w:w="1474" w:type="dxa"/>
          </w:tcPr>
          <w:p w14:paraId="6D904A68" w14:textId="77777777" w:rsidR="00E24A22" w:rsidRPr="007E1C6F" w:rsidRDefault="00E24A22"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4B182A51" w14:textId="7A60BACB" w:rsidR="00E27DB9" w:rsidRPr="007D5CED" w:rsidRDefault="00E27DB9"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396. “Women” is the correct answer according to empirical evidence, including from the PSS (ABS, 2017; Australian</w:t>
      </w:r>
      <w:r w:rsidR="00AD187F">
        <w:t> </w:t>
      </w:r>
      <w:r w:rsidRPr="007D5CED">
        <w:t xml:space="preserve">Domestic and Family Violence Death Review Network &amp; ANROWS, 2022). Asked of one quarter of the sample in 2021. </w:t>
      </w:r>
    </w:p>
    <w:p w14:paraId="791C4E19" w14:textId="77777777" w:rsidR="00E27DB9" w:rsidRPr="007D5CED" w:rsidRDefault="00E27DB9" w:rsidP="00A3239A">
      <w:pPr>
        <w:pStyle w:val="Normal8pt"/>
      </w:pPr>
      <w:r w:rsidRPr="007D5CED">
        <w:rPr>
          <w:bCs/>
        </w:rPr>
        <w:t>*</w:t>
      </w:r>
      <w:r w:rsidRPr="007D5CED">
        <w:t xml:space="preserve"> Significantly lower understanding in 2021 than 2017. Change over time results are discussed in Section 4.1.</w:t>
      </w:r>
    </w:p>
    <w:p w14:paraId="78C0191E" w14:textId="75126CDD" w:rsidR="00E27DB9" w:rsidRPr="00E27DB9" w:rsidRDefault="00E27DB9" w:rsidP="00A3239A">
      <w:pPr>
        <w:pStyle w:val="Normal8pt"/>
      </w:pPr>
      <w:r w:rsidRPr="007D5CED">
        <w:rPr>
          <w:bCs/>
        </w:rPr>
        <w:t>a</w:t>
      </w:r>
      <w:r w:rsidRPr="007D5CED">
        <w:t xml:space="preserve"> Revised item in 2021. Thus, change over time could not be examined.</w:t>
      </w:r>
    </w:p>
    <w:p w14:paraId="60AD32F0" w14:textId="6DAD3BDA" w:rsidR="00476C16" w:rsidRDefault="007D5CED" w:rsidP="001C7C59">
      <w:pPr>
        <w:pStyle w:val="Quote"/>
        <w:spacing w:before="240"/>
      </w:pPr>
      <w:r w:rsidRPr="007D5CED">
        <w:t>That 45 per cent [of young people think both men and women equally experience fear as a result of domestic violence] is really big, and it kind of says to me that people are being, like, “oh no, men can experience fear too”. And that, you know, the full spectrum of human emotions can be accessed by men and can be</w:t>
      </w:r>
      <w:r w:rsidR="00AD187F">
        <w:t> </w:t>
      </w:r>
      <w:r w:rsidRPr="007D5CED">
        <w:t>articulated. So I think that might go a way to explain that.</w:t>
      </w:r>
    </w:p>
    <w:p w14:paraId="3072D637" w14:textId="5AB2D2F1" w:rsidR="007D5CED" w:rsidRPr="007D5CED" w:rsidRDefault="007D5CED" w:rsidP="0084332B">
      <w:pPr>
        <w:pStyle w:val="QuoteSignatureLine"/>
        <w:rPr>
          <w:rFonts w:ascii="Hind Medium" w:hAnsi="Hind Medium" w:cs="Hind Medium"/>
        </w:rPr>
      </w:pPr>
      <w:r w:rsidRPr="007D5CED">
        <w:t>– Youth Ambassador</w:t>
      </w:r>
    </w:p>
    <w:p w14:paraId="4090C69C" w14:textId="7170EA5C" w:rsidR="007D5CED" w:rsidRPr="007D5CED" w:rsidRDefault="007D5CED" w:rsidP="00DC3FE8">
      <w:pPr>
        <w:pStyle w:val="Heading3"/>
      </w:pPr>
      <w:bookmarkStart w:id="116" w:name="_Toc152532392"/>
      <w:bookmarkStart w:id="117" w:name="_Toc190941678"/>
      <w:bookmarkStart w:id="118" w:name="_Toc190942378"/>
      <w:r w:rsidRPr="007D5CED">
        <w:t>4.3</w:t>
      </w:r>
      <w:r w:rsidR="001C7C59">
        <w:t xml:space="preserve"> </w:t>
      </w:r>
      <w:r w:rsidRPr="007D5CED">
        <w:t>Comparing by gender: Young people’s understanding of violence against women</w:t>
      </w:r>
      <w:bookmarkEnd w:id="116"/>
      <w:bookmarkEnd w:id="117"/>
      <w:bookmarkEnd w:id="118"/>
    </w:p>
    <w:p w14:paraId="0D202538" w14:textId="13561639" w:rsidR="007D5CED" w:rsidRPr="007D5CED" w:rsidRDefault="007D5CED" w:rsidP="00A3239A">
      <w:pPr>
        <w:rPr>
          <w:lang w:val="en-GB"/>
        </w:rPr>
      </w:pPr>
      <w:r w:rsidRPr="007D5CED">
        <w:rPr>
          <w:lang w:val="en-GB"/>
        </w:rPr>
        <w:t>There were some similarities between young women and young men respondents’ understanding of</w:t>
      </w:r>
      <w:r w:rsidR="008D07A5">
        <w:rPr>
          <w:lang w:val="en-GB"/>
        </w:rPr>
        <w:t> </w:t>
      </w:r>
      <w:r w:rsidRPr="007D5CED">
        <w:rPr>
          <w:lang w:val="en-GB"/>
        </w:rPr>
        <w:t>violence against women. The decline in young respondents’ understanding of the gendered nature of domestic violence since 2013 was evident for both young men and young women, based on the two items that were asked over this period (D13, D14). In addition, in 2021, young women and young men demonstrated similar levels of understanding of the gendered nature of domestic violence, based</w:t>
      </w:r>
      <w:r w:rsidR="008D07A5">
        <w:rPr>
          <w:lang w:val="en-GB"/>
        </w:rPr>
        <w:t> </w:t>
      </w:r>
      <w:r w:rsidRPr="007D5CED">
        <w:rPr>
          <w:lang w:val="en-GB"/>
        </w:rPr>
        <w:t>on</w:t>
      </w:r>
      <w:r w:rsidR="008D07A5">
        <w:rPr>
          <w:lang w:val="en-GB"/>
        </w:rPr>
        <w:t> </w:t>
      </w:r>
      <w:r w:rsidRPr="007D5CED">
        <w:rPr>
          <w:lang w:val="en-GB"/>
        </w:rPr>
        <w:t>the Understand Gendered DV Subscale.</w:t>
      </w:r>
    </w:p>
    <w:p w14:paraId="254080F4" w14:textId="10E77F5C" w:rsidR="007D5CED" w:rsidRPr="007D5CED" w:rsidRDefault="007D5CED" w:rsidP="00A3239A">
      <w:pPr>
        <w:rPr>
          <w:lang w:val="en-GB"/>
        </w:rPr>
      </w:pPr>
      <w:r w:rsidRPr="007D5CED">
        <w:rPr>
          <w:lang w:val="en-GB"/>
        </w:rPr>
        <w:t>However, there were also gender differences in the understanding of violence against women, which</w:t>
      </w:r>
      <w:r w:rsidR="008D07A5">
        <w:rPr>
          <w:lang w:val="en-GB"/>
        </w:rPr>
        <w:t> </w:t>
      </w:r>
      <w:r w:rsidRPr="007D5CED">
        <w:rPr>
          <w:lang w:val="en-GB"/>
        </w:rPr>
        <w:t>were all in the direction of young women demonstrating better understanding than young men. In 2021, young women respondents had significantly higher understanding of violence against women overall than young men respondents, based on mean UVAWS scores. This finding for the overall scale was reflected in two of the three UVAWS subscales (Figure 4-6). Specifically, compared to young men, young women had significantly greater recognition of the behaviours that constitute domestic violence and violence against women more broadly, according to the Recognise DV and Recognise VAW</w:t>
      </w:r>
      <w:r w:rsidR="008D07A5">
        <w:rPr>
          <w:lang w:val="en-GB"/>
        </w:rPr>
        <w:t> </w:t>
      </w:r>
      <w:r w:rsidRPr="007D5CED">
        <w:rPr>
          <w:lang w:val="en-GB"/>
        </w:rPr>
        <w:t>Subscales.</w:t>
      </w:r>
    </w:p>
    <w:p w14:paraId="369FDF8B" w14:textId="77777777" w:rsidR="007D5CED" w:rsidRPr="00353390" w:rsidRDefault="007D5CED" w:rsidP="00A3239A">
      <w:pPr>
        <w:rPr>
          <w:lang w:val="en-US"/>
        </w:rPr>
      </w:pPr>
      <w:r w:rsidRPr="007D5CED">
        <w:rPr>
          <w:lang w:val="en-GB"/>
        </w:rPr>
        <w:t>We also compared young non-binary respondents with both young women and young men respondents on the UVAWS as a whole and on two of the three UVAWS subscales – the Recognise DV Subscale and Recognise VAW Subscale. Young non-binary respondents were not significantly different from young women or young men respondents on the UVAWS or its subscales.</w:t>
      </w:r>
      <w:r w:rsidRPr="00476C16">
        <w:rPr>
          <w:rStyle w:val="FootnoteReference"/>
        </w:rPr>
        <w:footnoteReference w:id="18"/>
      </w:r>
    </w:p>
    <w:p w14:paraId="64332BAF" w14:textId="29DE06D8" w:rsidR="00476C16" w:rsidRDefault="007D5CED" w:rsidP="001C7C59">
      <w:pPr>
        <w:pStyle w:val="Quote"/>
        <w:spacing w:before="240"/>
      </w:pPr>
      <w:r w:rsidRPr="007D5CED">
        <w:t>A lot of the men that I have supported through work and things have said things like the first comment they’ve received is, like, “oh, I wouldn’t expect someone like you to go through this”. Or … an outgoing, extroverted, non-binary person … said to me, “when I called victim services or, like, [tried] to tell my friends that I was actually going through something, I needed help and I needed them to get me out of there [the response] was, ‘oh, we didn’t expect someone like you to go through this’ or ‘you seem fine’.</w:t>
      </w:r>
      <w:r w:rsidR="00C84D75">
        <w:t>”</w:t>
      </w:r>
    </w:p>
    <w:p w14:paraId="2E4F953D" w14:textId="1A1FC06D" w:rsidR="007D5CED" w:rsidRDefault="007D5CED" w:rsidP="0084332B">
      <w:pPr>
        <w:pStyle w:val="QuoteSignatureLine"/>
      </w:pPr>
      <w:r w:rsidRPr="007D5CED">
        <w:t>– Youth Ambassador</w:t>
      </w:r>
    </w:p>
    <w:p w14:paraId="7C582A65" w14:textId="08CA546F" w:rsidR="007D5CED" w:rsidRPr="007D5CED" w:rsidRDefault="00430BE2" w:rsidP="002A2C0C">
      <w:pPr>
        <w:pStyle w:val="figuretableheading"/>
      </w:pPr>
      <w:bookmarkStart w:id="119" w:name="_Toc187401244"/>
      <w:r>
        <w:lastRenderedPageBreak/>
        <w:t xml:space="preserve">Figure </w:t>
      </w:r>
      <w:r w:rsidR="005B3A89">
        <w:fldChar w:fldCharType="begin"/>
      </w:r>
      <w:r w:rsidR="005B3A89">
        <w:instrText xml:space="preserve"> STYLEREF 1 \s </w:instrText>
      </w:r>
      <w:r w:rsidR="005B3A89">
        <w:fldChar w:fldCharType="separate"/>
      </w:r>
      <w:r w:rsidR="005B3A89">
        <w:t>4</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6</w:t>
      </w:r>
      <w:r w:rsidR="005B3A89">
        <w:fldChar w:fldCharType="end"/>
      </w:r>
      <w:r w:rsidR="007D5CED" w:rsidRPr="007D5CED">
        <w:t>: Understanding of different aspects of violence against women (UVAWS and subscales) by gender, 16-</w:t>
      </w:r>
      <w:r w:rsidR="00AD187F">
        <w:t> </w:t>
      </w:r>
      <w:r w:rsidR="007D5CED" w:rsidRPr="007D5CED">
        <w:t>to</w:t>
      </w:r>
      <w:r w:rsidR="00AD187F">
        <w:t> </w:t>
      </w:r>
      <w:r w:rsidR="007D5CED" w:rsidRPr="007D5CED">
        <w:t>24</w:t>
      </w:r>
      <w:r w:rsidR="00AD187F">
        <w:noBreakHyphen/>
      </w:r>
      <w:r w:rsidR="007D5CED" w:rsidRPr="007D5CED">
        <w:t>year-olds, 2021</w:t>
      </w:r>
      <w:bookmarkEnd w:id="119"/>
    </w:p>
    <w:p w14:paraId="5D5F663E" w14:textId="53D2C78D" w:rsidR="007D5CED" w:rsidRPr="007D5CED" w:rsidRDefault="00D63FDF" w:rsidP="00A3239A">
      <w:pPr>
        <w:spacing w:before="0"/>
        <w:rPr>
          <w:lang w:val="en-GB"/>
        </w:rPr>
      </w:pPr>
      <w:r>
        <w:rPr>
          <w:noProof/>
          <w:lang w:val="en-GB"/>
        </w:rPr>
        <w:drawing>
          <wp:inline distT="0" distB="0" distL="0" distR="0" wp14:anchorId="583E5259" wp14:editId="0D9FFF73">
            <wp:extent cx="6120130" cy="3232785"/>
            <wp:effectExtent l="0" t="0" r="0" b="5715"/>
            <wp:docPr id="889130501" name="Immagine 16" descr="This is a bar graph that shows the 16 to 24 years old respondents' understanding of violence against women using UVAWS and subscales. The data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30501" name="Immagine 16" descr="This is a bar graph that shows the 16 to 24 years old respondents' understanding of violence against women using UVAWS and subscales. The data in this graph is in the table below.&#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232785"/>
                    </a:xfrm>
                    <a:prstGeom prst="rect">
                      <a:avLst/>
                    </a:prstGeom>
                  </pic:spPr>
                </pic:pic>
              </a:graphicData>
            </a:graphic>
          </wp:inline>
        </w:drawing>
      </w:r>
    </w:p>
    <w:p w14:paraId="7089B7B6" w14:textId="14EE9C26" w:rsidR="005A582A" w:rsidRPr="005A582A" w:rsidRDefault="005A582A" w:rsidP="002A2C0C">
      <w:pPr>
        <w:pStyle w:val="datatableheading"/>
      </w:pPr>
      <w:r>
        <w:t>Data table for figure 4-6</w:t>
      </w:r>
      <w:r w:rsidR="001B3C28">
        <w:t xml:space="preserve">: </w:t>
      </w:r>
      <w:r w:rsidR="0056216C">
        <w:t>Understanding violence against women (mean score)</w:t>
      </w:r>
    </w:p>
    <w:tbl>
      <w:tblPr>
        <w:tblStyle w:val="Table-SingleHeaderRow"/>
        <w:tblW w:w="0" w:type="auto"/>
        <w:tblLook w:val="04A0" w:firstRow="1" w:lastRow="0" w:firstColumn="1" w:lastColumn="0" w:noHBand="0" w:noVBand="1"/>
      </w:tblPr>
      <w:tblGrid>
        <w:gridCol w:w="2012"/>
        <w:gridCol w:w="1813"/>
        <w:gridCol w:w="1704"/>
        <w:gridCol w:w="1417"/>
        <w:gridCol w:w="2410"/>
      </w:tblGrid>
      <w:tr w:rsidR="00CB7945" w:rsidRPr="00A862BB" w14:paraId="1605113C" w14:textId="77777777" w:rsidTr="00CB79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2" w:type="dxa"/>
          </w:tcPr>
          <w:p w14:paraId="0E11992B" w14:textId="77777777" w:rsidR="00CB7945" w:rsidRPr="008E6594" w:rsidRDefault="00CB7945" w:rsidP="00A3239A">
            <w:pPr>
              <w:pStyle w:val="Tablebody"/>
              <w:rPr>
                <w:b w:val="0"/>
                <w:bCs/>
              </w:rPr>
            </w:pPr>
          </w:p>
        </w:tc>
        <w:tc>
          <w:tcPr>
            <w:tcW w:w="1813" w:type="dxa"/>
          </w:tcPr>
          <w:p w14:paraId="542DB873" w14:textId="5515D8AD" w:rsidR="00CB7945" w:rsidRPr="00A862B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Total UVAWS</w:t>
            </w:r>
            <w:r w:rsidRPr="00A862BB" w:rsidDel="00A862BB">
              <w:rPr>
                <w:bCs/>
              </w:rPr>
              <w:t xml:space="preserve"> </w:t>
            </w:r>
          </w:p>
        </w:tc>
        <w:tc>
          <w:tcPr>
            <w:tcW w:w="1704" w:type="dxa"/>
          </w:tcPr>
          <w:p w14:paraId="7909E599" w14:textId="42264116" w:rsidR="00CB7945" w:rsidRPr="00A862B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Recognise DV Subscale</w:t>
            </w:r>
            <w:r w:rsidRPr="00A862BB">
              <w:rPr>
                <w:bCs/>
              </w:rPr>
              <w:t xml:space="preserve"> </w:t>
            </w:r>
          </w:p>
        </w:tc>
        <w:tc>
          <w:tcPr>
            <w:tcW w:w="1417" w:type="dxa"/>
          </w:tcPr>
          <w:p w14:paraId="0BBA05E9" w14:textId="509BB378" w:rsidR="00CB7945" w:rsidRPr="00A862B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Recognise VAW Subscale</w:t>
            </w:r>
            <w:r w:rsidRPr="00A862BB" w:rsidDel="00A862BB">
              <w:rPr>
                <w:bCs/>
              </w:rPr>
              <w:t xml:space="preserve"> </w:t>
            </w:r>
          </w:p>
        </w:tc>
        <w:tc>
          <w:tcPr>
            <w:tcW w:w="2410" w:type="dxa"/>
          </w:tcPr>
          <w:p w14:paraId="7A8181B3" w14:textId="0040F191" w:rsidR="00CB7945" w:rsidRPr="00A862BB" w:rsidRDefault="00A862B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Understand Gendered DV Subscale</w:t>
            </w:r>
            <w:r w:rsidRPr="00A862BB">
              <w:rPr>
                <w:bCs/>
              </w:rPr>
              <w:t xml:space="preserve"> </w:t>
            </w:r>
          </w:p>
        </w:tc>
      </w:tr>
      <w:tr w:rsidR="00CB7945" w:rsidRPr="007E1C6F" w14:paraId="2A86F950" w14:textId="77777777" w:rsidTr="00CB7945">
        <w:tc>
          <w:tcPr>
            <w:cnfStyle w:val="001000000000" w:firstRow="0" w:lastRow="0" w:firstColumn="1" w:lastColumn="0" w:oddVBand="0" w:evenVBand="0" w:oddHBand="0" w:evenHBand="0" w:firstRowFirstColumn="0" w:firstRowLastColumn="0" w:lastRowFirstColumn="0" w:lastRowLastColumn="0"/>
            <w:tcW w:w="2012" w:type="dxa"/>
          </w:tcPr>
          <w:p w14:paraId="5B72F772" w14:textId="567FFB86" w:rsidR="00CB7945" w:rsidRPr="00A862BB" w:rsidRDefault="00A862BB" w:rsidP="00A3239A">
            <w:pPr>
              <w:pStyle w:val="Tablebody"/>
            </w:pPr>
            <w:r w:rsidRPr="00A862BB">
              <w:t>All young persons</w:t>
            </w:r>
          </w:p>
        </w:tc>
        <w:tc>
          <w:tcPr>
            <w:tcW w:w="1813" w:type="dxa"/>
          </w:tcPr>
          <w:p w14:paraId="648BC9A5" w14:textId="73A04A16" w:rsidR="00CB7945" w:rsidRPr="007E1C6F" w:rsidRDefault="005A582A"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66</w:t>
            </w:r>
          </w:p>
        </w:tc>
        <w:tc>
          <w:tcPr>
            <w:tcW w:w="1704" w:type="dxa"/>
          </w:tcPr>
          <w:p w14:paraId="61C3BB19" w14:textId="7CE89633" w:rsidR="00CB7945"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417" w:type="dxa"/>
          </w:tcPr>
          <w:p w14:paraId="2CED8719" w14:textId="1B79DDB3" w:rsidR="00CB7945" w:rsidRPr="007E1C6F"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2410" w:type="dxa"/>
          </w:tcPr>
          <w:p w14:paraId="2F649BD5" w14:textId="0F359A34" w:rsidR="00CB7945" w:rsidRPr="007E1C6F"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62</w:t>
            </w:r>
          </w:p>
        </w:tc>
      </w:tr>
      <w:tr w:rsidR="00CB7945" w:rsidRPr="007E1C6F" w14:paraId="6234B16F" w14:textId="77777777" w:rsidTr="00CB7945">
        <w:tc>
          <w:tcPr>
            <w:cnfStyle w:val="001000000000" w:firstRow="0" w:lastRow="0" w:firstColumn="1" w:lastColumn="0" w:oddVBand="0" w:evenVBand="0" w:oddHBand="0" w:evenHBand="0" w:firstRowFirstColumn="0" w:firstRowLastColumn="0" w:lastRowFirstColumn="0" w:lastRowLastColumn="0"/>
            <w:tcW w:w="2012" w:type="dxa"/>
          </w:tcPr>
          <w:p w14:paraId="17173A85" w14:textId="06E13833" w:rsidR="00CB7945" w:rsidRPr="00A862BB" w:rsidRDefault="00A862BB" w:rsidP="00A3239A">
            <w:pPr>
              <w:pStyle w:val="Tablebody"/>
            </w:pPr>
            <w:r w:rsidRPr="008C29F3">
              <w:t>Young men</w:t>
            </w:r>
            <w:r w:rsidRPr="00A862BB" w:rsidDel="00A862BB">
              <w:t xml:space="preserve"> </w:t>
            </w:r>
          </w:p>
        </w:tc>
        <w:tc>
          <w:tcPr>
            <w:tcW w:w="1813" w:type="dxa"/>
          </w:tcPr>
          <w:p w14:paraId="712CCC97" w14:textId="4C629984" w:rsidR="00CB7945" w:rsidRDefault="00A862B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65</w:t>
            </w:r>
          </w:p>
        </w:tc>
        <w:tc>
          <w:tcPr>
            <w:tcW w:w="1704" w:type="dxa"/>
          </w:tcPr>
          <w:p w14:paraId="5EB1B99C" w14:textId="5063EC7E" w:rsidR="00CB7945" w:rsidRDefault="005A582A"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417" w:type="dxa"/>
          </w:tcPr>
          <w:p w14:paraId="632A8025" w14:textId="0B1D201B" w:rsidR="00CB7945"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2410" w:type="dxa"/>
          </w:tcPr>
          <w:p w14:paraId="7082E98C" w14:textId="6010C94B" w:rsidR="00CB7945"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62</w:t>
            </w:r>
          </w:p>
        </w:tc>
      </w:tr>
      <w:tr w:rsidR="00CB7945" w:rsidRPr="007E1C6F" w14:paraId="47CA77D7" w14:textId="77777777" w:rsidTr="00CB7945">
        <w:tc>
          <w:tcPr>
            <w:cnfStyle w:val="001000000000" w:firstRow="0" w:lastRow="0" w:firstColumn="1" w:lastColumn="0" w:oddVBand="0" w:evenVBand="0" w:oddHBand="0" w:evenHBand="0" w:firstRowFirstColumn="0" w:firstRowLastColumn="0" w:lastRowFirstColumn="0" w:lastRowLastColumn="0"/>
            <w:tcW w:w="2012" w:type="dxa"/>
          </w:tcPr>
          <w:p w14:paraId="13869DB8" w14:textId="0785E549" w:rsidR="00CB7945" w:rsidRPr="00A862BB" w:rsidRDefault="00A862BB" w:rsidP="00A3239A">
            <w:pPr>
              <w:pStyle w:val="Tablebody"/>
            </w:pPr>
            <w:r w:rsidRPr="00A862BB">
              <w:t>Young women</w:t>
            </w:r>
          </w:p>
        </w:tc>
        <w:tc>
          <w:tcPr>
            <w:tcW w:w="1813" w:type="dxa"/>
          </w:tcPr>
          <w:p w14:paraId="2E5D46A1" w14:textId="6A54D041" w:rsidR="00CB7945" w:rsidRDefault="00A862B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68*</w:t>
            </w:r>
          </w:p>
        </w:tc>
        <w:tc>
          <w:tcPr>
            <w:tcW w:w="1704" w:type="dxa"/>
          </w:tcPr>
          <w:p w14:paraId="4B6B5D76" w14:textId="21C724FF" w:rsidR="00CB7945"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69*</w:t>
            </w:r>
          </w:p>
        </w:tc>
        <w:tc>
          <w:tcPr>
            <w:tcW w:w="1417" w:type="dxa"/>
          </w:tcPr>
          <w:p w14:paraId="70ED62F0" w14:textId="48C5B161" w:rsidR="00CB7945" w:rsidRDefault="005A582A"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2410" w:type="dxa"/>
          </w:tcPr>
          <w:p w14:paraId="5DF980AE" w14:textId="2B4B2D61" w:rsidR="00CB7945" w:rsidRDefault="005A582A" w:rsidP="00A3239A">
            <w:pPr>
              <w:pStyle w:val="Tablebody"/>
              <w:cnfStyle w:val="000000000000" w:firstRow="0" w:lastRow="0" w:firstColumn="0" w:lastColumn="0" w:oddVBand="0" w:evenVBand="0" w:oddHBand="0" w:evenHBand="0" w:firstRowFirstColumn="0" w:firstRowLastColumn="0" w:lastRowFirstColumn="0" w:lastRowLastColumn="0"/>
            </w:pPr>
            <w:r>
              <w:t>6</w:t>
            </w:r>
            <w:r w:rsidR="00A862BB">
              <w:t>3</w:t>
            </w:r>
          </w:p>
        </w:tc>
      </w:tr>
      <w:tr w:rsidR="00CB7945" w:rsidRPr="007E1C6F" w14:paraId="7D87B4C7" w14:textId="77777777" w:rsidTr="00CB7945">
        <w:tc>
          <w:tcPr>
            <w:cnfStyle w:val="001000000000" w:firstRow="0" w:lastRow="0" w:firstColumn="1" w:lastColumn="0" w:oddVBand="0" w:evenVBand="0" w:oddHBand="0" w:evenHBand="0" w:firstRowFirstColumn="0" w:firstRowLastColumn="0" w:lastRowFirstColumn="0" w:lastRowLastColumn="0"/>
            <w:tcW w:w="2012" w:type="dxa"/>
          </w:tcPr>
          <w:p w14:paraId="37F4DB17" w14:textId="253E86A9" w:rsidR="00CB7945" w:rsidRPr="00A862BB" w:rsidRDefault="00A862BB" w:rsidP="00A3239A">
            <w:pPr>
              <w:pStyle w:val="Tablebody"/>
            </w:pPr>
            <w:r w:rsidRPr="008C29F3">
              <w:t>Young non-binary respond</w:t>
            </w:r>
            <w:r>
              <w:t>ents</w:t>
            </w:r>
          </w:p>
        </w:tc>
        <w:tc>
          <w:tcPr>
            <w:tcW w:w="1813" w:type="dxa"/>
          </w:tcPr>
          <w:p w14:paraId="4785C6BD" w14:textId="566E50B4" w:rsidR="00CB7945" w:rsidRDefault="00A862BB"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67</w:t>
            </w:r>
          </w:p>
        </w:tc>
        <w:tc>
          <w:tcPr>
            <w:tcW w:w="1704" w:type="dxa"/>
          </w:tcPr>
          <w:p w14:paraId="72262224" w14:textId="57D37263" w:rsidR="00CB7945" w:rsidRDefault="00A862BB"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1417" w:type="dxa"/>
          </w:tcPr>
          <w:p w14:paraId="3BF8A4FB" w14:textId="239A787F" w:rsidR="00CB7945" w:rsidRDefault="005A582A" w:rsidP="00A3239A">
            <w:pPr>
              <w:pStyle w:val="Tablebody"/>
              <w:cnfStyle w:val="000000000000" w:firstRow="0" w:lastRow="0" w:firstColumn="0" w:lastColumn="0" w:oddVBand="0" w:evenVBand="0" w:oddHBand="0" w:evenHBand="0" w:firstRowFirstColumn="0" w:firstRowLastColumn="0" w:lastRowFirstColumn="0" w:lastRowLastColumn="0"/>
            </w:pPr>
            <w:r>
              <w:t>6</w:t>
            </w:r>
            <w:r w:rsidR="00A862BB">
              <w:t>7</w:t>
            </w:r>
          </w:p>
        </w:tc>
        <w:tc>
          <w:tcPr>
            <w:tcW w:w="2410" w:type="dxa"/>
          </w:tcPr>
          <w:p w14:paraId="4CDE0C39" w14:textId="77777777" w:rsidR="00CB7945" w:rsidRDefault="00CB7945"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75077584" w14:textId="4C6EBD14" w:rsidR="00E27DB9" w:rsidRPr="007D5CED" w:rsidRDefault="00E27DB9" w:rsidP="00A3239A">
      <w:pPr>
        <w:pStyle w:val="Normal8pt"/>
      </w:pPr>
      <w:r w:rsidRPr="008C29F3">
        <w:rPr>
          <w:b/>
        </w:rPr>
        <w:t>Note</w:t>
      </w:r>
      <w:r w:rsidRPr="007D5CED">
        <w:rPr>
          <w:bCs/>
        </w:rPr>
        <w:t xml:space="preserve">: </w:t>
      </w:r>
      <w:r w:rsidRPr="0073256E">
        <w:rPr>
          <w:rStyle w:val="Emphasis"/>
        </w:rPr>
        <w:t>N</w:t>
      </w:r>
      <w:r w:rsidRPr="007D5CED">
        <w:t xml:space="preserve"> = 1,664 unless otherwise noted. </w:t>
      </w:r>
    </w:p>
    <w:p w14:paraId="3A344FC0" w14:textId="77777777" w:rsidR="00E27DB9" w:rsidRPr="007D5CED" w:rsidRDefault="00E27DB9" w:rsidP="00A3239A">
      <w:pPr>
        <w:pStyle w:val="Normal8pt"/>
      </w:pPr>
      <w:r w:rsidRPr="007D5CED">
        <w:rPr>
          <w:bCs/>
        </w:rPr>
        <w:t>*</w:t>
      </w:r>
      <w:r w:rsidRPr="007D5CED">
        <w:t xml:space="preserve"> Statistically significant difference compared to young men on the UVAWS or the subscale indicated.</w:t>
      </w:r>
    </w:p>
    <w:p w14:paraId="14EC84EE" w14:textId="0935A957" w:rsidR="00CB7945" w:rsidRPr="00E27DB9" w:rsidRDefault="00E27DB9" w:rsidP="00A3239A">
      <w:pPr>
        <w:pStyle w:val="Normal8pt"/>
      </w:pPr>
      <w:r w:rsidRPr="007D5CED">
        <w:rPr>
          <w:rFonts w:ascii="Montserrat" w:hAnsi="Montserrat" w:cs="Montserrat"/>
          <w:bCs/>
        </w:rPr>
        <w:t>~</w:t>
      </w:r>
      <w:r w:rsidRPr="007D5CED">
        <w:t xml:space="preserve"> Asked of one quarter of the sample. Results for young non-binary respondents are not reported for this</w:t>
      </w:r>
      <w:r w:rsidRPr="0073256E">
        <w:rPr>
          <w:rStyle w:val="Emphasis"/>
        </w:rPr>
        <w:t xml:space="preserve"> </w:t>
      </w:r>
      <w:r w:rsidRPr="007D5CED">
        <w:t>subscale</w:t>
      </w:r>
      <w:r w:rsidRPr="0073256E">
        <w:rPr>
          <w:rStyle w:val="Emphasis"/>
        </w:rPr>
        <w:t xml:space="preserve"> </w:t>
      </w:r>
      <w:r w:rsidRPr="007D5CED">
        <w:t>due to</w:t>
      </w:r>
      <w:r w:rsidR="009E6FFC">
        <w:t> </w:t>
      </w:r>
      <w:r w:rsidRPr="007D5CED">
        <w:t xml:space="preserve">insufficient numbers. </w:t>
      </w:r>
    </w:p>
    <w:p w14:paraId="3E894580" w14:textId="456C6A04" w:rsidR="007D5CED" w:rsidRPr="007D5CED" w:rsidRDefault="007D5CED" w:rsidP="00A3239A">
      <w:pPr>
        <w:rPr>
          <w:vertAlign w:val="superscript"/>
          <w:lang w:val="en-GB"/>
        </w:rPr>
      </w:pPr>
      <w:r w:rsidRPr="007D5CED">
        <w:rPr>
          <w:lang w:val="en-GB"/>
        </w:rPr>
        <w:t>Table 15-1 in Appendix C presents item-level differences between young women and young men respondents regarding understanding of violence.</w:t>
      </w:r>
      <w:r w:rsidR="009E6FFC">
        <w:rPr>
          <w:lang w:val="en-GB"/>
        </w:rPr>
        <w:t xml:space="preserve"> </w:t>
      </w:r>
      <w:r w:rsidRPr="007D5CED">
        <w:rPr>
          <w:vertAlign w:val="superscript"/>
          <w:lang w:val="en-GB"/>
        </w:rPr>
        <w:footnoteReference w:id="19"/>
      </w:r>
      <w:r w:rsidRPr="007D5CED">
        <w:rPr>
          <w:lang w:val="en-GB"/>
        </w:rPr>
        <w:t xml:space="preserve"> The gender difference for the Recognise DV Subscale as a whole was reflected at the item level, with young women respondents being significantly more likely than young men respondents to identify six of the 12 behaviours as domestic violence. For</w:t>
      </w:r>
      <w:r w:rsidR="00AD187F">
        <w:rPr>
          <w:lang w:val="en-GB"/>
        </w:rPr>
        <w:t> </w:t>
      </w:r>
      <w:r w:rsidRPr="007D5CED">
        <w:rPr>
          <w:lang w:val="en-GB"/>
        </w:rPr>
        <w:t>example, young women were significantly more likely to recognise the following behaviours as</w:t>
      </w:r>
      <w:r w:rsidR="00AD187F">
        <w:rPr>
          <w:lang w:val="en-GB"/>
        </w:rPr>
        <w:t> </w:t>
      </w:r>
      <w:r w:rsidRPr="007D5CED">
        <w:rPr>
          <w:lang w:val="en-GB"/>
        </w:rPr>
        <w:t>“always” forms of domestic violence: emotional abuse (65% versus 53%; D3), financial abuse (68%</w:t>
      </w:r>
      <w:r w:rsidR="00AD187F">
        <w:rPr>
          <w:lang w:val="en-GB"/>
        </w:rPr>
        <w:t> </w:t>
      </w:r>
      <w:r w:rsidRPr="007D5CED">
        <w:rPr>
          <w:lang w:val="en-GB"/>
        </w:rPr>
        <w:t>versus 52%; D5), social isolation (77% versus 64%; D4), controlling behaviours that target an</w:t>
      </w:r>
      <w:r w:rsidR="00AD187F">
        <w:rPr>
          <w:lang w:val="en-GB"/>
        </w:rPr>
        <w:t> </w:t>
      </w:r>
      <w:r w:rsidRPr="007D5CED">
        <w:rPr>
          <w:lang w:val="en-GB"/>
        </w:rPr>
        <w:t>aspect of</w:t>
      </w:r>
      <w:r w:rsidR="00AD187F">
        <w:rPr>
          <w:lang w:val="en-GB"/>
        </w:rPr>
        <w:t> </w:t>
      </w:r>
      <w:r w:rsidRPr="007D5CED">
        <w:rPr>
          <w:lang w:val="en-GB"/>
        </w:rPr>
        <w:t>their partner’s identity such as their disability (66% versus 55%; D7) or their gender experience (74% versus 62%; D11), and technology-facilitated abuse (72% versus 57%; D6).</w:t>
      </w:r>
      <w:r w:rsidRPr="007D5CED">
        <w:rPr>
          <w:vertAlign w:val="superscript"/>
          <w:lang w:val="en-GB"/>
        </w:rPr>
        <w:footnoteReference w:id="20"/>
      </w:r>
    </w:p>
    <w:p w14:paraId="333C14B2" w14:textId="3466ACC3" w:rsidR="007D5CED" w:rsidRPr="007D5CED" w:rsidRDefault="007D5CED" w:rsidP="00A3239A">
      <w:pPr>
        <w:rPr>
          <w:vertAlign w:val="superscript"/>
          <w:lang w:val="en-GB"/>
        </w:rPr>
      </w:pPr>
      <w:r w:rsidRPr="007D5CED">
        <w:rPr>
          <w:lang w:val="en-GB"/>
        </w:rPr>
        <w:t xml:space="preserve">Similarly, the gender difference seen for the Recognise VAW Subscale was also evident at the item level. Young women were significantly more likely than young men to recognise two of the four behaviours described in the subscale as “always” forms of violence against women: harassment via repeated emails or text messages (67% versus 54%; V5) and abusive messages targeted at women on social media (68% </w:t>
      </w:r>
      <w:r w:rsidRPr="007D5CED">
        <w:rPr>
          <w:lang w:val="en-GB"/>
        </w:rPr>
        <w:lastRenderedPageBreak/>
        <w:t>versus 54%; V6). Young men were also significantly more likely than young women to</w:t>
      </w:r>
      <w:r w:rsidR="00AD187F">
        <w:rPr>
          <w:lang w:val="en-GB"/>
        </w:rPr>
        <w:t> </w:t>
      </w:r>
      <w:r w:rsidRPr="007D5CED">
        <w:rPr>
          <w:lang w:val="en-GB"/>
        </w:rPr>
        <w:t>believe that these behaviours, as well as stalking (V4), are not forms of violence against women.</w:t>
      </w:r>
      <w:r w:rsidRPr="007D5CED">
        <w:rPr>
          <w:vertAlign w:val="superscript"/>
          <w:lang w:val="en-GB"/>
        </w:rPr>
        <w:footnoteReference w:id="21"/>
      </w:r>
    </w:p>
    <w:p w14:paraId="22F2B84C" w14:textId="7D3E0759" w:rsidR="007D5CED" w:rsidRPr="007D5CED" w:rsidRDefault="007D5CED" w:rsidP="00A3239A">
      <w:pPr>
        <w:rPr>
          <w:lang w:val="en-GB"/>
        </w:rPr>
      </w:pPr>
      <w:r w:rsidRPr="007D5CED">
        <w:rPr>
          <w:lang w:val="en-GB"/>
        </w:rPr>
        <w:t>Similarly, young women (83%) were significantly more likely than young men (66%) to correctly agree (“strongly” or “somewhat”) that women are more likely to be raped by someone they know than by</w:t>
      </w:r>
      <w:r w:rsidR="00AD187F">
        <w:rPr>
          <w:lang w:val="en-GB"/>
        </w:rPr>
        <w:t> </w:t>
      </w:r>
      <w:r w:rsidRPr="007D5CED">
        <w:rPr>
          <w:lang w:val="en-GB"/>
        </w:rPr>
        <w:t>a</w:t>
      </w:r>
      <w:r w:rsidR="00AD187F" w:rsidRPr="00EA1044">
        <w:rPr>
          <w:lang w:val="en-AU"/>
        </w:rPr>
        <w:t> </w:t>
      </w:r>
      <w:r w:rsidRPr="007D5CED">
        <w:rPr>
          <w:lang w:val="en-GB"/>
        </w:rPr>
        <w:t>stranger (S16).</w:t>
      </w:r>
      <w:r w:rsidRPr="007D5CED">
        <w:rPr>
          <w:vertAlign w:val="superscript"/>
          <w:lang w:val="en-GB"/>
        </w:rPr>
        <w:footnoteReference w:id="22"/>
      </w:r>
      <w:r w:rsidRPr="007D5CED">
        <w:rPr>
          <w:lang w:val="en-GB"/>
        </w:rPr>
        <w:t xml:space="preserve"> </w:t>
      </w:r>
    </w:p>
    <w:p w14:paraId="549507F6" w14:textId="58653A61" w:rsidR="007D5CED" w:rsidRPr="007D5CED" w:rsidRDefault="007D5CED" w:rsidP="00DC3FE8">
      <w:pPr>
        <w:pStyle w:val="Heading3"/>
      </w:pPr>
      <w:bookmarkStart w:id="120" w:name="_Toc152532393"/>
      <w:bookmarkStart w:id="121" w:name="_Toc190941679"/>
      <w:bookmarkStart w:id="122" w:name="_Toc190942379"/>
      <w:r w:rsidRPr="007D5CED">
        <w:t>4.4</w:t>
      </w:r>
      <w:r w:rsidR="001C7C59">
        <w:t xml:space="preserve"> </w:t>
      </w:r>
      <w:r w:rsidRPr="007D5CED">
        <w:t>Comparing by age: Understanding of violence against women</w:t>
      </w:r>
      <w:bookmarkEnd w:id="120"/>
      <w:bookmarkEnd w:id="121"/>
      <w:bookmarkEnd w:id="122"/>
      <w:r w:rsidRPr="007D5CED">
        <w:t xml:space="preserve"> </w:t>
      </w:r>
    </w:p>
    <w:p w14:paraId="745F45BA" w14:textId="77777777" w:rsidR="007D5CED" w:rsidRPr="007D5CED" w:rsidRDefault="007D5CED" w:rsidP="0084332B">
      <w:pPr>
        <w:pStyle w:val="Heading4"/>
      </w:pPr>
      <w:r w:rsidRPr="007D5CED">
        <w:t>Comparing understanding of 16- to 17-year-olds and 18- to 24-year-olds</w:t>
      </w:r>
    </w:p>
    <w:p w14:paraId="0602D6DA" w14:textId="7BAC324A" w:rsidR="007D5CED" w:rsidRPr="007D5CED" w:rsidRDefault="007D5CED" w:rsidP="00A3239A">
      <w:pPr>
        <w:rPr>
          <w:lang w:val="en-GB"/>
        </w:rPr>
      </w:pPr>
      <w:r w:rsidRPr="007D5CED">
        <w:rPr>
          <w:lang w:val="en-GB"/>
        </w:rPr>
        <w:t>In 2021, 16- to 17-year-olds and 18- to 24-year-olds had very similar levels of understanding of violence against women. For example, there were no significant differences between these youth age groups on</w:t>
      </w:r>
      <w:r w:rsidR="00AD187F">
        <w:rPr>
          <w:lang w:val="en-GB"/>
        </w:rPr>
        <w:t> </w:t>
      </w:r>
      <w:r w:rsidRPr="007D5CED">
        <w:rPr>
          <w:lang w:val="en-GB"/>
        </w:rPr>
        <w:t xml:space="preserve">the UVAWS or on two of the three UVAWS subscales: the Recognise VAW Subscale or Understand Gendered DV Subscale. </w:t>
      </w:r>
    </w:p>
    <w:p w14:paraId="35F91A6D" w14:textId="0C13404D" w:rsidR="007D5CED" w:rsidRPr="007D5CED" w:rsidRDefault="007D5CED" w:rsidP="00A3239A">
      <w:pPr>
        <w:rPr>
          <w:lang w:val="en-GB"/>
        </w:rPr>
      </w:pPr>
      <w:r w:rsidRPr="007D5CED">
        <w:rPr>
          <w:lang w:val="en-GB"/>
        </w:rPr>
        <w:t>However, 18- to 24-year-old respondents were significantly more likely than 16- to 17-year-olds to</w:t>
      </w:r>
      <w:r w:rsidR="00AD187F">
        <w:rPr>
          <w:lang w:val="en-GB"/>
        </w:rPr>
        <w:t> </w:t>
      </w:r>
      <w:r w:rsidRPr="007D5CED">
        <w:rPr>
          <w:lang w:val="en-GB"/>
        </w:rPr>
        <w:t xml:space="preserve">correctly identify a range of abusive behaviours as domestic violence in 2021, according to mean scores on the Recognise DV Subscale. This finding was reflected at the item level by a higher proportion of “yes, always” responses from 18- to 24-year-old than 16- to 17-year-old respondents for 10 of the 12 items, although the difference on each individual item was not large enough to reach statistical significance (Appendix A, Table 13-1). </w:t>
      </w:r>
    </w:p>
    <w:p w14:paraId="3077880A" w14:textId="05B42FA5" w:rsidR="007D5CED" w:rsidRPr="007D5CED" w:rsidRDefault="007D5CED" w:rsidP="0084332B">
      <w:pPr>
        <w:pStyle w:val="Heading4"/>
      </w:pPr>
      <w:r w:rsidRPr="007D5CED">
        <w:t>Comparing understanding of 16- to 24-year-olds and people aged 25</w:t>
      </w:r>
      <w:r w:rsidRPr="007D5CED">
        <w:rPr>
          <w:rFonts w:ascii="Open Sans SemiBold" w:hAnsi="Open Sans SemiBold" w:cs="Open Sans SemiBold"/>
          <w:sz w:val="22"/>
          <w:szCs w:val="22"/>
        </w:rPr>
        <w:t xml:space="preserve"> years</w:t>
      </w:r>
      <w:r w:rsidRPr="007D5CED">
        <w:t xml:space="preserve"> or older</w:t>
      </w:r>
    </w:p>
    <w:p w14:paraId="74AAA333" w14:textId="77777777" w:rsidR="007D5CED" w:rsidRPr="007D5CED" w:rsidRDefault="007D5CED" w:rsidP="00A3239A">
      <w:pPr>
        <w:rPr>
          <w:lang w:val="en-GB"/>
        </w:rPr>
      </w:pPr>
      <w:r w:rsidRPr="007D5CED">
        <w:rPr>
          <w:lang w:val="en-GB"/>
        </w:rPr>
        <w:t>Many of the findings regarding young respondents’ understanding of violence against women were similar to those for all NCAS respondents (Main report), including:</w:t>
      </w:r>
    </w:p>
    <w:p w14:paraId="5143C4E0" w14:textId="77777777" w:rsidR="007D5CED" w:rsidRPr="007D5CED" w:rsidRDefault="007D5CED" w:rsidP="00A3239A">
      <w:pPr>
        <w:pStyle w:val="ListBullet"/>
        <w:rPr>
          <w:lang w:val="en-US"/>
        </w:rPr>
      </w:pPr>
      <w:r w:rsidRPr="007D5CED">
        <w:rPr>
          <w:lang w:val="en-GB"/>
        </w:rPr>
        <w:t>an increase over time in overall understanding (UVAWS) and recognition of the behaviours constituting domestic violence and violence against women (2 of 3 UVAWS</w:t>
      </w:r>
      <w:r w:rsidRPr="007D5CED">
        <w:rPr>
          <w:lang w:val="en-US"/>
        </w:rPr>
        <w:t xml:space="preserve"> subscales) </w:t>
      </w:r>
    </w:p>
    <w:p w14:paraId="2FE4AE33" w14:textId="70762CBB" w:rsidR="007D5CED" w:rsidRPr="007D5CED" w:rsidRDefault="007D5CED" w:rsidP="00A3239A">
      <w:pPr>
        <w:pStyle w:val="ListBullet"/>
        <w:rPr>
          <w:lang w:val="en-GB"/>
        </w:rPr>
      </w:pPr>
      <w:r w:rsidRPr="007D5CED">
        <w:rPr>
          <w:lang w:val="en-GB"/>
        </w:rPr>
        <w:t xml:space="preserve">a decrease between 2013 and 2021 in understanding that domestic violence </w:t>
      </w:r>
      <w:r w:rsidRPr="007D5CED">
        <w:rPr>
          <w:lang w:val="en-US"/>
        </w:rPr>
        <w:t xml:space="preserve">is </w:t>
      </w:r>
      <w:r w:rsidRPr="007D5CED">
        <w:rPr>
          <w:lang w:val="en-GB"/>
        </w:rPr>
        <w:t>gendered in that it</w:t>
      </w:r>
      <w:r w:rsidR="00AD187F">
        <w:rPr>
          <w:lang w:val="en-GB"/>
        </w:rPr>
        <w:t> </w:t>
      </w:r>
      <w:r w:rsidRPr="007D5CED">
        <w:rPr>
          <w:lang w:val="en-GB"/>
        </w:rPr>
        <w:t>is</w:t>
      </w:r>
      <w:r w:rsidR="00AD187F">
        <w:rPr>
          <w:lang w:val="en-GB"/>
        </w:rPr>
        <w:t> </w:t>
      </w:r>
      <w:r w:rsidRPr="007D5CED">
        <w:rPr>
          <w:lang w:val="en-GB"/>
        </w:rPr>
        <w:t>mainly committed by men against women (Understand Gendered DV Subscale)</w:t>
      </w:r>
    </w:p>
    <w:p w14:paraId="72FBB8C9" w14:textId="77777777" w:rsidR="007D5CED" w:rsidRPr="007D5CED" w:rsidRDefault="007D5CED" w:rsidP="00A3239A">
      <w:pPr>
        <w:pStyle w:val="ListBullet"/>
        <w:rPr>
          <w:lang w:val="en-GB"/>
        </w:rPr>
      </w:pPr>
      <w:r w:rsidRPr="007D5CED">
        <w:rPr>
          <w:lang w:val="en-GB"/>
        </w:rPr>
        <w:t>a better understanding of the behaviours constituting domestic violence than of the gendered nature of domestic violence</w:t>
      </w:r>
    </w:p>
    <w:p w14:paraId="7952DD5D" w14:textId="3330AA64" w:rsidR="00F43662" w:rsidRPr="003B64CF" w:rsidRDefault="007D5CED" w:rsidP="00A3239A">
      <w:pPr>
        <w:pStyle w:val="ListBullet"/>
        <w:rPr>
          <w:lang w:val="en-GB"/>
        </w:rPr>
      </w:pPr>
      <w:r w:rsidRPr="007D5CED">
        <w:rPr>
          <w:lang w:val="en-GB"/>
        </w:rPr>
        <w:t>higher recognition of physical forms of domestic violence than non-physical forms and forms that target a partner’s identity or experience.</w:t>
      </w:r>
    </w:p>
    <w:p w14:paraId="43FAF84D" w14:textId="68A769C0" w:rsidR="007D5CED" w:rsidRDefault="007D5CED" w:rsidP="00A3239A">
      <w:pPr>
        <w:rPr>
          <w:lang w:val="en-GB"/>
        </w:rPr>
      </w:pPr>
      <w:r w:rsidRPr="007D5CED">
        <w:rPr>
          <w:lang w:val="en-GB"/>
        </w:rPr>
        <w:t>However, there were also a few differences between young respondents and those aged 25 years or</w:t>
      </w:r>
      <w:r w:rsidR="009D3B14">
        <w:rPr>
          <w:lang w:val="en-GB"/>
        </w:rPr>
        <w:t> </w:t>
      </w:r>
      <w:r w:rsidRPr="007D5CED">
        <w:rPr>
          <w:lang w:val="en-GB"/>
        </w:rPr>
        <w:t>older regarding understanding of violence against women (see Appendix B, Tables 14-1 and 14-2 for differences on the UVAWS items). These differences were all in the direction of the older age group having better understanding, although there is substantial room for improvement across all age groups. Specifically, in 2021, young respondents had significantly lower understanding than respondents aged 25 years or older according to the UVAWS and all three of its subscales. Accordingly,</w:t>
      </w:r>
      <w:r w:rsidR="009D3B14">
        <w:rPr>
          <w:lang w:val="en-GB"/>
        </w:rPr>
        <w:t> </w:t>
      </w:r>
      <w:r w:rsidRPr="007D5CED">
        <w:rPr>
          <w:lang w:val="en-GB"/>
        </w:rPr>
        <w:t>young respondents were significantly less likely (34%) than other respondents (46%) to</w:t>
      </w:r>
      <w:r w:rsidR="009D3B14">
        <w:rPr>
          <w:lang w:val="en-GB"/>
        </w:rPr>
        <w:t> </w:t>
      </w:r>
      <w:r w:rsidRPr="007D5CED">
        <w:rPr>
          <w:lang w:val="en-GB"/>
        </w:rPr>
        <w:t>demonstrate “advanced” understanding of violence against women. In addition, while concerning proportions of all age groups demonstrated poor understanding of the gendered nature of domestic violence, a greater proportion of young respondents (45%) than respondents aged 25 years or older (25%) believed that women and men are equally likely to experience fear as a result of domestic violence (D15, Understand Gendered DV Subscale). Similarly, significantly fewer young respondents (60%) than respondents aged 25 years or older (70%) identified that technology-facilitated abuse involving harassment via repeated emails and text messages is “always” a form of violence (V5,</w:t>
      </w:r>
      <w:r w:rsidR="009D3B14">
        <w:rPr>
          <w:lang w:val="en-GB"/>
        </w:rPr>
        <w:t> </w:t>
      </w:r>
      <w:r w:rsidRPr="007D5CED">
        <w:rPr>
          <w:lang w:val="en-GB"/>
        </w:rPr>
        <w:t xml:space="preserve">Recognise VAW Subscale). </w:t>
      </w:r>
    </w:p>
    <w:bookmarkStart w:id="123" w:name="_Toc152532394"/>
    <w:bookmarkStart w:id="124" w:name="_Toc190941680"/>
    <w:bookmarkStart w:id="125" w:name="_Toc190942380"/>
    <w:p w14:paraId="0E148D46" w14:textId="1F3B7EF8" w:rsidR="007D5CED" w:rsidRPr="00D32C21" w:rsidRDefault="009D3B14" w:rsidP="008C29F3">
      <w:pPr>
        <w:pStyle w:val="H2SectionTitle"/>
      </w:pPr>
      <w:r>
        <w:rPr>
          <w:noProof/>
        </w:rPr>
        <w:lastRenderedPageBreak/>
        <mc:AlternateContent>
          <mc:Choice Requires="wps">
            <w:drawing>
              <wp:anchor distT="0" distB="0" distL="114300" distR="114300" simplePos="0" relativeHeight="251658259" behindDoc="0" locked="0" layoutInCell="1" allowOverlap="1" wp14:anchorId="10319D59" wp14:editId="224A77CC">
                <wp:simplePos x="0" y="0"/>
                <wp:positionH relativeFrom="column">
                  <wp:posOffset>5124</wp:posOffset>
                </wp:positionH>
                <wp:positionV relativeFrom="paragraph">
                  <wp:posOffset>109</wp:posOffset>
                </wp:positionV>
                <wp:extent cx="382138" cy="382138"/>
                <wp:effectExtent l="0" t="0" r="0" b="0"/>
                <wp:wrapSquare wrapText="bothSides"/>
                <wp:docPr id="16308494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04D05" id="Rectangle 2" o:spid="_x0000_s1026" alt="&quot;&quot;" style="position:absolute;margin-left:.4pt;margin-top:0;width:30.1pt;height:3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5 </w:t>
      </w:r>
      <w:r w:rsidR="007D5CED" w:rsidRPr="00D32C21">
        <w:t>Findings: Young people’s attitudes towards gender inequality – AGIS in focus</w:t>
      </w:r>
      <w:bookmarkEnd w:id="123"/>
      <w:bookmarkEnd w:id="124"/>
      <w:bookmarkEnd w:id="125"/>
    </w:p>
    <w:tbl>
      <w:tblPr>
        <w:tblStyle w:val="Yellowcalloutboxlayout"/>
        <w:tblW w:w="0" w:type="auto"/>
        <w:tblLayout w:type="fixed"/>
        <w:tblLook w:val="0000" w:firstRow="0" w:lastRow="0" w:firstColumn="0" w:lastColumn="0" w:noHBand="0" w:noVBand="0"/>
      </w:tblPr>
      <w:tblGrid>
        <w:gridCol w:w="8901"/>
      </w:tblGrid>
      <w:tr w:rsidR="007D5CED" w:rsidRPr="00EA1044" w14:paraId="5198B3B6" w14:textId="77777777" w:rsidTr="001C7C59">
        <w:trPr>
          <w:trHeight w:val="3639"/>
        </w:trPr>
        <w:tc>
          <w:tcPr>
            <w:tcW w:w="8901" w:type="dxa"/>
          </w:tcPr>
          <w:p w14:paraId="457C6E1A" w14:textId="315D1E10" w:rsidR="007D5CED" w:rsidRPr="007D5CED" w:rsidRDefault="007D5CED" w:rsidP="00B83062">
            <w:pPr>
              <w:pStyle w:val="ChapterIntro"/>
            </w:pPr>
            <w:r w:rsidRPr="007D5CED">
              <w:t>Gender inequality remains a pervasive issue in Australia and addressing gender inequality is critical if we are to end violence against women (AIHW, 2016; COAG, 2010; DSS, 2022; Riach et al., 2018; Workplace Gender Equality Agency, 2022). “Reduction of attitudes that are associated with gender inequality” is a key indicator for preventing violence according to the National Plan 2022–2032 (DSS, 2022, p. 30). These attitudes include the denial of gender inequality, the limitation of women’s personal autonomy, the normalisation of sexism, the</w:t>
            </w:r>
            <w:r w:rsidR="009D3B14">
              <w:t> </w:t>
            </w:r>
            <w:r w:rsidRPr="007D5CED">
              <w:t>reinforcing of rigid gender roles and norms, and the undermining of women’s leadership in both the public and private spheres. The</w:t>
            </w:r>
            <w:r w:rsidR="009D3B14">
              <w:t> </w:t>
            </w:r>
            <w:r w:rsidRPr="007D5CED">
              <w:t xml:space="preserve">2021 NCAS measured young Australians’ attitudes towards gender inequality via the </w:t>
            </w:r>
            <w:r w:rsidRPr="0013577A">
              <w:rPr>
                <w:rStyle w:val="Strong"/>
                <w:b/>
                <w:bCs w:val="0"/>
              </w:rPr>
              <w:t>Attitudes towards Gender Inequality Scale (AGIS)</w:t>
            </w:r>
            <w:r w:rsidRPr="0013577A">
              <w:rPr>
                <w:b w:val="0"/>
              </w:rPr>
              <w:t>.</w:t>
            </w:r>
          </w:p>
        </w:tc>
      </w:tr>
    </w:tbl>
    <w:p w14:paraId="5F658B54" w14:textId="559F0888" w:rsidR="00D63FDF" w:rsidRDefault="00D63FDF">
      <w:pPr>
        <w:spacing w:before="0" w:after="0" w:line="240" w:lineRule="auto"/>
        <w:rPr>
          <w:lang w:val="en-GB"/>
        </w:rPr>
      </w:pPr>
      <w:r>
        <w:rPr>
          <w:lang w:val="en-GB"/>
        </w:rPr>
        <w:br w:type="page"/>
      </w:r>
    </w:p>
    <w:p w14:paraId="4DB239C4" w14:textId="77777777" w:rsidR="007D5CED" w:rsidRPr="007D5CED" w:rsidRDefault="007D5CED" w:rsidP="00476C16">
      <w:pPr>
        <w:rPr>
          <w:rFonts w:cs="Open Sans"/>
          <w:color w:val="000000"/>
          <w:kern w:val="0"/>
          <w:szCs w:val="18"/>
          <w:lang w:val="en-GB"/>
        </w:rPr>
      </w:pPr>
      <w:r w:rsidRPr="007D5CED">
        <w:rPr>
          <w:rFonts w:cs="Open Sans"/>
          <w:color w:val="000000"/>
          <w:kern w:val="0"/>
          <w:szCs w:val="18"/>
          <w:lang w:val="en-GB"/>
        </w:rPr>
        <w:lastRenderedPageBreak/>
        <w:t xml:space="preserve">The </w:t>
      </w:r>
      <w:r w:rsidRPr="007D5CED">
        <w:rPr>
          <w:rStyle w:val="Strong"/>
          <w:lang w:val="en-US"/>
        </w:rPr>
        <w:t>AGIS</w:t>
      </w:r>
      <w:r w:rsidRPr="007D5CED">
        <w:rPr>
          <w:rFonts w:cs="Open Sans"/>
          <w:color w:val="000000"/>
          <w:kern w:val="0"/>
          <w:szCs w:val="18"/>
          <w:lang w:val="en-GB"/>
        </w:rPr>
        <w:t xml:space="preserve"> comprises five psychometrically validated subscales, each measuring a different conceptual aspect of attitudes towards gender inequality: </w:t>
      </w:r>
    </w:p>
    <w:p w14:paraId="495F038C" w14:textId="15AE3BF5" w:rsidR="007D5CED" w:rsidRPr="007D5CED" w:rsidRDefault="007D5CED" w:rsidP="00476C16">
      <w:pPr>
        <w:pStyle w:val="ListBullet"/>
        <w:rPr>
          <w:lang w:val="en-GB"/>
        </w:rPr>
      </w:pPr>
      <w:r w:rsidRPr="007D5CED">
        <w:rPr>
          <w:lang w:val="en-GB"/>
        </w:rPr>
        <w:t xml:space="preserve">The </w:t>
      </w:r>
      <w:r w:rsidRPr="007D5CED">
        <w:rPr>
          <w:rStyle w:val="Strong"/>
          <w:lang w:val="en-US"/>
        </w:rPr>
        <w:t>Deny Inequality Subscale</w:t>
      </w:r>
      <w:r w:rsidRPr="007D5CED">
        <w:rPr>
          <w:b/>
          <w:bCs/>
          <w:lang w:val="en-US"/>
        </w:rPr>
        <w:t xml:space="preserve"> </w:t>
      </w:r>
      <w:r w:rsidRPr="007D5CED">
        <w:rPr>
          <w:lang w:val="en-GB"/>
        </w:rPr>
        <w:t>comprises three statements that deny that gender inequality is</w:t>
      </w:r>
      <w:r w:rsidR="009D3B14">
        <w:rPr>
          <w:lang w:val="en-GB"/>
        </w:rPr>
        <w:t> </w:t>
      </w:r>
      <w:r w:rsidRPr="007D5CED">
        <w:rPr>
          <w:lang w:val="en-GB"/>
        </w:rPr>
        <w:t>experienced by women, suggesting backlash or resistance to gender equality.</w:t>
      </w:r>
    </w:p>
    <w:p w14:paraId="5D17E88D" w14:textId="7FC522DC" w:rsidR="007D5CED" w:rsidRPr="007D5CED" w:rsidRDefault="007D5CED" w:rsidP="00476C16">
      <w:pPr>
        <w:pStyle w:val="ListBullet"/>
        <w:rPr>
          <w:lang w:val="en-GB"/>
        </w:rPr>
      </w:pPr>
      <w:r w:rsidRPr="007D5CED">
        <w:rPr>
          <w:lang w:val="en-GB"/>
        </w:rPr>
        <w:t xml:space="preserve">The </w:t>
      </w:r>
      <w:r w:rsidRPr="007D5CED">
        <w:rPr>
          <w:rStyle w:val="Strong"/>
          <w:lang w:val="en-US"/>
        </w:rPr>
        <w:t>Limit Autonomy Subscale</w:t>
      </w:r>
      <w:r w:rsidRPr="007D5CED">
        <w:rPr>
          <w:lang w:val="en-GB"/>
        </w:rPr>
        <w:t xml:space="preserve"> comprises two statements that condone men being in charge in</w:t>
      </w:r>
      <w:r w:rsidR="009D3B14">
        <w:rPr>
          <w:lang w:val="en-GB"/>
        </w:rPr>
        <w:t> </w:t>
      </w:r>
      <w:r w:rsidRPr="007D5CED">
        <w:rPr>
          <w:lang w:val="en-GB"/>
        </w:rPr>
        <w:t>intimate relationships and limiting women’s personal autonomy.</w:t>
      </w:r>
    </w:p>
    <w:p w14:paraId="79414921" w14:textId="77777777" w:rsidR="007D5CED" w:rsidRPr="007D5CED" w:rsidRDefault="007D5CED" w:rsidP="00476C16">
      <w:pPr>
        <w:pStyle w:val="ListBullet"/>
        <w:rPr>
          <w:lang w:val="en-GB"/>
        </w:rPr>
      </w:pPr>
      <w:r w:rsidRPr="007D5CED">
        <w:rPr>
          <w:lang w:val="en-GB"/>
        </w:rPr>
        <w:t xml:space="preserve">The </w:t>
      </w:r>
      <w:r w:rsidRPr="007D5CED">
        <w:rPr>
          <w:rStyle w:val="Strong"/>
          <w:lang w:val="en-US"/>
        </w:rPr>
        <w:t>Normalise Sexism Subscale</w:t>
      </w:r>
      <w:r w:rsidRPr="007D5CED">
        <w:rPr>
          <w:b/>
          <w:bCs/>
          <w:lang w:val="en-US"/>
        </w:rPr>
        <w:t xml:space="preserve"> </w:t>
      </w:r>
      <w:r w:rsidRPr="007D5CED">
        <w:rPr>
          <w:lang w:val="en-GB"/>
        </w:rPr>
        <w:t>comprises three statements that downplay or normalise sexism.</w:t>
      </w:r>
    </w:p>
    <w:p w14:paraId="589F6402" w14:textId="05516001" w:rsidR="007D5CED" w:rsidRPr="007D5CED" w:rsidRDefault="007D5CED" w:rsidP="00476C16">
      <w:pPr>
        <w:pStyle w:val="ListBullet"/>
        <w:rPr>
          <w:lang w:val="en-GB"/>
        </w:rPr>
      </w:pPr>
      <w:r w:rsidRPr="007D5CED">
        <w:rPr>
          <w:lang w:val="en-GB"/>
        </w:rPr>
        <w:t xml:space="preserve">The </w:t>
      </w:r>
      <w:r w:rsidRPr="007D5CED">
        <w:rPr>
          <w:rStyle w:val="Strong"/>
          <w:lang w:val="en-US"/>
        </w:rPr>
        <w:t>Reinforce Gender Roles Subscale</w:t>
      </w:r>
      <w:r w:rsidRPr="007D5CED">
        <w:rPr>
          <w:b/>
          <w:bCs/>
          <w:lang w:val="en-US"/>
        </w:rPr>
        <w:t xml:space="preserve"> </w:t>
      </w:r>
      <w:r w:rsidRPr="007D5CED">
        <w:rPr>
          <w:lang w:val="en-GB"/>
        </w:rPr>
        <w:t>comprises five statements that reinforce traditional, rigid</w:t>
      </w:r>
      <w:r w:rsidR="009D3B14">
        <w:rPr>
          <w:lang w:val="en-GB"/>
        </w:rPr>
        <w:t> </w:t>
      </w:r>
      <w:r w:rsidRPr="007D5CED">
        <w:rPr>
          <w:lang w:val="en-GB"/>
        </w:rPr>
        <w:t>gender roles and expectations.</w:t>
      </w:r>
    </w:p>
    <w:p w14:paraId="75CC85A7" w14:textId="77777777" w:rsidR="007D5CED" w:rsidRPr="007D5CED" w:rsidRDefault="007D5CED" w:rsidP="00476C16">
      <w:pPr>
        <w:pStyle w:val="ListBullet"/>
        <w:rPr>
          <w:lang w:val="en-GB"/>
        </w:rPr>
      </w:pPr>
      <w:r w:rsidRPr="007D5CED">
        <w:rPr>
          <w:lang w:val="en-GB"/>
        </w:rPr>
        <w:t xml:space="preserve">The </w:t>
      </w:r>
      <w:r w:rsidRPr="007D5CED">
        <w:rPr>
          <w:rStyle w:val="Strong"/>
          <w:lang w:val="en-US"/>
        </w:rPr>
        <w:t>Undermine Leadership Subscale</w:t>
      </w:r>
      <w:r w:rsidRPr="007D5CED">
        <w:rPr>
          <w:lang w:val="en-GB"/>
        </w:rPr>
        <w:t xml:space="preserve"> comprises four statements that undermine women’s leadership in work and public life.</w:t>
      </w:r>
    </w:p>
    <w:p w14:paraId="42304B35" w14:textId="77777777" w:rsidR="007D5CED" w:rsidRPr="007D5CED" w:rsidRDefault="007D5CED" w:rsidP="00476C16">
      <w:pPr>
        <w:rPr>
          <w:lang w:val="en-GB"/>
        </w:rPr>
      </w:pPr>
      <w:r w:rsidRPr="007D5CED">
        <w:rPr>
          <w:lang w:val="en-GB"/>
        </w:rPr>
        <w:t>This chapter details young respondents’ results on the AGIS overall, and on its subscales and individual items, to:</w:t>
      </w:r>
    </w:p>
    <w:p w14:paraId="51C20DB0" w14:textId="77777777" w:rsidR="007D5CED" w:rsidRPr="007D5CED" w:rsidRDefault="007D5CED" w:rsidP="00476C16">
      <w:pPr>
        <w:pStyle w:val="ListBullet"/>
        <w:rPr>
          <w:lang w:val="en-GB"/>
        </w:rPr>
      </w:pPr>
      <w:r w:rsidRPr="007D5CED">
        <w:rPr>
          <w:lang w:val="en-GB"/>
        </w:rPr>
        <w:t>examine changes in young people’s attitudes towards gender inequality over time (Section 5.1)</w:t>
      </w:r>
    </w:p>
    <w:p w14:paraId="1C94062F" w14:textId="77777777" w:rsidR="007D5CED" w:rsidRPr="007D5CED" w:rsidRDefault="007D5CED" w:rsidP="00476C16">
      <w:pPr>
        <w:pStyle w:val="ListBullet"/>
        <w:rPr>
          <w:lang w:val="en-GB"/>
        </w:rPr>
      </w:pPr>
      <w:r w:rsidRPr="007D5CED">
        <w:rPr>
          <w:lang w:val="en-GB"/>
        </w:rPr>
        <w:t>examine young people’s attitudes towards gender inequality in 2021 (Section 5.2)</w:t>
      </w:r>
    </w:p>
    <w:p w14:paraId="75BE0C77" w14:textId="77777777" w:rsidR="007D5CED" w:rsidRPr="007D5CED" w:rsidRDefault="007D5CED" w:rsidP="00476C16">
      <w:pPr>
        <w:pStyle w:val="ListBullet"/>
        <w:rPr>
          <w:lang w:val="en-GB"/>
        </w:rPr>
      </w:pPr>
      <w:r w:rsidRPr="007D5CED">
        <w:rPr>
          <w:lang w:val="en-GB"/>
        </w:rPr>
        <w:t>compare young people’s attitudes towards gender inequality in 2021 by gender (Section 5.3)</w:t>
      </w:r>
    </w:p>
    <w:p w14:paraId="16F137CE" w14:textId="77777777" w:rsidR="007D5CED" w:rsidRDefault="007D5CED" w:rsidP="00476C16">
      <w:pPr>
        <w:pStyle w:val="ListBullet"/>
        <w:rPr>
          <w:lang w:val="en-GB"/>
        </w:rPr>
      </w:pPr>
      <w:r w:rsidRPr="007D5CED">
        <w:rPr>
          <w:lang w:val="en-GB"/>
        </w:rPr>
        <w:t>compare attitudes towards gender inequality in 2021 by age (Section 5.4).</w:t>
      </w:r>
    </w:p>
    <w:p w14:paraId="5A26B836" w14:textId="77777777" w:rsidR="00476C16" w:rsidRPr="007D5CED" w:rsidRDefault="00476C16" w:rsidP="00750FEF">
      <w:pPr>
        <w:pStyle w:val="ResultsSummaryHeading"/>
      </w:pPr>
      <w:r w:rsidRPr="007D5CED">
        <w:t>AGIS results summary</w:t>
      </w:r>
    </w:p>
    <w:p w14:paraId="1A75D453" w14:textId="34FAFF7F" w:rsidR="00476C16" w:rsidRPr="007D5CED" w:rsidRDefault="00476C16" w:rsidP="00750FEF">
      <w:pPr>
        <w:pStyle w:val="ResultsSummary"/>
      </w:pPr>
      <w:r w:rsidRPr="007D5CED">
        <w:t>As seen with all Australians, young Australians’ attitudinal rejection of gender inequality continues to</w:t>
      </w:r>
      <w:r w:rsidR="009D3B14">
        <w:t> </w:t>
      </w:r>
      <w:r w:rsidRPr="007D5CED">
        <w:t>improve significantly but slowly over time (Sections 3.1 and 5.1).</w:t>
      </w:r>
    </w:p>
    <w:p w14:paraId="355F2C6D" w14:textId="77777777" w:rsidR="00476C16" w:rsidRPr="007D5CED" w:rsidRDefault="00476C16" w:rsidP="00750FEF">
      <w:pPr>
        <w:pStyle w:val="ResultsSummary"/>
      </w:pPr>
      <w:r w:rsidRPr="007D5CED">
        <w:t xml:space="preserve">While most young respondents held attitudes that reject gender inequality, a minority condoned certain attitudes that deny that gender inequality is a problem, limit women’s personal autonomy, normalise sexism, reinforce gender roles and undermine women’s leadership (Section 5.2). </w:t>
      </w:r>
    </w:p>
    <w:p w14:paraId="1F3814E3" w14:textId="77777777" w:rsidR="00476C16" w:rsidRPr="007D5CED" w:rsidRDefault="00476C16" w:rsidP="00750FEF">
      <w:pPr>
        <w:pStyle w:val="ResultsSummary"/>
      </w:pPr>
      <w:r w:rsidRPr="007D5CED">
        <w:t>In 2021, young women respondents had significantly higher rejection of gender inequality than young men respondents, according to mean scores on the AGIS and all five of its subscales. Young women were also significantly more likely than young men to have “advanced” attitudinal rejection of gender inequality in 2021. When compared to young men, young non-binary respondents had significantly higher rejection of gender inequality on the AGIS and on the Undermine Leadership Subscale in 2021.</w:t>
      </w:r>
    </w:p>
    <w:p w14:paraId="45860049" w14:textId="5A769180" w:rsidR="00476C16" w:rsidRPr="007D5CED" w:rsidRDefault="00476C16" w:rsidP="00750FEF">
      <w:pPr>
        <w:pStyle w:val="ResultsSummary"/>
      </w:pPr>
      <w:r w:rsidRPr="007D5CED">
        <w:t>Most findings indicated similar attitudes towards gender inequality in 2021 between age groups. There</w:t>
      </w:r>
      <w:r w:rsidR="009D3B14">
        <w:t> </w:t>
      </w:r>
      <w:r w:rsidRPr="007D5CED">
        <w:t>was no significant difference on the AGIS and four of the five AGIS subscales between:</w:t>
      </w:r>
    </w:p>
    <w:p w14:paraId="05F8DBEB" w14:textId="77777777" w:rsidR="001C7C59" w:rsidRDefault="00476C16" w:rsidP="001C7C59">
      <w:pPr>
        <w:pStyle w:val="ListBullet4"/>
      </w:pPr>
      <w:r w:rsidRPr="00353390">
        <w:t xml:space="preserve">the two youth </w:t>
      </w:r>
    </w:p>
    <w:p w14:paraId="40C5D6B9" w14:textId="336A0970" w:rsidR="00476C16" w:rsidRPr="00353390" w:rsidRDefault="00476C16" w:rsidP="0013577A">
      <w:pPr>
        <w:pStyle w:val="ListBullet4"/>
        <w:numPr>
          <w:ilvl w:val="0"/>
          <w:numId w:val="0"/>
        </w:numPr>
      </w:pPr>
      <w:r w:rsidRPr="00353390">
        <w:t>groups (16- to 17-year-olds and 18- to 24-year-olds)</w:t>
      </w:r>
    </w:p>
    <w:p w14:paraId="00CB47C2" w14:textId="77777777" w:rsidR="00476C16" w:rsidRPr="00353390" w:rsidRDefault="00476C16" w:rsidP="001C7C59">
      <w:pPr>
        <w:pStyle w:val="ListBullet4"/>
      </w:pPr>
      <w:r w:rsidRPr="00353390">
        <w:t>young respondents (16 to 24 years) and respondents aged 25 years</w:t>
      </w:r>
      <w:r w:rsidRPr="007D5CED">
        <w:t xml:space="preserve"> or older</w:t>
      </w:r>
      <w:r w:rsidRPr="00353390">
        <w:t>.</w:t>
      </w:r>
    </w:p>
    <w:p w14:paraId="118C9B12" w14:textId="77777777" w:rsidR="00476C16" w:rsidRPr="007D5CED" w:rsidRDefault="00476C16" w:rsidP="00750FEF">
      <w:pPr>
        <w:pStyle w:val="ResultsSummary"/>
      </w:pPr>
      <w:r w:rsidRPr="007D5CED">
        <w:t>However, the results for the remaining AGIS subscale showed significantly weaker rejection by younger respondents of attitudes that condone limiting women’s autonomy, including weaker rejection by:</w:t>
      </w:r>
    </w:p>
    <w:p w14:paraId="5A25C0DA" w14:textId="77777777" w:rsidR="00476C16" w:rsidRPr="00353390" w:rsidRDefault="00476C16" w:rsidP="001C7C59">
      <w:pPr>
        <w:pStyle w:val="ListBullet4"/>
      </w:pPr>
      <w:r w:rsidRPr="00353390">
        <w:t>16- to 17-year-olds than 18- to 24-year-olds</w:t>
      </w:r>
    </w:p>
    <w:p w14:paraId="75646331" w14:textId="77777777" w:rsidR="00476C16" w:rsidRPr="007D5CED" w:rsidRDefault="00476C16" w:rsidP="001C7C59">
      <w:pPr>
        <w:pStyle w:val="ListBullet4"/>
      </w:pPr>
      <w:r w:rsidRPr="00353390">
        <w:t>young respondents (16 to 24 years) than respondents aged 25 years</w:t>
      </w:r>
      <w:r w:rsidRPr="007D5CED">
        <w:t xml:space="preserve"> or older. </w:t>
      </w:r>
    </w:p>
    <w:p w14:paraId="273E37DA" w14:textId="305919A5" w:rsidR="00476C16" w:rsidRPr="007D5CED" w:rsidRDefault="00476C16" w:rsidP="00750FEF">
      <w:pPr>
        <w:pStyle w:val="ResultsSummary"/>
      </w:pPr>
      <w:r w:rsidRPr="007D5CED">
        <w:t>There is room to improve attitudes towards gender inequality across the Australian community (Section</w:t>
      </w:r>
      <w:r w:rsidR="001C7C59">
        <w:t> </w:t>
      </w:r>
      <w:r w:rsidRPr="007D5CED">
        <w:t>5.4).</w:t>
      </w:r>
    </w:p>
    <w:p w14:paraId="61DF3077" w14:textId="5AFC77A8" w:rsidR="007D5CED" w:rsidRPr="00764A0E" w:rsidRDefault="007D5CED" w:rsidP="00DC3FE8">
      <w:pPr>
        <w:pStyle w:val="Heading3"/>
      </w:pPr>
      <w:bookmarkStart w:id="126" w:name="_Toc152532395"/>
      <w:bookmarkStart w:id="127" w:name="_Toc190941681"/>
      <w:bookmarkStart w:id="128" w:name="_Toc190942381"/>
      <w:r w:rsidRPr="007D5CED">
        <w:lastRenderedPageBreak/>
        <w:t>5.1</w:t>
      </w:r>
      <w:r w:rsidR="001C7C59">
        <w:t xml:space="preserve"> </w:t>
      </w:r>
      <w:r w:rsidRPr="007D5CED">
        <w:t>Attitudes over time: Young people’s attitudes towards gender inequality</w:t>
      </w:r>
      <w:bookmarkEnd w:id="126"/>
      <w:bookmarkEnd w:id="127"/>
      <w:bookmarkEnd w:id="128"/>
    </w:p>
    <w:p w14:paraId="4A533180" w14:textId="77777777" w:rsidR="007D5CED" w:rsidRPr="007D5CED" w:rsidRDefault="007D5CED" w:rsidP="00A3239A">
      <w:pPr>
        <w:rPr>
          <w:lang w:val="en-GB"/>
        </w:rPr>
      </w:pPr>
      <w:r w:rsidRPr="007D5CED">
        <w:rPr>
          <w:lang w:val="en-GB"/>
        </w:rPr>
        <w:t>This section examines young respondents’ rejection of gender inequality over time based on the AGIS scale, subscales and items.</w:t>
      </w:r>
    </w:p>
    <w:p w14:paraId="749EE765" w14:textId="77777777" w:rsidR="007D5CED" w:rsidRPr="007D5CED" w:rsidRDefault="007D5CED" w:rsidP="00A3239A">
      <w:pPr>
        <w:rPr>
          <w:lang w:val="en-GB"/>
        </w:rPr>
      </w:pPr>
      <w:r w:rsidRPr="007D5CED">
        <w:rPr>
          <w:lang w:val="en-GB"/>
        </w:rPr>
        <w:t xml:space="preserve">As Chapter 3 shows, young respondents’ overall rejection of gender inequality, as measured by mean AGIS scores, was significantly higher in 2021 than in all prior NCAS waves. </w:t>
      </w:r>
    </w:p>
    <w:p w14:paraId="0F1FFD1D" w14:textId="215AC5C1" w:rsidR="007D5CED" w:rsidRDefault="007D5CED" w:rsidP="00A3239A">
      <w:pPr>
        <w:rPr>
          <w:lang w:val="en-GB"/>
        </w:rPr>
      </w:pPr>
      <w:r w:rsidRPr="007D5CED">
        <w:rPr>
          <w:lang w:val="en-GB"/>
        </w:rPr>
        <w:t>Similarly, four of the five AGIS subscales also indicated significant improvement in young people’s rejection of gender inequality over time (Figure 5-1). Specifically, there was a significant improvement between 2017 and 2021 in young respondents’ rejection of attitudes that deny women’s experiences of</w:t>
      </w:r>
      <w:r w:rsidR="00376BAE">
        <w:rPr>
          <w:lang w:val="en-GB"/>
        </w:rPr>
        <w:t> </w:t>
      </w:r>
      <w:r w:rsidRPr="007D5CED">
        <w:rPr>
          <w:lang w:val="en-GB"/>
        </w:rPr>
        <w:t>inequality (Deny Inequality Subscale), normalise sexism (Normalise Sexism Subscale) and reinforce rigid gender roles and stereotypes (Reinforce Gender Roles Subscale). According to the Limit Autonomy Subscale, there was also a significant improvement in 2021 in young respondents’ rejection of attitudes that condone men being in charge in intimate relationships and limiting women’s personal autonomy compared to both 2009 and 2013, but no further significant improvement between 2017 and 2021. There was no significant improvement between 2017 and 2021 in young respondents’ attitudes that undermine women’s leadership (Undermine Leadership Subscale).</w:t>
      </w:r>
    </w:p>
    <w:p w14:paraId="593DF8E8" w14:textId="6D059192" w:rsidR="007D5CED" w:rsidRPr="002066C7" w:rsidRDefault="00D63FDF" w:rsidP="002A2C0C">
      <w:pPr>
        <w:pStyle w:val="figuretableheading"/>
      </w:pPr>
      <w:bookmarkStart w:id="129" w:name="_Toc187401245"/>
      <w:r w:rsidRPr="002066C7">
        <w:t xml:space="preserve">Figure </w:t>
      </w:r>
      <w:r w:rsidR="005B3A89" w:rsidRPr="002066C7">
        <w:fldChar w:fldCharType="begin"/>
      </w:r>
      <w:r w:rsidR="005B3A89" w:rsidRPr="002066C7">
        <w:instrText xml:space="preserve"> STYLEREF 1 \s </w:instrText>
      </w:r>
      <w:r w:rsidR="005B3A89" w:rsidRPr="002066C7">
        <w:fldChar w:fldCharType="separate"/>
      </w:r>
      <w:r w:rsidR="005B3A89" w:rsidRPr="002066C7">
        <w:t>5</w:t>
      </w:r>
      <w:r w:rsidR="005B3A89" w:rsidRPr="002066C7">
        <w:fldChar w:fldCharType="end"/>
      </w:r>
      <w:r w:rsidR="005B3A89" w:rsidRPr="002066C7">
        <w:noBreakHyphen/>
      </w:r>
      <w:r w:rsidR="005B3A89" w:rsidRPr="002066C7">
        <w:fldChar w:fldCharType="begin"/>
      </w:r>
      <w:r w:rsidR="005B3A89" w:rsidRPr="002066C7">
        <w:instrText xml:space="preserve"> SEQ Figure \* ARABIC \s 1 </w:instrText>
      </w:r>
      <w:r w:rsidR="005B3A89" w:rsidRPr="002066C7">
        <w:fldChar w:fldCharType="separate"/>
      </w:r>
      <w:r w:rsidR="005B3A89" w:rsidRPr="002066C7">
        <w:t>1</w:t>
      </w:r>
      <w:r w:rsidR="005B3A89" w:rsidRPr="002066C7">
        <w:fldChar w:fldCharType="end"/>
      </w:r>
      <w:r w:rsidR="007D5CED" w:rsidRPr="002066C7">
        <w:t>: Rejection of different aspects of gender inequality (AGIS subscales) over time, 16- to 24-year-olds, 2009</w:t>
      </w:r>
      <w:r w:rsidR="002066C7" w:rsidRPr="002066C7">
        <w:t> </w:t>
      </w:r>
      <w:r w:rsidR="007D5CED" w:rsidRPr="002066C7">
        <w:t>to</w:t>
      </w:r>
      <w:r w:rsidR="002066C7" w:rsidRPr="002066C7">
        <w:t> </w:t>
      </w:r>
      <w:r w:rsidR="007D5CED" w:rsidRPr="002066C7">
        <w:t>2021</w:t>
      </w:r>
      <w:bookmarkEnd w:id="129"/>
    </w:p>
    <w:p w14:paraId="3982BF0A" w14:textId="53FB59EE" w:rsidR="007D5CED" w:rsidRPr="007D5CED" w:rsidRDefault="00F56873" w:rsidP="00A3239A">
      <w:pPr>
        <w:rPr>
          <w:lang w:val="en-GB"/>
        </w:rPr>
      </w:pPr>
      <w:r>
        <w:rPr>
          <w:noProof/>
          <w:lang w:val="en-GB"/>
        </w:rPr>
        <w:drawing>
          <wp:inline distT="0" distB="0" distL="0" distR="0" wp14:anchorId="6CB5DB05" wp14:editId="54EC7060">
            <wp:extent cx="6120130" cy="2640330"/>
            <wp:effectExtent l="0" t="0" r="1270" b="1270"/>
            <wp:docPr id="1697271277" name="Immagine 17" descr="This is a line graph that shows the rejection of different aspects of gender inequality over time by 16 to 24 year old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71277" name="Immagine 17" descr="This is a line graph that shows the rejection of different aspects of gender inequality over time by 16 to 24 year olds. The data in this graph is in the table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2640330"/>
                    </a:xfrm>
                    <a:prstGeom prst="rect">
                      <a:avLst/>
                    </a:prstGeom>
                  </pic:spPr>
                </pic:pic>
              </a:graphicData>
            </a:graphic>
          </wp:inline>
        </w:drawing>
      </w:r>
    </w:p>
    <w:p w14:paraId="10E211E4" w14:textId="426CBF07" w:rsidR="003B64CF" w:rsidRDefault="00C72405" w:rsidP="002A2C0C">
      <w:pPr>
        <w:pStyle w:val="datatableheading"/>
      </w:pPr>
      <w:r>
        <w:t>Data table for figure 5-1</w:t>
      </w:r>
      <w:r w:rsidR="001B3C28">
        <w:t xml:space="preserve">: </w:t>
      </w:r>
      <w:r w:rsidR="001B3C28" w:rsidRPr="007D5CED">
        <w:t xml:space="preserve">Rejection of </w:t>
      </w:r>
      <w:r w:rsidR="0056216C">
        <w:t>gender inequality (mean AGIS subscale score)</w:t>
      </w:r>
    </w:p>
    <w:tbl>
      <w:tblPr>
        <w:tblStyle w:val="Table-SingleHeaderRow"/>
        <w:tblW w:w="0" w:type="auto"/>
        <w:tblLook w:val="04A0" w:firstRow="1" w:lastRow="0" w:firstColumn="1" w:lastColumn="0" w:noHBand="0" w:noVBand="1"/>
      </w:tblPr>
      <w:tblGrid>
        <w:gridCol w:w="1469"/>
        <w:gridCol w:w="1779"/>
        <w:gridCol w:w="1530"/>
        <w:gridCol w:w="1620"/>
        <w:gridCol w:w="1620"/>
        <w:gridCol w:w="1620"/>
      </w:tblGrid>
      <w:tr w:rsidR="003B64CF" w:rsidRPr="003B64CF" w14:paraId="0D0171EE" w14:textId="17FCBB96"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9" w:type="dxa"/>
          </w:tcPr>
          <w:p w14:paraId="3BCBD0B4" w14:textId="77777777" w:rsidR="003B64CF" w:rsidRPr="007E1C6F" w:rsidRDefault="003B64CF" w:rsidP="00A3239A">
            <w:pPr>
              <w:pStyle w:val="Tablebody"/>
            </w:pPr>
            <w:r w:rsidRPr="008E6594">
              <w:rPr>
                <w:bCs/>
              </w:rPr>
              <w:t>NACS wave (year)</w:t>
            </w:r>
          </w:p>
        </w:tc>
        <w:tc>
          <w:tcPr>
            <w:tcW w:w="1779" w:type="dxa"/>
          </w:tcPr>
          <w:p w14:paraId="1512628F" w14:textId="58C474C3" w:rsidR="003B64CF" w:rsidRPr="006227C0"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Deny Inequality Subscale</w:t>
            </w:r>
          </w:p>
        </w:tc>
        <w:tc>
          <w:tcPr>
            <w:tcW w:w="1530" w:type="dxa"/>
          </w:tcPr>
          <w:p w14:paraId="7D5BC144" w14:textId="289BBE9F" w:rsidR="003B64CF" w:rsidRPr="006227C0"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Reinforce Gender Roles Subscale</w:t>
            </w:r>
          </w:p>
        </w:tc>
        <w:tc>
          <w:tcPr>
            <w:tcW w:w="1620" w:type="dxa"/>
          </w:tcPr>
          <w:p w14:paraId="44124C2F" w14:textId="55078F9E" w:rsidR="003B64CF" w:rsidRPr="006227C0"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Limit Autonomy Subscale</w:t>
            </w:r>
          </w:p>
        </w:tc>
        <w:tc>
          <w:tcPr>
            <w:tcW w:w="1620" w:type="dxa"/>
          </w:tcPr>
          <w:p w14:paraId="46DCD06F" w14:textId="34131353" w:rsidR="003B64CF" w:rsidRPr="006227C0"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Undermine Leadership Subscale</w:t>
            </w:r>
          </w:p>
        </w:tc>
        <w:tc>
          <w:tcPr>
            <w:tcW w:w="1620" w:type="dxa"/>
          </w:tcPr>
          <w:p w14:paraId="55B52223" w14:textId="71F565EE" w:rsidR="003B64CF" w:rsidRPr="006227C0"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Normalise Sexism Subscale</w:t>
            </w:r>
          </w:p>
        </w:tc>
      </w:tr>
      <w:tr w:rsidR="003B64CF" w:rsidRPr="007E1C6F" w14:paraId="7B93E059" w14:textId="20EB7ED8" w:rsidTr="008C29F3">
        <w:tc>
          <w:tcPr>
            <w:cnfStyle w:val="001000000000" w:firstRow="0" w:lastRow="0" w:firstColumn="1" w:lastColumn="0" w:oddVBand="0" w:evenVBand="0" w:oddHBand="0" w:evenHBand="0" w:firstRowFirstColumn="0" w:firstRowLastColumn="0" w:lastRowFirstColumn="0" w:lastRowLastColumn="0"/>
            <w:tcW w:w="1469" w:type="dxa"/>
          </w:tcPr>
          <w:p w14:paraId="0B7C7C8C" w14:textId="77777777" w:rsidR="003B64CF" w:rsidRPr="008E6594" w:rsidRDefault="003B64CF" w:rsidP="00A3239A">
            <w:pPr>
              <w:pStyle w:val="Tablebody"/>
            </w:pPr>
            <w:r>
              <w:t>2009</w:t>
            </w:r>
          </w:p>
        </w:tc>
        <w:tc>
          <w:tcPr>
            <w:tcW w:w="1779" w:type="dxa"/>
          </w:tcPr>
          <w:p w14:paraId="41C2CC78" w14:textId="39AB94DE" w:rsidR="003B64CF" w:rsidRPr="007E1C6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530" w:type="dxa"/>
          </w:tcPr>
          <w:p w14:paraId="692AE79D" w14:textId="1AA4FFE1" w:rsidR="003B64CF" w:rsidRPr="007E1C6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620" w:type="dxa"/>
          </w:tcPr>
          <w:p w14:paraId="2E0471F0" w14:textId="1C3F0D2C" w:rsidR="003B64CF" w:rsidRPr="007E1C6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1620" w:type="dxa"/>
          </w:tcPr>
          <w:p w14:paraId="2C770C12" w14:textId="77777777" w:rsidR="003B64CF" w:rsidRPr="007E1C6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620" w:type="dxa"/>
          </w:tcPr>
          <w:p w14:paraId="056DEE0D" w14:textId="77777777" w:rsidR="003B64CF" w:rsidRPr="007E1C6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r>
      <w:tr w:rsidR="003B64CF" w:rsidDel="006D4F1A" w14:paraId="420479AE" w14:textId="65522A6F" w:rsidTr="008C29F3">
        <w:tc>
          <w:tcPr>
            <w:cnfStyle w:val="001000000000" w:firstRow="0" w:lastRow="0" w:firstColumn="1" w:lastColumn="0" w:oddVBand="0" w:evenVBand="0" w:oddHBand="0" w:evenHBand="0" w:firstRowFirstColumn="0" w:firstRowLastColumn="0" w:lastRowFirstColumn="0" w:lastRowLastColumn="0"/>
            <w:tcW w:w="1469" w:type="dxa"/>
          </w:tcPr>
          <w:p w14:paraId="7312A034" w14:textId="77777777" w:rsidR="003B64CF" w:rsidRPr="008E6594" w:rsidRDefault="003B64CF" w:rsidP="00A3239A">
            <w:pPr>
              <w:pStyle w:val="Tablebody"/>
            </w:pPr>
            <w:r>
              <w:t>2013</w:t>
            </w:r>
          </w:p>
        </w:tc>
        <w:tc>
          <w:tcPr>
            <w:tcW w:w="1779" w:type="dxa"/>
          </w:tcPr>
          <w:p w14:paraId="2C98DE0F" w14:textId="0CC6A143" w:rsidR="003B64C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530" w:type="dxa"/>
          </w:tcPr>
          <w:p w14:paraId="7F8B9FF7" w14:textId="7611C48C" w:rsidR="003B64CF"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620" w:type="dxa"/>
          </w:tcPr>
          <w:p w14:paraId="2A84C19D" w14:textId="4CB7CF55" w:rsidR="003B64CF" w:rsidDel="006D4F1A"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62*</w:t>
            </w:r>
          </w:p>
        </w:tc>
        <w:tc>
          <w:tcPr>
            <w:tcW w:w="1620" w:type="dxa"/>
          </w:tcPr>
          <w:p w14:paraId="7F36EA68" w14:textId="77777777" w:rsidR="003B64CF" w:rsidDel="006D4F1A"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c>
          <w:tcPr>
            <w:tcW w:w="1620" w:type="dxa"/>
          </w:tcPr>
          <w:p w14:paraId="1C32C9A1" w14:textId="77777777" w:rsidR="003B64CF" w:rsidDel="006D4F1A" w:rsidRDefault="003B64CF" w:rsidP="00A3239A">
            <w:pPr>
              <w:pStyle w:val="Tablebody"/>
              <w:cnfStyle w:val="000000000000" w:firstRow="0" w:lastRow="0" w:firstColumn="0" w:lastColumn="0" w:oddVBand="0" w:evenVBand="0" w:oddHBand="0" w:evenHBand="0" w:firstRowFirstColumn="0" w:firstRowLastColumn="0" w:lastRowFirstColumn="0" w:lastRowLastColumn="0"/>
            </w:pPr>
          </w:p>
        </w:tc>
      </w:tr>
      <w:tr w:rsidR="003B64CF" w:rsidDel="006D4F1A" w14:paraId="5FD65A9E" w14:textId="636DEF24" w:rsidTr="008C29F3">
        <w:tc>
          <w:tcPr>
            <w:cnfStyle w:val="001000000000" w:firstRow="0" w:lastRow="0" w:firstColumn="1" w:lastColumn="0" w:oddVBand="0" w:evenVBand="0" w:oddHBand="0" w:evenHBand="0" w:firstRowFirstColumn="0" w:firstRowLastColumn="0" w:lastRowFirstColumn="0" w:lastRowLastColumn="0"/>
            <w:tcW w:w="1469" w:type="dxa"/>
          </w:tcPr>
          <w:p w14:paraId="40BCD34A" w14:textId="77777777" w:rsidR="003B64CF" w:rsidRPr="006227C0" w:rsidRDefault="003B64CF" w:rsidP="00A3239A">
            <w:pPr>
              <w:pStyle w:val="Tablebody"/>
            </w:pPr>
            <w:r>
              <w:t>2017</w:t>
            </w:r>
          </w:p>
        </w:tc>
        <w:tc>
          <w:tcPr>
            <w:tcW w:w="1779" w:type="dxa"/>
          </w:tcPr>
          <w:p w14:paraId="270297E0" w14:textId="076B49BA" w:rsidR="003B64C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1530" w:type="dxa"/>
          </w:tcPr>
          <w:p w14:paraId="2989259F" w14:textId="48611605" w:rsidR="003B64C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620" w:type="dxa"/>
          </w:tcPr>
          <w:p w14:paraId="0D7515EA" w14:textId="68858554" w:rsidR="003B64CF" w:rsidDel="006D4F1A"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1620" w:type="dxa"/>
          </w:tcPr>
          <w:p w14:paraId="36D461CF" w14:textId="507ED162" w:rsidR="003B64CF" w:rsidDel="006D4F1A"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620" w:type="dxa"/>
          </w:tcPr>
          <w:p w14:paraId="0B7C2720" w14:textId="7B36EB75" w:rsidR="003B64CF" w:rsidDel="006D4F1A"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63*</w:t>
            </w:r>
          </w:p>
        </w:tc>
      </w:tr>
      <w:tr w:rsidR="003B64CF" w14:paraId="7DBB135D" w14:textId="34F5B172" w:rsidTr="008C29F3">
        <w:tc>
          <w:tcPr>
            <w:cnfStyle w:val="001000000000" w:firstRow="0" w:lastRow="0" w:firstColumn="1" w:lastColumn="0" w:oddVBand="0" w:evenVBand="0" w:oddHBand="0" w:evenHBand="0" w:firstRowFirstColumn="0" w:firstRowLastColumn="0" w:lastRowFirstColumn="0" w:lastRowLastColumn="0"/>
            <w:tcW w:w="1469" w:type="dxa"/>
          </w:tcPr>
          <w:p w14:paraId="3D5F4A79" w14:textId="77777777" w:rsidR="003B64CF" w:rsidRDefault="003B64CF" w:rsidP="00A3239A">
            <w:pPr>
              <w:pStyle w:val="Tablebody"/>
            </w:pPr>
            <w:r>
              <w:t>2021</w:t>
            </w:r>
          </w:p>
        </w:tc>
        <w:tc>
          <w:tcPr>
            <w:tcW w:w="1779" w:type="dxa"/>
          </w:tcPr>
          <w:p w14:paraId="0BB8CD17" w14:textId="6CE39181" w:rsidR="003B64C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530" w:type="dxa"/>
          </w:tcPr>
          <w:p w14:paraId="4BA0A99F" w14:textId="1A7276ED" w:rsidR="003B64CF" w:rsidRDefault="00C72405" w:rsidP="00A3239A">
            <w:pPr>
              <w:pStyle w:val="Superscript"/>
              <w:cnfStyle w:val="000000000000" w:firstRow="0" w:lastRow="0" w:firstColumn="0" w:lastColumn="0" w:oddVBand="0" w:evenVBand="0" w:oddHBand="0" w:evenHBand="0" w:firstRowFirstColumn="0" w:firstRowLastColumn="0" w:lastRowFirstColumn="0" w:lastRowLastColumn="0"/>
            </w:pPr>
            <w:r>
              <w:t>68*</w:t>
            </w:r>
            <w:r w:rsidRPr="008C29F3">
              <w:rPr>
                <w:kern w:val="2"/>
                <w:sz w:val="20"/>
                <w:vertAlign w:val="superscript"/>
              </w:rPr>
              <w:t>1</w:t>
            </w:r>
          </w:p>
        </w:tc>
        <w:tc>
          <w:tcPr>
            <w:tcW w:w="1620" w:type="dxa"/>
          </w:tcPr>
          <w:p w14:paraId="6D98106D" w14:textId="17A6126C" w:rsidR="003B64CF" w:rsidRDefault="00C72405" w:rsidP="00A3239A">
            <w:pPr>
              <w:pStyle w:val="Superscript"/>
              <w:cnfStyle w:val="000000000000" w:firstRow="0" w:lastRow="0" w:firstColumn="0" w:lastColumn="0" w:oddVBand="0" w:evenVBand="0" w:oddHBand="0" w:evenHBand="0" w:firstRowFirstColumn="0" w:firstRowLastColumn="0" w:lastRowFirstColumn="0" w:lastRowLastColumn="0"/>
            </w:pPr>
            <w:r>
              <w:t>64*</w:t>
            </w:r>
            <w:r w:rsidRPr="008C29F3">
              <w:rPr>
                <w:kern w:val="2"/>
                <w:sz w:val="20"/>
                <w:vertAlign w:val="superscript"/>
              </w:rPr>
              <w:t>2</w:t>
            </w:r>
          </w:p>
        </w:tc>
        <w:tc>
          <w:tcPr>
            <w:tcW w:w="1620" w:type="dxa"/>
          </w:tcPr>
          <w:p w14:paraId="354473FF" w14:textId="0334751F" w:rsidR="003B64C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620" w:type="dxa"/>
          </w:tcPr>
          <w:p w14:paraId="50A52C71" w14:textId="384F39B4" w:rsidR="003B64CF" w:rsidRDefault="00C72405" w:rsidP="00A3239A">
            <w:pPr>
              <w:pStyle w:val="Tablebody"/>
              <w:cnfStyle w:val="000000000000" w:firstRow="0" w:lastRow="0" w:firstColumn="0" w:lastColumn="0" w:oddVBand="0" w:evenVBand="0" w:oddHBand="0" w:evenHBand="0" w:firstRowFirstColumn="0" w:firstRowLastColumn="0" w:lastRowFirstColumn="0" w:lastRowLastColumn="0"/>
            </w:pPr>
            <w:r>
              <w:t>66</w:t>
            </w:r>
          </w:p>
        </w:tc>
      </w:tr>
    </w:tbl>
    <w:p w14:paraId="5100C10A" w14:textId="77777777" w:rsidR="00E27DB9" w:rsidRPr="007D5CED" w:rsidRDefault="00E27DB9" w:rsidP="00A3239A">
      <w:pPr>
        <w:pStyle w:val="Normal8pt"/>
      </w:pPr>
      <w:r w:rsidRPr="008C29F3">
        <w:rPr>
          <w:b/>
        </w:rPr>
        <w:t>Note</w:t>
      </w:r>
      <w:r w:rsidRPr="007D5CED">
        <w:rPr>
          <w:bCs/>
        </w:rPr>
        <w:t>:</w:t>
      </w:r>
      <w:r w:rsidRPr="007D5CED">
        <w:t xml:space="preserve"> “na” (below) means reliable data was not available. </w:t>
      </w:r>
      <w:r w:rsidRPr="0073256E">
        <w:rPr>
          <w:rStyle w:val="Emphasis"/>
        </w:rPr>
        <w:t>N</w:t>
      </w:r>
      <w:r w:rsidRPr="007D5CED">
        <w:t xml:space="preserve">s in 2009, 2013, 2017 and 2021 were: </w:t>
      </w:r>
    </w:p>
    <w:p w14:paraId="24FA7C65" w14:textId="77777777" w:rsidR="00E27DB9" w:rsidRPr="007D5CED" w:rsidRDefault="00E27DB9" w:rsidP="00A3239A">
      <w:pPr>
        <w:pStyle w:val="Normal8pt"/>
      </w:pPr>
      <w:r w:rsidRPr="007D5CED">
        <w:t>Deny Inequality Subscale – na; na; 1,496; 831</w:t>
      </w:r>
    </w:p>
    <w:p w14:paraId="3882E76A" w14:textId="77777777" w:rsidR="00E27DB9" w:rsidRPr="007D5CED" w:rsidRDefault="00E27DB9" w:rsidP="00A3239A">
      <w:pPr>
        <w:pStyle w:val="Normal8pt"/>
      </w:pPr>
      <w:r w:rsidRPr="007D5CED">
        <w:t>Limit Autonomy Subscale – 854; 1,828; 1,504; 1,616</w:t>
      </w:r>
    </w:p>
    <w:p w14:paraId="10F4943E" w14:textId="77777777" w:rsidR="00E27DB9" w:rsidRPr="007D5CED" w:rsidRDefault="00E27DB9" w:rsidP="00A3239A">
      <w:pPr>
        <w:pStyle w:val="Normal8pt"/>
      </w:pPr>
      <w:r w:rsidRPr="007D5CED">
        <w:t>Normalise Sexism Subscale – na; na; 1,539; 550</w:t>
      </w:r>
    </w:p>
    <w:p w14:paraId="11E7D3FC" w14:textId="77777777" w:rsidR="00E27DB9" w:rsidRPr="007D5CED" w:rsidRDefault="00E27DB9" w:rsidP="00A3239A">
      <w:pPr>
        <w:pStyle w:val="Normal8pt"/>
      </w:pPr>
      <w:r w:rsidRPr="007D5CED">
        <w:t>Reinforce Gender Roles Subscale – na; na; 1,548; 839</w:t>
      </w:r>
    </w:p>
    <w:p w14:paraId="05BC2CA3" w14:textId="77777777" w:rsidR="00E27DB9" w:rsidRDefault="00E27DB9" w:rsidP="00A3239A">
      <w:pPr>
        <w:pStyle w:val="Normal8pt"/>
      </w:pPr>
      <w:r w:rsidRPr="007D5CED">
        <w:t>Undermine Leadership Subscale – na; na; 1,550; 1,647.</w:t>
      </w:r>
    </w:p>
    <w:p w14:paraId="52A8F0AB" w14:textId="77777777" w:rsidR="007D5CED" w:rsidRPr="007D5CED" w:rsidRDefault="007D5CED" w:rsidP="00C84D75">
      <w:pPr>
        <w:pStyle w:val="Normal8pt"/>
      </w:pPr>
      <w:r w:rsidRPr="007D5CED">
        <w:rPr>
          <w:bCs/>
        </w:rPr>
        <w:t>*</w:t>
      </w:r>
      <w:r w:rsidRPr="007D5CED">
        <w:t xml:space="preserve"> Statistically significant difference on this subscale between the year indicated and 2021. </w:t>
      </w:r>
    </w:p>
    <w:p w14:paraId="3625B1C1" w14:textId="77777777" w:rsidR="007D5CED" w:rsidRPr="007D5CED" w:rsidRDefault="007D5CED" w:rsidP="00C84D75">
      <w:pPr>
        <w:pStyle w:val="Normal8pt"/>
      </w:pPr>
      <w:r w:rsidRPr="007D5CED">
        <w:rPr>
          <w:bCs/>
        </w:rPr>
        <w:lastRenderedPageBreak/>
        <w:t>*1</w:t>
      </w:r>
      <w:r w:rsidRPr="007D5CED">
        <w:t xml:space="preserve"> The Reinforce Gender Roles Subscale had a significantly higher mean score compared to the Normalise Sexism and Limit Autonomy Subscales in 2021. Differences in 2021 between AGIS subscales are discussed in Section 5.2.</w:t>
      </w:r>
    </w:p>
    <w:p w14:paraId="5F210696" w14:textId="77777777" w:rsidR="007D5CED" w:rsidRPr="007D5CED" w:rsidRDefault="007D5CED" w:rsidP="00C84D75">
      <w:pPr>
        <w:pStyle w:val="Normal8pt"/>
      </w:pPr>
      <w:r w:rsidRPr="007D5CED">
        <w:rPr>
          <w:bCs/>
        </w:rPr>
        <w:t>*2</w:t>
      </w:r>
      <w:r w:rsidRPr="007D5CED">
        <w:t xml:space="preserve"> The Limit Autonomy Subscale had a significantly lower mean score compared to the Normalise Sexism and Deny Inequality Subscales in 2021. Differences in 2021 between AGIS subscales are discussed in Section 5.2.</w:t>
      </w:r>
    </w:p>
    <w:p w14:paraId="4674527E" w14:textId="426B3BE1" w:rsidR="007D5CED" w:rsidRPr="007D5CED" w:rsidRDefault="007D5CED" w:rsidP="00C84D75">
      <w:pPr>
        <w:spacing w:before="720"/>
        <w:rPr>
          <w:lang w:val="en-GB"/>
        </w:rPr>
      </w:pPr>
      <w:r w:rsidRPr="007D5CED">
        <w:rPr>
          <w:lang w:val="en-GB"/>
        </w:rPr>
        <w:t>Consistent with the results for the Deny Inequality Subscale as a whole (Figure 5-1), one of its three items also indicated significant improvement in young respondents’ rejection of attitudes that deny women’s experiences of gender inequality in 2021 compared to 2017. Specifically, in 2021, almost three fifths of young respondents “strongly” or “somewhat” disagreed that many women mistakenly interpret innocent remarks or acts as being sexist (G2; Figure 5-2) compared to less than half of young respondents in 2017. The other two subscale items did not show a significant increase in rejection of</w:t>
      </w:r>
      <w:r w:rsidR="002066C7">
        <w:rPr>
          <w:lang w:val="en-GB"/>
        </w:rPr>
        <w:t> </w:t>
      </w:r>
      <w:r w:rsidRPr="007D5CED">
        <w:rPr>
          <w:lang w:val="en-GB"/>
        </w:rPr>
        <w:t>problematic attitudes, despite a trend in this direction in the raw percentages (G1, G3).</w:t>
      </w:r>
    </w:p>
    <w:p w14:paraId="778D88E8" w14:textId="3C6967D2" w:rsidR="007D5CED" w:rsidRPr="007D5CED" w:rsidRDefault="007D5CED" w:rsidP="00A3239A">
      <w:pPr>
        <w:keepNext/>
        <w:keepLines/>
        <w:rPr>
          <w:lang w:val="en-GB"/>
        </w:rPr>
      </w:pPr>
      <w:r w:rsidRPr="007D5CED">
        <w:rPr>
          <w:lang w:val="en-GB"/>
        </w:rPr>
        <w:t>Between 2017 and 2021, consistent with the results for the Limit Autonomy Subscale as a whole (Figure</w:t>
      </w:r>
      <w:r w:rsidR="002066C7">
        <w:rPr>
          <w:lang w:val="en-GB"/>
        </w:rPr>
        <w:t> </w:t>
      </w:r>
      <w:r w:rsidRPr="007D5CED">
        <w:rPr>
          <w:lang w:val="en-GB"/>
        </w:rPr>
        <w:t>5-1), there was no significant improvement according to either of its two items in young respondents’ rejection of attitudes that condone men being in charge in intimate relationships and limit women’s personal autonomy. However, the significant improvement between 2013 and 2021 in</w:t>
      </w:r>
      <w:r w:rsidR="00F63BC9">
        <w:rPr>
          <w:lang w:val="en-GB"/>
        </w:rPr>
        <w:t> </w:t>
      </w:r>
      <w:r w:rsidRPr="007D5CED">
        <w:rPr>
          <w:lang w:val="en-GB"/>
        </w:rPr>
        <w:t>rejection according to this subscale was reflected in one of its two items. Specifically, there was a</w:t>
      </w:r>
      <w:r w:rsidR="00F63BC9">
        <w:rPr>
          <w:lang w:val="en-GB"/>
        </w:rPr>
        <w:t> </w:t>
      </w:r>
      <w:r w:rsidRPr="007D5CED">
        <w:rPr>
          <w:lang w:val="en-GB"/>
        </w:rPr>
        <w:t>significant increase between 2013 and 2021 in young respondents’ rejection of the belief that men should be the head of the household (G12; Figure 5-3).</w:t>
      </w:r>
    </w:p>
    <w:p w14:paraId="0BCA2405" w14:textId="28D67922" w:rsidR="007D5CED" w:rsidRPr="007D5CED" w:rsidRDefault="007D5CED" w:rsidP="00A3239A">
      <w:pPr>
        <w:rPr>
          <w:lang w:val="en-GB"/>
        </w:rPr>
      </w:pPr>
      <w:r w:rsidRPr="007D5CED">
        <w:rPr>
          <w:lang w:val="en-GB"/>
        </w:rPr>
        <w:t>Like the results for the Normalise Sexism Subscale as a whole (Figure 5-1), two of its three items also indicated significant improvement in young respondents’ attitudes over time. There was significant improvement between 2017 and 2021 in young respondents’ rejection of the attitude that it is harmless for men to make sexist jokes about women (G16) and significant improvement between 2013 and 2021 in their rejection of attitudes that discrimination against women is no longer a problem in the workplace in Australia (G10; Figure 5-4). The other subscale item already showed a high level of</w:t>
      </w:r>
      <w:r w:rsidR="00F63BC9">
        <w:rPr>
          <w:lang w:val="en-GB"/>
        </w:rPr>
        <w:t> </w:t>
      </w:r>
      <w:r w:rsidRPr="007D5CED">
        <w:rPr>
          <w:lang w:val="en-GB"/>
        </w:rPr>
        <w:t>rejection of normalising attitudes in 2017, with at least 96</w:t>
      </w:r>
      <w:r w:rsidR="00A31096">
        <w:rPr>
          <w:lang w:val="en-GB"/>
        </w:rPr>
        <w:t xml:space="preserve"> </w:t>
      </w:r>
      <w:r w:rsidRPr="007D5CED">
        <w:rPr>
          <w:lang w:val="en-GB"/>
        </w:rPr>
        <w:t>per</w:t>
      </w:r>
      <w:r w:rsidR="00A31096">
        <w:rPr>
          <w:lang w:val="en-GB"/>
        </w:rPr>
        <w:t xml:space="preserve"> </w:t>
      </w:r>
      <w:r w:rsidRPr="007D5CED">
        <w:rPr>
          <w:lang w:val="en-GB"/>
        </w:rPr>
        <w:t xml:space="preserve">cent of young respondents disagreeing, “strongly” or “somewhat”, that it is okay for men to joke about being violent towards women (G17). </w:t>
      </w:r>
    </w:p>
    <w:p w14:paraId="64D4917B" w14:textId="5F56E193" w:rsidR="007D5CED" w:rsidRPr="007D5CED" w:rsidRDefault="007D5CED" w:rsidP="00A3239A">
      <w:pPr>
        <w:rPr>
          <w:lang w:val="en-GB"/>
        </w:rPr>
      </w:pPr>
      <w:r w:rsidRPr="007D5CED">
        <w:rPr>
          <w:lang w:val="en-GB"/>
        </w:rPr>
        <w:t>As noted above, the Reinforce Gender Roles Subscale as a whole showed a significant increase in young respondents’ rejection of attitudes that support rigid gender roles between 2017 and 2021 (Figure 5-1). However, this result was not found at the item level. None of the five items in this subscale showed a</w:t>
      </w:r>
      <w:r w:rsidR="00F63BC9">
        <w:rPr>
          <w:lang w:val="en-GB"/>
        </w:rPr>
        <w:t> </w:t>
      </w:r>
      <w:r w:rsidRPr="007D5CED">
        <w:rPr>
          <w:lang w:val="en-GB"/>
        </w:rPr>
        <w:t>significant change in this rejection between 2017 and 2021, although the raw percentages for three of</w:t>
      </w:r>
      <w:r w:rsidR="00F63BC9">
        <w:rPr>
          <w:lang w:val="en-GB"/>
        </w:rPr>
        <w:t> </w:t>
      </w:r>
      <w:r w:rsidRPr="007D5CED">
        <w:rPr>
          <w:lang w:val="en-GB"/>
        </w:rPr>
        <w:t>the items trended in this direction (Figure 5-5). It is worth mentioning that, for three of the items (G8,</w:t>
      </w:r>
      <w:r w:rsidR="00F63BC9">
        <w:rPr>
          <w:lang w:val="en-GB"/>
        </w:rPr>
        <w:t> </w:t>
      </w:r>
      <w:r w:rsidRPr="007D5CED">
        <w:rPr>
          <w:lang w:val="en-GB"/>
        </w:rPr>
        <w:t>G7, G14), the lack of significant improvement since 2017 may partly reflect the already high level of</w:t>
      </w:r>
      <w:r w:rsidR="00F63BC9">
        <w:rPr>
          <w:lang w:val="en-GB"/>
        </w:rPr>
        <w:t> </w:t>
      </w:r>
      <w:r w:rsidRPr="007D5CED">
        <w:rPr>
          <w:lang w:val="en-GB"/>
        </w:rPr>
        <w:t>rejection of these problematic attitudes in 2017, with at least 9 in 10 young respondents disagreeing (“strongly” or “somewhat”) with these attitudes in 2017.</w:t>
      </w:r>
    </w:p>
    <w:p w14:paraId="49DE0854" w14:textId="71E42E6B" w:rsidR="007D5CED" w:rsidRPr="00F63BC9" w:rsidRDefault="007D5CED" w:rsidP="00A3239A">
      <w:pPr>
        <w:rPr>
          <w:spacing w:val="-2"/>
          <w:lang w:val="en-GB"/>
        </w:rPr>
      </w:pPr>
      <w:r w:rsidRPr="00F63BC9">
        <w:rPr>
          <w:spacing w:val="-2"/>
          <w:lang w:val="en-GB"/>
        </w:rPr>
        <w:t>Like the results for the Undermine Leadership Subscale as a whole (Figure 5-1), there were no</w:t>
      </w:r>
      <w:r w:rsidR="00F63BC9" w:rsidRPr="00F63BC9">
        <w:rPr>
          <w:spacing w:val="-2"/>
          <w:lang w:val="en-GB"/>
        </w:rPr>
        <w:t> </w:t>
      </w:r>
      <w:r w:rsidRPr="00F63BC9">
        <w:rPr>
          <w:spacing w:val="-2"/>
          <w:lang w:val="en-GB"/>
        </w:rPr>
        <w:t>significant improvements between 2017 and 2021 in attitudes that undermine women’s leadership at</w:t>
      </w:r>
      <w:r w:rsidR="002066C7" w:rsidRPr="00F63BC9">
        <w:rPr>
          <w:spacing w:val="-2"/>
          <w:lang w:val="en-GB"/>
        </w:rPr>
        <w:t> </w:t>
      </w:r>
      <w:r w:rsidRPr="00F63BC9">
        <w:rPr>
          <w:spacing w:val="-2"/>
          <w:lang w:val="en-GB"/>
        </w:rPr>
        <w:t>work and in</w:t>
      </w:r>
      <w:r w:rsidR="00F63BC9">
        <w:rPr>
          <w:spacing w:val="-2"/>
          <w:lang w:val="en-GB"/>
        </w:rPr>
        <w:t> </w:t>
      </w:r>
      <w:r w:rsidRPr="00F63BC9">
        <w:rPr>
          <w:spacing w:val="-2"/>
          <w:lang w:val="en-GB"/>
        </w:rPr>
        <w:t>public life according to any of its four items (Figure 5-6). However, rejection of one of the four Undermine Leadership Subscale items significantly improved between 2009, 2013 and 2021, indicating</w:t>
      </w:r>
      <w:r w:rsidR="00F63BC9">
        <w:rPr>
          <w:spacing w:val="-2"/>
          <w:lang w:val="en-GB"/>
        </w:rPr>
        <w:t> </w:t>
      </w:r>
      <w:r w:rsidRPr="00F63BC9">
        <w:rPr>
          <w:spacing w:val="-2"/>
          <w:lang w:val="en-GB"/>
        </w:rPr>
        <w:t>an</w:t>
      </w:r>
      <w:r w:rsidR="00F63BC9">
        <w:rPr>
          <w:spacing w:val="-2"/>
          <w:lang w:val="en-GB"/>
        </w:rPr>
        <w:t> </w:t>
      </w:r>
      <w:r w:rsidRPr="00F63BC9">
        <w:rPr>
          <w:spacing w:val="-2"/>
          <w:lang w:val="en-GB"/>
        </w:rPr>
        <w:t>increased rejection of the attitude that men make better political leaders than women</w:t>
      </w:r>
      <w:r w:rsidR="002066C7" w:rsidRPr="00F63BC9">
        <w:rPr>
          <w:spacing w:val="-2"/>
          <w:lang w:val="en-GB"/>
        </w:rPr>
        <w:t> </w:t>
      </w:r>
      <w:r w:rsidRPr="00F63BC9">
        <w:rPr>
          <w:spacing w:val="-2"/>
          <w:lang w:val="en-GB"/>
        </w:rPr>
        <w:t>(G4).</w:t>
      </w:r>
    </w:p>
    <w:p w14:paraId="65F266E4" w14:textId="3CE2380F" w:rsidR="007D5CED" w:rsidRPr="007D5CED" w:rsidRDefault="007D5CED" w:rsidP="00DC3FE8">
      <w:pPr>
        <w:pStyle w:val="Heading3"/>
      </w:pPr>
      <w:bookmarkStart w:id="130" w:name="_Toc152532396"/>
      <w:bookmarkStart w:id="131" w:name="_Toc190941682"/>
      <w:bookmarkStart w:id="132" w:name="_Toc190942382"/>
      <w:r w:rsidRPr="007D5CED">
        <w:t>5.2</w:t>
      </w:r>
      <w:r w:rsidR="001C7C59">
        <w:t xml:space="preserve"> </w:t>
      </w:r>
      <w:r w:rsidRPr="007D5CED">
        <w:t>Attitudes in 2021: Young people’s attitudes towards gender inequality</w:t>
      </w:r>
      <w:bookmarkEnd w:id="130"/>
      <w:bookmarkEnd w:id="131"/>
      <w:bookmarkEnd w:id="132"/>
    </w:p>
    <w:p w14:paraId="1F6213A5" w14:textId="77777777" w:rsidR="007D5CED" w:rsidRPr="007D5CED" w:rsidRDefault="007D5CED" w:rsidP="00A3239A">
      <w:pPr>
        <w:rPr>
          <w:lang w:val="en-GB"/>
        </w:rPr>
      </w:pPr>
      <w:r w:rsidRPr="007D5CED">
        <w:rPr>
          <w:lang w:val="en-GB"/>
        </w:rPr>
        <w:t xml:space="preserve">This section examines young respondents’ attitudes towards gender inequality in 2021 based on the AGIS subscales and the items within them. </w:t>
      </w:r>
    </w:p>
    <w:p w14:paraId="10985A1D" w14:textId="1ED0E850" w:rsidR="007D5CED" w:rsidRPr="00F63BC9" w:rsidRDefault="007D5CED" w:rsidP="00A3239A">
      <w:pPr>
        <w:rPr>
          <w:spacing w:val="-2"/>
          <w:lang w:val="en-GB"/>
        </w:rPr>
      </w:pPr>
      <w:r w:rsidRPr="00F63BC9">
        <w:rPr>
          <w:spacing w:val="-2"/>
          <w:lang w:val="en-GB"/>
        </w:rPr>
        <w:t>In 2021, according to mean scores on the AGIS subscales, young respondents had greater rejection of</w:t>
      </w:r>
      <w:r w:rsidR="00F63BC9" w:rsidRPr="00F63BC9">
        <w:rPr>
          <w:spacing w:val="-2"/>
          <w:lang w:val="en-GB"/>
        </w:rPr>
        <w:t> </w:t>
      </w:r>
      <w:r w:rsidRPr="00F63BC9">
        <w:rPr>
          <w:spacing w:val="-2"/>
          <w:lang w:val="en-GB"/>
        </w:rPr>
        <w:t>some attitudes towards gender inequality than other attitudes. They were significantly more likely to</w:t>
      </w:r>
      <w:r w:rsidR="00F63BC9" w:rsidRPr="00F63BC9">
        <w:rPr>
          <w:spacing w:val="-2"/>
          <w:lang w:val="en-GB"/>
        </w:rPr>
        <w:t> </w:t>
      </w:r>
      <w:r w:rsidRPr="00F63BC9">
        <w:rPr>
          <w:spacing w:val="-2"/>
          <w:lang w:val="en-GB"/>
        </w:rPr>
        <w:t>reject attitudes that reinforce rigid gender roles (Reinforce Gender Roles Subscale) than those that limit women’s autonomy (Limit Autonomy Subscale) and normalise sexism (Normalise Sexism; Figure 5-1). In</w:t>
      </w:r>
      <w:r w:rsidR="00F63BC9" w:rsidRPr="00F63BC9">
        <w:rPr>
          <w:spacing w:val="-2"/>
          <w:lang w:val="en-GB"/>
        </w:rPr>
        <w:t> </w:t>
      </w:r>
      <w:r w:rsidRPr="00F63BC9">
        <w:rPr>
          <w:spacing w:val="-2"/>
          <w:lang w:val="en-GB"/>
        </w:rPr>
        <w:t xml:space="preserve">addition, young respondents in 2021 were significantly less likely to reject attitudes that limit women’s autonomy (Limit </w:t>
      </w:r>
      <w:r w:rsidRPr="00F63BC9">
        <w:rPr>
          <w:spacing w:val="-2"/>
          <w:lang w:val="en-GB"/>
        </w:rPr>
        <w:lastRenderedPageBreak/>
        <w:t>Autonomy Subscale) than they were to reject those that deny women’s experiences of inequality (Deny Inequality Subscale) and normalise sexism (Normalise Sexism Subscale; Figure 5-1).</w:t>
      </w:r>
    </w:p>
    <w:p w14:paraId="07C08DFA" w14:textId="2365FA57" w:rsidR="00BE5C5B" w:rsidRDefault="007D5CED" w:rsidP="00A3239A">
      <w:pPr>
        <w:rPr>
          <w:lang w:val="en-GB"/>
        </w:rPr>
      </w:pPr>
      <w:r w:rsidRPr="007D5CED">
        <w:rPr>
          <w:lang w:val="en-GB"/>
        </w:rPr>
        <w:t>Figures 5-2 to 5-6 present young respondents’ 2021 results for the items in each AGIS subscale. Figure</w:t>
      </w:r>
      <w:r w:rsidR="00F63BC9">
        <w:rPr>
          <w:lang w:val="en-GB"/>
        </w:rPr>
        <w:t> </w:t>
      </w:r>
      <w:r w:rsidRPr="007D5CED">
        <w:rPr>
          <w:lang w:val="en-GB"/>
        </w:rPr>
        <w:t>5-2 shows the results for young respondents on the three items in the Deny Inequality Subscale, which describe attitudes that deny gender inequality experiences through backlash or resistance against progressive change towards gender equality. In 2021, less than two fifths of young respondents “strongly disagreed” that many women mistakenly interpret innocent remarks as sexist (26%; G2), that women exaggerate the unequal treatment of women in Australia (32%; G1) and that women do not fully appreciate what men do for them (38%; G3; Figure 5-2). These results indicate considerable support for backlash attitudes among young Australians and highlight the need for continued efforts to</w:t>
      </w:r>
      <w:r w:rsidR="00F63BC9">
        <w:rPr>
          <w:lang w:val="en-GB"/>
        </w:rPr>
        <w:t> </w:t>
      </w:r>
      <w:r w:rsidRPr="007D5CED">
        <w:rPr>
          <w:lang w:val="en-GB"/>
        </w:rPr>
        <w:t>address backlash attitudes.</w:t>
      </w:r>
    </w:p>
    <w:p w14:paraId="3DF3491A" w14:textId="45B94E7B" w:rsidR="007D5CED" w:rsidRPr="007D5CED" w:rsidRDefault="00E52EEC" w:rsidP="002A2C0C">
      <w:pPr>
        <w:pStyle w:val="figuretableheading"/>
      </w:pPr>
      <w:bookmarkStart w:id="133" w:name="_Toc187401246"/>
      <w:r>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2</w:t>
      </w:r>
      <w:r w:rsidR="005B3A89">
        <w:fldChar w:fldCharType="end"/>
      </w:r>
      <w:r w:rsidR="007D5CED" w:rsidRPr="007D5CED">
        <w:t>: Denying gender inequality experiences (AGIS subscale items), 16- to 24-year-olds, 2021</w:t>
      </w:r>
      <w:bookmarkEnd w:id="133"/>
    </w:p>
    <w:p w14:paraId="39483719" w14:textId="73975C92" w:rsidR="007D5CED" w:rsidRPr="00BE5C5B" w:rsidRDefault="00BE5C5B" w:rsidP="00A3239A">
      <w:r>
        <w:rPr>
          <w:noProof/>
        </w:rPr>
        <w:drawing>
          <wp:inline distT="0" distB="0" distL="0" distR="0" wp14:anchorId="10C752F0" wp14:editId="7129353E">
            <wp:extent cx="6120130" cy="2640330"/>
            <wp:effectExtent l="0" t="0" r="0" b="1270"/>
            <wp:docPr id="1590176699" name="Immagine 18" descr="This is a bar graph that shows percentage of 16 to 24 year olds who deny gender inequality experienc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76699" name="Immagine 18" descr="This is a bar graph that shows percentage of 16 to 24 year olds who deny gender inequality experiences. The data in this graph is in the table below."/>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2640330"/>
                    </a:xfrm>
                    <a:prstGeom prst="rect">
                      <a:avLst/>
                    </a:prstGeom>
                  </pic:spPr>
                </pic:pic>
              </a:graphicData>
            </a:graphic>
          </wp:inline>
        </w:drawing>
      </w:r>
    </w:p>
    <w:p w14:paraId="47FB8D8C" w14:textId="0421EB7E" w:rsidR="004266DE" w:rsidRPr="008C29F3" w:rsidRDefault="004266DE" w:rsidP="002A2C0C">
      <w:pPr>
        <w:pStyle w:val="datatableheading"/>
        <w:rPr>
          <w:b/>
          <w:lang w:val="en-GB"/>
        </w:rPr>
      </w:pPr>
      <w:r>
        <w:t>Data table for figure 5-2</w:t>
      </w:r>
      <w:r w:rsidR="001B3C28">
        <w:t>:</w:t>
      </w:r>
      <w:r w:rsidR="0056216C">
        <w:t xml:space="preserve"> Percentage of 16-24-year-old respondents</w:t>
      </w:r>
    </w:p>
    <w:tbl>
      <w:tblPr>
        <w:tblStyle w:val="Table-SingleHeaderRow"/>
        <w:tblpPr w:leftFromText="180" w:rightFromText="180" w:vertAnchor="text" w:tblpY="1"/>
        <w:tblOverlap w:val="never"/>
        <w:tblW w:w="0" w:type="auto"/>
        <w:tblLayout w:type="fixed"/>
        <w:tblLook w:val="04A0" w:firstRow="1" w:lastRow="0" w:firstColumn="1" w:lastColumn="0" w:noHBand="0" w:noVBand="1"/>
      </w:tblPr>
      <w:tblGrid>
        <w:gridCol w:w="1701"/>
        <w:gridCol w:w="1276"/>
        <w:gridCol w:w="1276"/>
        <w:gridCol w:w="1276"/>
        <w:gridCol w:w="1134"/>
        <w:gridCol w:w="1417"/>
        <w:gridCol w:w="1558"/>
      </w:tblGrid>
      <w:tr w:rsidR="00B74E21" w:rsidRPr="008E6594" w14:paraId="337B1ED6" w14:textId="77777777" w:rsidTr="00B74E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0BA1159A" w14:textId="77777777" w:rsidR="00C72405" w:rsidRPr="007E1C6F" w:rsidRDefault="00C72405" w:rsidP="00A3239A">
            <w:pPr>
              <w:pStyle w:val="Tablebody"/>
            </w:pPr>
          </w:p>
        </w:tc>
        <w:tc>
          <w:tcPr>
            <w:tcW w:w="1276" w:type="dxa"/>
          </w:tcPr>
          <w:p w14:paraId="3DC65ADC" w14:textId="77777777" w:rsidR="00C72405" w:rsidRPr="008E6594"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276" w:type="dxa"/>
          </w:tcPr>
          <w:p w14:paraId="7D988050" w14:textId="77777777" w:rsidR="00C72405" w:rsidRPr="008E6594"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276" w:type="dxa"/>
          </w:tcPr>
          <w:p w14:paraId="5E7F6776" w14:textId="2453ECFC" w:rsidR="00C72405"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1134" w:type="dxa"/>
          </w:tcPr>
          <w:p w14:paraId="58B0F102" w14:textId="42B73977" w:rsidR="00C72405"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417" w:type="dxa"/>
          </w:tcPr>
          <w:p w14:paraId="171ABD16" w14:textId="0A2473BC" w:rsidR="00C72405"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558" w:type="dxa"/>
          </w:tcPr>
          <w:p w14:paraId="77D4A2EC" w14:textId="33789D2F" w:rsidR="00C72405" w:rsidRPr="008E6594" w:rsidRDefault="00C72405"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sidR="00F35E92">
              <w:rPr>
                <w:bCs/>
              </w:rPr>
              <w:t>answered</w:t>
            </w:r>
          </w:p>
        </w:tc>
      </w:tr>
      <w:tr w:rsidR="00F35E92" w:rsidRPr="00F35E92" w14:paraId="669ABC16" w14:textId="77777777" w:rsidTr="008C29F3">
        <w:tc>
          <w:tcPr>
            <w:cnfStyle w:val="001000000000" w:firstRow="0" w:lastRow="0" w:firstColumn="1" w:lastColumn="0" w:oddVBand="0" w:evenVBand="0" w:oddHBand="0" w:evenHBand="0" w:firstRowFirstColumn="0" w:firstRowLastColumn="0" w:lastRowFirstColumn="0" w:lastRowLastColumn="0"/>
            <w:tcW w:w="1701" w:type="dxa"/>
          </w:tcPr>
          <w:p w14:paraId="155ACF30" w14:textId="5D1127E3" w:rsidR="00C72405" w:rsidRPr="007E1C6F" w:rsidRDefault="004266DE" w:rsidP="00A3239A">
            <w:pPr>
              <w:pStyle w:val="Tablebody"/>
            </w:pPr>
            <w:r>
              <w:t>Many women don’t fully appreciate all that men do for them (G3)</w:t>
            </w:r>
            <w:r w:rsidR="00C13952">
              <w:t xml:space="preserve"> </w:t>
            </w:r>
            <w:r>
              <w:t>^</w:t>
            </w:r>
            <w:r w:rsidR="00C13952">
              <w:t xml:space="preserve"> </w:t>
            </w:r>
            <w:r w:rsidR="00C13952" w:rsidRPr="008C29F3">
              <w:rPr>
                <w:kern w:val="2"/>
                <w:sz w:val="20"/>
                <w:vertAlign w:val="superscript"/>
              </w:rPr>
              <w:t>ns</w:t>
            </w:r>
          </w:p>
        </w:tc>
        <w:tc>
          <w:tcPr>
            <w:tcW w:w="1276" w:type="dxa"/>
          </w:tcPr>
          <w:p w14:paraId="57CB16F0" w14:textId="06A6B844"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276" w:type="dxa"/>
          </w:tcPr>
          <w:p w14:paraId="253BDF5D" w14:textId="4EF959FE"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17%</w:t>
            </w:r>
          </w:p>
        </w:tc>
        <w:tc>
          <w:tcPr>
            <w:tcW w:w="1276" w:type="dxa"/>
          </w:tcPr>
          <w:p w14:paraId="04F4B507" w14:textId="1FC6C8B6"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32%</w:t>
            </w:r>
          </w:p>
        </w:tc>
        <w:tc>
          <w:tcPr>
            <w:tcW w:w="1134" w:type="dxa"/>
          </w:tcPr>
          <w:p w14:paraId="3AD17089" w14:textId="32BFCE2C"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38%</w:t>
            </w:r>
          </w:p>
        </w:tc>
        <w:tc>
          <w:tcPr>
            <w:tcW w:w="1417" w:type="dxa"/>
          </w:tcPr>
          <w:p w14:paraId="0FD70AF1" w14:textId="3271C1CC" w:rsidR="00C72405"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558" w:type="dxa"/>
          </w:tcPr>
          <w:p w14:paraId="47CB8ADB" w14:textId="3AD5BB99" w:rsidR="00C72405" w:rsidRDefault="00C72405" w:rsidP="00A3239A">
            <w:pPr>
              <w:pStyle w:val="Tablebody"/>
              <w:cnfStyle w:val="000000000000" w:firstRow="0" w:lastRow="0" w:firstColumn="0" w:lastColumn="0" w:oddVBand="0" w:evenVBand="0" w:oddHBand="0" w:evenHBand="0" w:firstRowFirstColumn="0" w:firstRowLastColumn="0" w:lastRowFirstColumn="0" w:lastRowLastColumn="0"/>
            </w:pPr>
          </w:p>
        </w:tc>
      </w:tr>
      <w:tr w:rsidR="00F35E92" w:rsidRPr="00F35E92" w14:paraId="5956A646" w14:textId="77777777" w:rsidTr="008C29F3">
        <w:tc>
          <w:tcPr>
            <w:cnfStyle w:val="001000000000" w:firstRow="0" w:lastRow="0" w:firstColumn="1" w:lastColumn="0" w:oddVBand="0" w:evenVBand="0" w:oddHBand="0" w:evenHBand="0" w:firstRowFirstColumn="0" w:firstRowLastColumn="0" w:lastRowFirstColumn="0" w:lastRowLastColumn="0"/>
            <w:tcW w:w="1701" w:type="dxa"/>
          </w:tcPr>
          <w:p w14:paraId="592E9199" w14:textId="3035B9F5" w:rsidR="00C72405" w:rsidRPr="007E1C6F" w:rsidRDefault="004266DE" w:rsidP="00A3239A">
            <w:pPr>
              <w:pStyle w:val="Tablebody"/>
            </w:pPr>
            <w:r>
              <w:t>Many women exaggerate how unequally women are treated in Australia (G1)</w:t>
            </w:r>
            <w:r w:rsidR="00C13952">
              <w:t xml:space="preserve"> </w:t>
            </w:r>
            <w:r>
              <w:t>^</w:t>
            </w:r>
            <w:r w:rsidR="00C13952">
              <w:t xml:space="preserve"> </w:t>
            </w:r>
            <w:r w:rsidR="00C13952" w:rsidRPr="007D05B5">
              <w:rPr>
                <w:kern w:val="2"/>
                <w:sz w:val="20"/>
                <w:vertAlign w:val="superscript"/>
              </w:rPr>
              <w:t xml:space="preserve"> ns</w:t>
            </w:r>
          </w:p>
        </w:tc>
        <w:tc>
          <w:tcPr>
            <w:tcW w:w="1276" w:type="dxa"/>
          </w:tcPr>
          <w:p w14:paraId="6A949337" w14:textId="1C479D38"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276" w:type="dxa"/>
          </w:tcPr>
          <w:p w14:paraId="60E08FC0" w14:textId="1AFEE8A6"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30%</w:t>
            </w:r>
          </w:p>
        </w:tc>
        <w:tc>
          <w:tcPr>
            <w:tcW w:w="1276" w:type="dxa"/>
          </w:tcPr>
          <w:p w14:paraId="21F7B2BC" w14:textId="6A7CE9E6"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26%</w:t>
            </w:r>
          </w:p>
        </w:tc>
        <w:tc>
          <w:tcPr>
            <w:tcW w:w="1134" w:type="dxa"/>
          </w:tcPr>
          <w:p w14:paraId="3690A50C" w14:textId="3FE503C7" w:rsidR="00C72405"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32%</w:t>
            </w:r>
          </w:p>
        </w:tc>
        <w:tc>
          <w:tcPr>
            <w:tcW w:w="1417" w:type="dxa"/>
          </w:tcPr>
          <w:p w14:paraId="66189386" w14:textId="701518B4" w:rsidR="00C72405"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558" w:type="dxa"/>
          </w:tcPr>
          <w:p w14:paraId="57E07789" w14:textId="6B13B331" w:rsidR="00C72405" w:rsidRDefault="00C72405" w:rsidP="00A3239A">
            <w:pPr>
              <w:pStyle w:val="Tablebody"/>
              <w:cnfStyle w:val="000000000000" w:firstRow="0" w:lastRow="0" w:firstColumn="0" w:lastColumn="0" w:oddVBand="0" w:evenVBand="0" w:oddHBand="0" w:evenHBand="0" w:firstRowFirstColumn="0" w:firstRowLastColumn="0" w:lastRowFirstColumn="0" w:lastRowLastColumn="0"/>
            </w:pPr>
          </w:p>
        </w:tc>
      </w:tr>
      <w:tr w:rsidR="00B74E21" w:rsidRPr="00F35E92" w14:paraId="11C06E99" w14:textId="77777777" w:rsidTr="00B74E21">
        <w:tc>
          <w:tcPr>
            <w:cnfStyle w:val="001000000000" w:firstRow="0" w:lastRow="0" w:firstColumn="1" w:lastColumn="0" w:oddVBand="0" w:evenVBand="0" w:oddHBand="0" w:evenHBand="0" w:firstRowFirstColumn="0" w:firstRowLastColumn="0" w:lastRowFirstColumn="0" w:lastRowLastColumn="0"/>
            <w:tcW w:w="1701" w:type="dxa"/>
          </w:tcPr>
          <w:p w14:paraId="2350AF7E" w14:textId="0D7E7F37" w:rsidR="004266DE" w:rsidRPr="007E1C6F" w:rsidRDefault="004266DE" w:rsidP="00A3239A">
            <w:pPr>
              <w:pStyle w:val="Tablebody"/>
            </w:pPr>
            <w:r>
              <w:t>Many women mistakenly interpret innocent remarks as being sexist (G2)</w:t>
            </w:r>
            <w:r w:rsidR="00C13952">
              <w:t xml:space="preserve"> </w:t>
            </w:r>
            <w:r w:rsidR="00C13952" w:rsidRPr="008C29F3">
              <w:rPr>
                <w:kern w:val="2"/>
                <w:sz w:val="20"/>
                <w:vertAlign w:val="superscript"/>
              </w:rPr>
              <w:t>*</w:t>
            </w:r>
          </w:p>
        </w:tc>
        <w:tc>
          <w:tcPr>
            <w:tcW w:w="1276" w:type="dxa"/>
          </w:tcPr>
          <w:p w14:paraId="69693330" w14:textId="6CA0A71E" w:rsidR="004266DE"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76" w:type="dxa"/>
          </w:tcPr>
          <w:p w14:paraId="03DD9E0B" w14:textId="382C4042" w:rsidR="004266DE"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29%</w:t>
            </w:r>
          </w:p>
        </w:tc>
        <w:tc>
          <w:tcPr>
            <w:tcW w:w="1276" w:type="dxa"/>
          </w:tcPr>
          <w:p w14:paraId="6804CB29" w14:textId="51969C36" w:rsidR="004266DE"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33%</w:t>
            </w:r>
          </w:p>
        </w:tc>
        <w:tc>
          <w:tcPr>
            <w:tcW w:w="1134" w:type="dxa"/>
          </w:tcPr>
          <w:p w14:paraId="1AF2C275" w14:textId="242C3A99" w:rsidR="004266DE" w:rsidRPr="007E1C6F"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26%</w:t>
            </w:r>
          </w:p>
        </w:tc>
        <w:tc>
          <w:tcPr>
            <w:tcW w:w="1417" w:type="dxa"/>
          </w:tcPr>
          <w:p w14:paraId="6E1ABED2" w14:textId="6382FF62" w:rsidR="004266DE" w:rsidRDefault="004266DE"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558" w:type="dxa"/>
          </w:tcPr>
          <w:p w14:paraId="13176099" w14:textId="77777777" w:rsidR="004266DE" w:rsidRDefault="004266DE"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3E13966C" w14:textId="3532DC28" w:rsidR="00C72405" w:rsidRPr="00E27DB9" w:rsidRDefault="00E27DB9"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831 unless otherwise noted. Percentages in the figure do not always add to 100 due to rounding. Significant differences over time are based on the percentage of respondents who answered “strongly disagree” or “somewhat disagree”.</w:t>
      </w:r>
    </w:p>
    <w:p w14:paraId="390A426F" w14:textId="77777777" w:rsidR="007D5CED" w:rsidRPr="007D5CED" w:rsidRDefault="007D5CED" w:rsidP="00A3239A">
      <w:pPr>
        <w:pStyle w:val="Normal8pt"/>
      </w:pPr>
      <w:r w:rsidRPr="007D5CED">
        <w:rPr>
          <w:bCs/>
        </w:rPr>
        <w:t>*</w:t>
      </w:r>
      <w:r w:rsidRPr="007D5CED">
        <w:t xml:space="preserve"> Significantly higher rejection in 2021 than 2017. Change over time results are discussed in Section 5.1.</w:t>
      </w:r>
    </w:p>
    <w:p w14:paraId="59A37556" w14:textId="77777777" w:rsidR="007D5CED" w:rsidRPr="007D5CED" w:rsidRDefault="007D5CED" w:rsidP="00A3239A">
      <w:pPr>
        <w:pStyle w:val="Normal8pt"/>
      </w:pPr>
      <w:r w:rsidRPr="007D5CED">
        <w:rPr>
          <w:bCs/>
        </w:rPr>
        <w:t xml:space="preserve">ns </w:t>
      </w:r>
      <w:r w:rsidRPr="007D5CED">
        <w:t>No significant difference between 2021 and 2017.</w:t>
      </w:r>
    </w:p>
    <w:p w14:paraId="6ED95C5A" w14:textId="77777777" w:rsidR="007D5CED" w:rsidRPr="007D5CED" w:rsidRDefault="007D5CED" w:rsidP="00A3239A">
      <w:pPr>
        <w:pStyle w:val="Normal8pt"/>
      </w:pPr>
      <w:r w:rsidRPr="007D5CED">
        <w:rPr>
          <w:bCs/>
        </w:rPr>
        <w:t>^</w:t>
      </w:r>
      <w:r w:rsidRPr="007D5CED">
        <w:t xml:space="preserve"> Asked of half the sample in 2021.</w:t>
      </w:r>
    </w:p>
    <w:p w14:paraId="23B8C90E" w14:textId="3798BEDA" w:rsidR="007D5CED" w:rsidRPr="007D5CED" w:rsidRDefault="007D5CED" w:rsidP="00A3239A">
      <w:pPr>
        <w:rPr>
          <w:lang w:val="en-GB"/>
        </w:rPr>
      </w:pPr>
      <w:r w:rsidRPr="007D5CED">
        <w:rPr>
          <w:lang w:val="en-GB"/>
        </w:rPr>
        <w:lastRenderedPageBreak/>
        <w:t xml:space="preserve">Figure 5-3 shows young respondents’ rejection in 2021 of attitudes that limit women’s personal autonomy according to the two items in the Limit Autonomy Subscale. In 2021, most young respondents “strongly disagreed” with the normative statement that men </w:t>
      </w:r>
      <w:r w:rsidRPr="00DB4795">
        <w:rPr>
          <w:rStyle w:val="Emphasis"/>
          <w:lang w:val="en-US"/>
        </w:rPr>
        <w:t xml:space="preserve">should </w:t>
      </w:r>
      <w:r w:rsidRPr="007D5CED">
        <w:rPr>
          <w:lang w:val="en-GB"/>
        </w:rPr>
        <w:t>be in charge of</w:t>
      </w:r>
      <w:r w:rsidR="00F63BC9">
        <w:rPr>
          <w:lang w:val="en-GB"/>
        </w:rPr>
        <w:t> </w:t>
      </w:r>
      <w:r w:rsidRPr="007D5CED">
        <w:rPr>
          <w:lang w:val="en-GB"/>
        </w:rPr>
        <w:t>relationships (66%; G12). However, fewer young respondents “strongly disagreed” that women prefer</w:t>
      </w:r>
      <w:r w:rsidR="00F63BC9">
        <w:rPr>
          <w:lang w:val="en-GB"/>
        </w:rPr>
        <w:t> </w:t>
      </w:r>
      <w:r w:rsidRPr="007D5CED">
        <w:rPr>
          <w:lang w:val="en-GB"/>
        </w:rPr>
        <w:t>men to take charge in relationships (38%; G13).</w:t>
      </w:r>
    </w:p>
    <w:p w14:paraId="20085105" w14:textId="6A9DD9B3" w:rsidR="00764A0E" w:rsidRDefault="007D5CED" w:rsidP="0084332B">
      <w:pPr>
        <w:pStyle w:val="Quote"/>
      </w:pPr>
      <w:r w:rsidRPr="007D5CED">
        <w:t>I think there would be a lot of women out there whose lifelong conditioning leads them to want to be a more submissive partner. And although I don’t think it does much to, like, advance gender equality, I</w:t>
      </w:r>
      <w:r w:rsidR="00764A0E">
        <w:t xml:space="preserve"> </w:t>
      </w:r>
      <w:r w:rsidRPr="007D5CED">
        <w:t>think that [agreement that women prefer a man to be in charge of the relationship] sort of speaks to that portion of people who still have internalised that and might enjoy doing so, or might be challenging it,</w:t>
      </w:r>
      <w:r w:rsidR="00764A0E">
        <w:t xml:space="preserve"> </w:t>
      </w:r>
      <w:r w:rsidRPr="007D5CED">
        <w:t>but it still remains.</w:t>
      </w:r>
    </w:p>
    <w:p w14:paraId="055029D1" w14:textId="38854F77" w:rsidR="00B01A0B" w:rsidRPr="006B4015" w:rsidRDefault="007D5CED" w:rsidP="0084332B">
      <w:pPr>
        <w:pStyle w:val="QuoteSignatureLine"/>
      </w:pPr>
      <w:r w:rsidRPr="007D5CED">
        <w:t>– Youth Ambassador</w:t>
      </w:r>
    </w:p>
    <w:p w14:paraId="7652BF50" w14:textId="51E65A5A" w:rsidR="007D5CED" w:rsidRPr="007D5CED" w:rsidRDefault="004D3B2D" w:rsidP="002A2C0C">
      <w:pPr>
        <w:pStyle w:val="figuretableheading"/>
      </w:pPr>
      <w:bookmarkStart w:id="134" w:name="_Toc187401247"/>
      <w:r>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3</w:t>
      </w:r>
      <w:r w:rsidR="005B3A89">
        <w:fldChar w:fldCharType="end"/>
      </w:r>
      <w:r w:rsidR="007D5CED" w:rsidRPr="007D5CED">
        <w:t>: Limiting women’s personal autonomy in relationships (AGIS subscale items), 16- to 24-year-olds, 2021</w:t>
      </w:r>
      <w:bookmarkEnd w:id="134"/>
    </w:p>
    <w:p w14:paraId="5F8259E5" w14:textId="780C8D01" w:rsidR="007D5CED" w:rsidRPr="007D5CED" w:rsidRDefault="00B01A0B" w:rsidP="00A3239A">
      <w:pPr>
        <w:spacing w:after="480"/>
        <w:rPr>
          <w:lang w:val="en-GB"/>
        </w:rPr>
      </w:pPr>
      <w:r>
        <w:rPr>
          <w:noProof/>
          <w:lang w:val="en-GB"/>
        </w:rPr>
        <w:drawing>
          <wp:inline distT="0" distB="0" distL="0" distR="0" wp14:anchorId="148A6543" wp14:editId="4883538D">
            <wp:extent cx="6120130" cy="2073910"/>
            <wp:effectExtent l="0" t="0" r="0" b="0"/>
            <wp:docPr id="1697979466" name="Immagine 19" descr="A bar graph that shows the opinions of 16 to 24 year olds on limiting women's personal autonomy in relationship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9466" name="Immagine 19" descr="A bar graph that shows the opinions of 16 to 24 year olds on limiting women's personal autonomy in relationships. The data in this graph is in the table bel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2073910"/>
                    </a:xfrm>
                    <a:prstGeom prst="rect">
                      <a:avLst/>
                    </a:prstGeom>
                  </pic:spPr>
                </pic:pic>
              </a:graphicData>
            </a:graphic>
          </wp:inline>
        </w:drawing>
      </w:r>
    </w:p>
    <w:p w14:paraId="01F9A2D8" w14:textId="4FAB8359" w:rsidR="00F35E92" w:rsidRPr="00F35E92" w:rsidRDefault="00F35E92" w:rsidP="002A2C0C">
      <w:pPr>
        <w:pStyle w:val="datatableheading"/>
      </w:pPr>
      <w:r>
        <w:t>Data table for figure 5-3</w:t>
      </w:r>
      <w:r w:rsidR="001B3C28">
        <w:t xml:space="preserve">: </w:t>
      </w:r>
      <w:r w:rsidR="0056216C">
        <w:t>Percentage of 16-24-year-old respondents</w:t>
      </w:r>
    </w:p>
    <w:tbl>
      <w:tblPr>
        <w:tblStyle w:val="Table-SingleHeaderRow"/>
        <w:tblW w:w="0" w:type="auto"/>
        <w:tblLook w:val="04A0" w:firstRow="1" w:lastRow="0" w:firstColumn="1" w:lastColumn="0" w:noHBand="0" w:noVBand="1"/>
      </w:tblPr>
      <w:tblGrid>
        <w:gridCol w:w="1894"/>
        <w:gridCol w:w="957"/>
        <w:gridCol w:w="1303"/>
        <w:gridCol w:w="1451"/>
        <w:gridCol w:w="1139"/>
        <w:gridCol w:w="1538"/>
        <w:gridCol w:w="1356"/>
      </w:tblGrid>
      <w:tr w:rsidR="00F35E92" w:rsidRPr="008E6594" w14:paraId="32867899" w14:textId="77777777" w:rsidTr="008E65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85249CD" w14:textId="77777777" w:rsidR="00F35E92" w:rsidRPr="007E1C6F" w:rsidRDefault="00F35E92" w:rsidP="00A3239A">
            <w:pPr>
              <w:pStyle w:val="Tablebody"/>
            </w:pPr>
          </w:p>
        </w:tc>
        <w:tc>
          <w:tcPr>
            <w:tcW w:w="674" w:type="dxa"/>
          </w:tcPr>
          <w:p w14:paraId="47E6204E"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333" w:type="dxa"/>
          </w:tcPr>
          <w:p w14:paraId="62721A37"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506" w:type="dxa"/>
          </w:tcPr>
          <w:p w14:paraId="4E648D91" w14:textId="3746766C"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1169" w:type="dxa"/>
          </w:tcPr>
          <w:p w14:paraId="0297C880" w14:textId="1F83A781"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604" w:type="dxa"/>
          </w:tcPr>
          <w:p w14:paraId="13F37B4B" w14:textId="08A3518F"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67" w:type="dxa"/>
          </w:tcPr>
          <w:p w14:paraId="7ECDA6D7" w14:textId="4D43A410"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F35E92" w:rsidRPr="00F35E92" w14:paraId="256BC553" w14:textId="77777777" w:rsidTr="008E6594">
        <w:tc>
          <w:tcPr>
            <w:cnfStyle w:val="001000000000" w:firstRow="0" w:lastRow="0" w:firstColumn="1" w:lastColumn="0" w:oddVBand="0" w:evenVBand="0" w:oddHBand="0" w:evenHBand="0" w:firstRowFirstColumn="0" w:firstRowLastColumn="0" w:lastRowFirstColumn="0" w:lastRowLastColumn="0"/>
            <w:tcW w:w="1985" w:type="dxa"/>
          </w:tcPr>
          <w:p w14:paraId="6BCD4E09" w14:textId="125786CF" w:rsidR="00F35E92" w:rsidRPr="007E1C6F" w:rsidRDefault="00F35E92" w:rsidP="00A3239A">
            <w:pPr>
              <w:pStyle w:val="Tablebody"/>
            </w:pPr>
            <w:r>
              <w:t>Men should take control in relationships and be the head of the household (G12)</w:t>
            </w:r>
            <w:r w:rsidR="00FF7A1D">
              <w:t xml:space="preserve"> </w:t>
            </w:r>
            <w:r w:rsidR="00FF7A1D" w:rsidRPr="008C29F3">
              <w:rPr>
                <w:kern w:val="2"/>
                <w:sz w:val="20"/>
                <w:vertAlign w:val="superscript"/>
              </w:rPr>
              <w:t>ns</w:t>
            </w:r>
          </w:p>
        </w:tc>
        <w:tc>
          <w:tcPr>
            <w:tcW w:w="674" w:type="dxa"/>
          </w:tcPr>
          <w:p w14:paraId="3E37A1E9" w14:textId="0CECBB9F"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33" w:type="dxa"/>
          </w:tcPr>
          <w:p w14:paraId="774B3E2F" w14:textId="36555849"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1506" w:type="dxa"/>
          </w:tcPr>
          <w:p w14:paraId="1C9D8969" w14:textId="2EC3BF49"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18%</w:t>
            </w:r>
          </w:p>
        </w:tc>
        <w:tc>
          <w:tcPr>
            <w:tcW w:w="1169" w:type="dxa"/>
          </w:tcPr>
          <w:p w14:paraId="62AD5031" w14:textId="4CAC1D00"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604" w:type="dxa"/>
          </w:tcPr>
          <w:p w14:paraId="2DEA59D8" w14:textId="76AC1F2E"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67" w:type="dxa"/>
          </w:tcPr>
          <w:p w14:paraId="1285787B" w14:textId="77777777"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r>
      <w:tr w:rsidR="00F35E92" w:rsidRPr="00F35E92" w14:paraId="77A12C84" w14:textId="77777777" w:rsidTr="008E6594">
        <w:tc>
          <w:tcPr>
            <w:cnfStyle w:val="001000000000" w:firstRow="0" w:lastRow="0" w:firstColumn="1" w:lastColumn="0" w:oddVBand="0" w:evenVBand="0" w:oddHBand="0" w:evenHBand="0" w:firstRowFirstColumn="0" w:firstRowLastColumn="0" w:lastRowFirstColumn="0" w:lastRowLastColumn="0"/>
            <w:tcW w:w="1985" w:type="dxa"/>
          </w:tcPr>
          <w:p w14:paraId="327DD54C" w14:textId="35AB884E" w:rsidR="00F35E92" w:rsidRPr="007E1C6F" w:rsidRDefault="00F35E92" w:rsidP="00A3239A">
            <w:pPr>
              <w:pStyle w:val="Tablebody"/>
            </w:pPr>
            <w:r>
              <w:t>Women prefer a man to be in charge of the relationship (G13)</w:t>
            </w:r>
            <w:r w:rsidR="00FF7A1D">
              <w:t xml:space="preserve"> </w:t>
            </w:r>
            <w:r w:rsidR="00FF7A1D" w:rsidRPr="007D05B5">
              <w:rPr>
                <w:kern w:val="2"/>
                <w:sz w:val="20"/>
                <w:vertAlign w:val="superscript"/>
              </w:rPr>
              <w:t>ns</w:t>
            </w:r>
          </w:p>
        </w:tc>
        <w:tc>
          <w:tcPr>
            <w:tcW w:w="674" w:type="dxa"/>
          </w:tcPr>
          <w:p w14:paraId="206C9DC7" w14:textId="1DFAA8D4"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33" w:type="dxa"/>
          </w:tcPr>
          <w:p w14:paraId="01ED949E" w14:textId="7A6F50E1"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24%</w:t>
            </w:r>
          </w:p>
        </w:tc>
        <w:tc>
          <w:tcPr>
            <w:tcW w:w="1506" w:type="dxa"/>
          </w:tcPr>
          <w:p w14:paraId="126B2327" w14:textId="049841F0"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28%</w:t>
            </w:r>
          </w:p>
        </w:tc>
        <w:tc>
          <w:tcPr>
            <w:tcW w:w="1169" w:type="dxa"/>
          </w:tcPr>
          <w:p w14:paraId="33305A06" w14:textId="1B5BCCDF"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38%</w:t>
            </w:r>
          </w:p>
        </w:tc>
        <w:tc>
          <w:tcPr>
            <w:tcW w:w="1604" w:type="dxa"/>
          </w:tcPr>
          <w:p w14:paraId="60FA7444" w14:textId="02FE5654"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367" w:type="dxa"/>
          </w:tcPr>
          <w:p w14:paraId="034B379D" w14:textId="77777777"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6CA7C46D" w14:textId="77777777" w:rsidR="00E27DB9" w:rsidRPr="00F35E92" w:rsidRDefault="00E27DB9" w:rsidP="00A3239A">
      <w:pPr>
        <w:pStyle w:val="Normal8pt"/>
      </w:pPr>
      <w:r w:rsidRPr="008C29F3">
        <w:rPr>
          <w:b/>
        </w:rPr>
        <w:t>Note</w:t>
      </w:r>
      <w:r w:rsidRPr="007D5CED">
        <w:rPr>
          <w:bCs/>
        </w:rPr>
        <w:t xml:space="preserve">: </w:t>
      </w:r>
      <w:r w:rsidRPr="0073256E">
        <w:rPr>
          <w:rStyle w:val="Emphasis"/>
        </w:rPr>
        <w:t>N</w:t>
      </w:r>
      <w:r w:rsidRPr="007D5CED">
        <w:t xml:space="preserve"> = 1,616 unless otherwise noted. Significant differences over time are based on the percentage of respondents who answered “strongly disagree” or “somewhat disagree”.</w:t>
      </w:r>
    </w:p>
    <w:p w14:paraId="73F13DF5" w14:textId="01DAC082" w:rsidR="00E27DB9" w:rsidRPr="00E27DB9" w:rsidRDefault="00E27DB9" w:rsidP="00A3239A">
      <w:pPr>
        <w:pStyle w:val="Normal8pt"/>
      </w:pPr>
      <w:r w:rsidRPr="007D5CED">
        <w:rPr>
          <w:bCs/>
        </w:rPr>
        <w:t xml:space="preserve">ns </w:t>
      </w:r>
      <w:r w:rsidRPr="007D5CED">
        <w:t>No significant difference between 2021 and 2017. Change over time results are discussed in Section 5.1.</w:t>
      </w:r>
    </w:p>
    <w:p w14:paraId="5B306F79" w14:textId="29CE5784" w:rsidR="007D5CED" w:rsidRPr="007D5CED" w:rsidRDefault="007D5CED" w:rsidP="00A3239A">
      <w:pPr>
        <w:rPr>
          <w:lang w:val="en-GB"/>
        </w:rPr>
      </w:pPr>
      <w:r w:rsidRPr="007D5CED">
        <w:rPr>
          <w:lang w:val="en-GB"/>
        </w:rPr>
        <w:t xml:space="preserve">Figure 5-4 shows the 2021 results for young respondents on the three items in the Normalise Sexism Subscale. In 2021, most young respondents “strongly disagreed” that jokes about violence against women are acceptable (88%; G17). However, fewer young respondents “strongly disagreed” that sexist jokes are acceptable (61%; G16) and that workplace discrimination against women is not a problem (64%; G10). </w:t>
      </w:r>
    </w:p>
    <w:p w14:paraId="2174261D" w14:textId="0D43C735" w:rsidR="007D5CED" w:rsidRPr="007D5CED" w:rsidRDefault="00B01A0B" w:rsidP="002A2C0C">
      <w:pPr>
        <w:pStyle w:val="figuretableheading"/>
      </w:pPr>
      <w:bookmarkStart w:id="135" w:name="_Toc187401248"/>
      <w:r>
        <w:lastRenderedPageBreak/>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4</w:t>
      </w:r>
      <w:r w:rsidR="005B3A89">
        <w:fldChar w:fldCharType="end"/>
      </w:r>
      <w:r w:rsidR="007D5CED" w:rsidRPr="007D5CED">
        <w:t>: Normalising sexism (AGIS subscale items), 16- to 24-year-olds, 2021</w:t>
      </w:r>
      <w:bookmarkEnd w:id="135"/>
    </w:p>
    <w:p w14:paraId="7FE6ED57" w14:textId="6118D3B0" w:rsidR="007D5CED" w:rsidRPr="007D5CED" w:rsidRDefault="00484B81" w:rsidP="00A3239A">
      <w:pPr>
        <w:rPr>
          <w:lang w:val="en-GB"/>
        </w:rPr>
      </w:pPr>
      <w:r>
        <w:rPr>
          <w:noProof/>
          <w:lang w:val="en-GB"/>
        </w:rPr>
        <w:drawing>
          <wp:inline distT="0" distB="0" distL="0" distR="0" wp14:anchorId="107DE114" wp14:editId="67371DE9">
            <wp:extent cx="6120130" cy="2689225"/>
            <wp:effectExtent l="0" t="0" r="0" b="3175"/>
            <wp:docPr id="535837390" name="Immagine 20" descr="A bar graph that shows the 16 to 24 year old respondents' opinions on normalising sexism.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37390" name="Immagine 20" descr="A bar graph that shows the 16 to 24 year old respondents' opinions on normalising sexism. The data in this graph is in the table below."/>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2689225"/>
                    </a:xfrm>
                    <a:prstGeom prst="rect">
                      <a:avLst/>
                    </a:prstGeom>
                  </pic:spPr>
                </pic:pic>
              </a:graphicData>
            </a:graphic>
          </wp:inline>
        </w:drawing>
      </w:r>
    </w:p>
    <w:p w14:paraId="3C736F38" w14:textId="1661A1D9" w:rsidR="00BE7B1D" w:rsidRPr="00E27DB9" w:rsidRDefault="00BE7B1D" w:rsidP="002A2C0C">
      <w:pPr>
        <w:pStyle w:val="datatableheading"/>
      </w:pPr>
      <w:r>
        <w:t>Data table for figure 5-4</w:t>
      </w:r>
      <w:r w:rsidR="001B3C28">
        <w:t xml:space="preserve">: </w:t>
      </w:r>
      <w:r w:rsidR="0056216C">
        <w:t>Percentage of 16-24-year-old respondents</w:t>
      </w:r>
    </w:p>
    <w:tbl>
      <w:tblPr>
        <w:tblStyle w:val="Table-SingleHeaderRow"/>
        <w:tblW w:w="9739" w:type="dxa"/>
        <w:tblLook w:val="04A0" w:firstRow="1" w:lastRow="0" w:firstColumn="1" w:lastColumn="0" w:noHBand="0" w:noVBand="1"/>
      </w:tblPr>
      <w:tblGrid>
        <w:gridCol w:w="2551"/>
        <w:gridCol w:w="1134"/>
        <w:gridCol w:w="1190"/>
        <w:gridCol w:w="1244"/>
        <w:gridCol w:w="1080"/>
        <w:gridCol w:w="1190"/>
        <w:gridCol w:w="1350"/>
      </w:tblGrid>
      <w:tr w:rsidR="00F63BC9" w:rsidRPr="008E6594" w14:paraId="4D07E62C" w14:textId="77777777" w:rsidTr="00F63B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004C6435" w14:textId="77777777" w:rsidR="00F35E92" w:rsidRPr="007E1C6F" w:rsidRDefault="00F35E92" w:rsidP="00A3239A">
            <w:pPr>
              <w:pStyle w:val="Tablebody"/>
            </w:pPr>
          </w:p>
        </w:tc>
        <w:tc>
          <w:tcPr>
            <w:tcW w:w="1134" w:type="dxa"/>
          </w:tcPr>
          <w:p w14:paraId="0DACF80F"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190" w:type="dxa"/>
          </w:tcPr>
          <w:p w14:paraId="3FB510C5"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244" w:type="dxa"/>
          </w:tcPr>
          <w:p w14:paraId="20513C0D"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1080" w:type="dxa"/>
          </w:tcPr>
          <w:p w14:paraId="67798CA5"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190" w:type="dxa"/>
          </w:tcPr>
          <w:p w14:paraId="3D15928C"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7FA3E151" w14:textId="77777777" w:rsidR="00F35E92" w:rsidRPr="008E6594" w:rsidRDefault="00F35E9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F63BC9" w:rsidRPr="00BE7B1D" w14:paraId="7269FBB6" w14:textId="77777777" w:rsidTr="00F63BC9">
        <w:tc>
          <w:tcPr>
            <w:cnfStyle w:val="001000000000" w:firstRow="0" w:lastRow="0" w:firstColumn="1" w:lastColumn="0" w:oddVBand="0" w:evenVBand="0" w:oddHBand="0" w:evenHBand="0" w:firstRowFirstColumn="0" w:firstRowLastColumn="0" w:lastRowFirstColumn="0" w:lastRowLastColumn="0"/>
            <w:tcW w:w="2551" w:type="dxa"/>
          </w:tcPr>
          <w:p w14:paraId="431608AA" w14:textId="28E28089" w:rsidR="00F35E92" w:rsidRPr="007E1C6F" w:rsidRDefault="00BE7B1D" w:rsidP="00A3239A">
            <w:pPr>
              <w:pStyle w:val="Tablebody"/>
            </w:pPr>
            <w:r>
              <w:t>I think it’s OK for men to</w:t>
            </w:r>
            <w:r w:rsidR="00F63BC9">
              <w:t> </w:t>
            </w:r>
            <w:r>
              <w:t>joke with their male friends about being violent towards women (G17) ~</w:t>
            </w:r>
            <w:r w:rsidR="00311EF8">
              <w:t xml:space="preserve"> </w:t>
            </w:r>
            <w:r w:rsidR="00311EF8" w:rsidRPr="007D05B5">
              <w:rPr>
                <w:kern w:val="2"/>
                <w:sz w:val="20"/>
                <w:vertAlign w:val="superscript"/>
              </w:rPr>
              <w:t>ns</w:t>
            </w:r>
          </w:p>
        </w:tc>
        <w:tc>
          <w:tcPr>
            <w:tcW w:w="1134" w:type="dxa"/>
          </w:tcPr>
          <w:p w14:paraId="3F574410" w14:textId="5426A6B7" w:rsidR="00F35E92" w:rsidRPr="007E1C6F"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c>
          <w:tcPr>
            <w:tcW w:w="1190" w:type="dxa"/>
          </w:tcPr>
          <w:p w14:paraId="11DAFFA5" w14:textId="3A8ABD54"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44" w:type="dxa"/>
          </w:tcPr>
          <w:p w14:paraId="198E0AA6" w14:textId="778E0930"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080" w:type="dxa"/>
          </w:tcPr>
          <w:p w14:paraId="793B547F" w14:textId="1F035D9E"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88%</w:t>
            </w:r>
          </w:p>
        </w:tc>
        <w:tc>
          <w:tcPr>
            <w:tcW w:w="1190" w:type="dxa"/>
          </w:tcPr>
          <w:p w14:paraId="7425964D" w14:textId="5F2B2E85"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61040613" w14:textId="77777777"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r>
      <w:tr w:rsidR="00F63BC9" w:rsidRPr="00BE7B1D" w14:paraId="151C1372" w14:textId="77777777" w:rsidTr="00F63BC9">
        <w:tc>
          <w:tcPr>
            <w:cnfStyle w:val="001000000000" w:firstRow="0" w:lastRow="0" w:firstColumn="1" w:lastColumn="0" w:oddVBand="0" w:evenVBand="0" w:oddHBand="0" w:evenHBand="0" w:firstRowFirstColumn="0" w:firstRowLastColumn="0" w:lastRowFirstColumn="0" w:lastRowLastColumn="0"/>
            <w:tcW w:w="2551" w:type="dxa"/>
          </w:tcPr>
          <w:p w14:paraId="66EA7C23" w14:textId="38552525" w:rsidR="00F35E92" w:rsidRPr="007E1C6F" w:rsidRDefault="00BE7B1D" w:rsidP="00A3239A">
            <w:pPr>
              <w:pStyle w:val="Tablebody"/>
            </w:pPr>
            <w:r>
              <w:t>Discrimination against women is no longer a</w:t>
            </w:r>
            <w:r w:rsidR="00F63BC9">
              <w:t> </w:t>
            </w:r>
            <w:r>
              <w:t>problem in the Workplace in Australia (G10) ~</w:t>
            </w:r>
            <w:r w:rsidR="00311EF8">
              <w:t xml:space="preserve"> </w:t>
            </w:r>
            <w:r w:rsidR="00311EF8" w:rsidRPr="007D05B5">
              <w:rPr>
                <w:kern w:val="2"/>
                <w:sz w:val="20"/>
                <w:vertAlign w:val="superscript"/>
              </w:rPr>
              <w:t>ns</w:t>
            </w:r>
          </w:p>
        </w:tc>
        <w:tc>
          <w:tcPr>
            <w:tcW w:w="1134" w:type="dxa"/>
          </w:tcPr>
          <w:p w14:paraId="4CA930D7" w14:textId="16A48008"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90" w:type="dxa"/>
          </w:tcPr>
          <w:p w14:paraId="11C3980D" w14:textId="3FD072F8"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244" w:type="dxa"/>
          </w:tcPr>
          <w:p w14:paraId="17ACEC70" w14:textId="3AD7798C"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27%</w:t>
            </w:r>
          </w:p>
        </w:tc>
        <w:tc>
          <w:tcPr>
            <w:tcW w:w="1080" w:type="dxa"/>
          </w:tcPr>
          <w:p w14:paraId="5FF743A0" w14:textId="775EC773" w:rsidR="00F35E92" w:rsidRPr="007E1C6F"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1190" w:type="dxa"/>
          </w:tcPr>
          <w:p w14:paraId="2BEA4125" w14:textId="0A166D95"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54D1F11F" w14:textId="77777777"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r>
      <w:tr w:rsidR="00F63BC9" w:rsidRPr="00BE7B1D" w14:paraId="6714126A" w14:textId="77777777" w:rsidTr="00F63BC9">
        <w:tc>
          <w:tcPr>
            <w:cnfStyle w:val="001000000000" w:firstRow="0" w:lastRow="0" w:firstColumn="1" w:lastColumn="0" w:oddVBand="0" w:evenVBand="0" w:oddHBand="0" w:evenHBand="0" w:firstRowFirstColumn="0" w:firstRowLastColumn="0" w:lastRowFirstColumn="0" w:lastRowLastColumn="0"/>
            <w:tcW w:w="2551" w:type="dxa"/>
          </w:tcPr>
          <w:p w14:paraId="59BE2648" w14:textId="6AEAB194" w:rsidR="00F35E92" w:rsidRPr="007E1C6F" w:rsidRDefault="00BE7B1D" w:rsidP="00A3239A">
            <w:pPr>
              <w:pStyle w:val="Tablebody"/>
            </w:pPr>
            <w:r>
              <w:t>I think there’s no harm in</w:t>
            </w:r>
            <w:r w:rsidR="00651048">
              <w:t> </w:t>
            </w:r>
            <w:r>
              <w:t>men making sexist jokes about women when they are among their male friends (G16) ~</w:t>
            </w:r>
            <w:r w:rsidR="00311EF8">
              <w:t xml:space="preserve"> </w:t>
            </w:r>
            <w:r w:rsidR="00311EF8" w:rsidRPr="008C29F3">
              <w:rPr>
                <w:kern w:val="2"/>
                <w:sz w:val="20"/>
                <w:vertAlign w:val="superscript"/>
              </w:rPr>
              <w:t>*</w:t>
            </w:r>
          </w:p>
        </w:tc>
        <w:tc>
          <w:tcPr>
            <w:tcW w:w="1134" w:type="dxa"/>
          </w:tcPr>
          <w:p w14:paraId="6ECF81F4" w14:textId="1315A14B"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0" w:type="dxa"/>
          </w:tcPr>
          <w:p w14:paraId="29B959C4" w14:textId="34759355"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1244" w:type="dxa"/>
          </w:tcPr>
          <w:p w14:paraId="46B56BE0" w14:textId="49B4D926"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24%</w:t>
            </w:r>
          </w:p>
        </w:tc>
        <w:tc>
          <w:tcPr>
            <w:tcW w:w="1080" w:type="dxa"/>
          </w:tcPr>
          <w:p w14:paraId="38F848A4" w14:textId="54FCBE3C"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61%</w:t>
            </w:r>
          </w:p>
        </w:tc>
        <w:tc>
          <w:tcPr>
            <w:tcW w:w="1190" w:type="dxa"/>
          </w:tcPr>
          <w:p w14:paraId="2807945F" w14:textId="2EEA0654" w:rsidR="00F35E92" w:rsidRDefault="00BE7B1D"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50" w:type="dxa"/>
          </w:tcPr>
          <w:p w14:paraId="45D3BD5A" w14:textId="77777777" w:rsidR="00F35E92" w:rsidRDefault="00F35E92"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408BF346" w14:textId="1976A8B3" w:rsidR="00F35E92" w:rsidRPr="00E27DB9" w:rsidRDefault="00E27DB9" w:rsidP="00A3239A">
      <w:pPr>
        <w:pStyle w:val="Normal8pt"/>
      </w:pPr>
      <w:r w:rsidRPr="008C29F3">
        <w:rPr>
          <w:b/>
        </w:rPr>
        <w:t>Note</w:t>
      </w:r>
      <w:r w:rsidRPr="007D5CED">
        <w:rPr>
          <w:bCs/>
        </w:rPr>
        <w:t xml:space="preserve">: </w:t>
      </w:r>
      <w:r w:rsidRPr="0073256E">
        <w:rPr>
          <w:rStyle w:val="Emphasis"/>
        </w:rPr>
        <w:t>N</w:t>
      </w:r>
      <w:r w:rsidRPr="007D5CED">
        <w:t xml:space="preserve"> = 550 unless otherwise noted. Percentages in the figure do not always add to 100 due to rounding. Significant differences over time are based on the percentage of respondents who answered “strongly disagree” or “somewhat disagree”.</w:t>
      </w:r>
    </w:p>
    <w:p w14:paraId="0B3DA806" w14:textId="77777777" w:rsidR="007D5CED" w:rsidRPr="007D5CED" w:rsidRDefault="007D5CED" w:rsidP="00A3239A">
      <w:pPr>
        <w:pStyle w:val="Normal8pt"/>
      </w:pPr>
      <w:r w:rsidRPr="007D5CED">
        <w:rPr>
          <w:bCs/>
        </w:rPr>
        <w:t>*</w:t>
      </w:r>
      <w:r w:rsidRPr="007D5CED">
        <w:t xml:space="preserve"> Significantly higher rejection in 2021 than 2017. Change over time results are discussed in Section 5.1.</w:t>
      </w:r>
    </w:p>
    <w:p w14:paraId="5763A9F9" w14:textId="77777777" w:rsidR="007D5CED" w:rsidRPr="007D5CED" w:rsidRDefault="007D5CED" w:rsidP="00A3239A">
      <w:pPr>
        <w:pStyle w:val="Normal8pt"/>
      </w:pPr>
      <w:r w:rsidRPr="007D5CED">
        <w:rPr>
          <w:bCs/>
        </w:rPr>
        <w:t xml:space="preserve">ns </w:t>
      </w:r>
      <w:r w:rsidRPr="007D5CED">
        <w:t>No significant difference between 2021 and 2017.</w:t>
      </w:r>
    </w:p>
    <w:p w14:paraId="257C8D5A" w14:textId="77777777" w:rsidR="007D5CED" w:rsidRDefault="007D5CED" w:rsidP="00A3239A">
      <w:pPr>
        <w:pStyle w:val="Normal8pt"/>
      </w:pPr>
      <w:r w:rsidRPr="007D5CED">
        <w:rPr>
          <w:rFonts w:ascii="Montserrat" w:hAnsi="Montserrat" w:cs="Montserrat"/>
          <w:bCs/>
        </w:rPr>
        <w:t>~</w:t>
      </w:r>
      <w:r w:rsidRPr="007D5CED">
        <w:t xml:space="preserve"> Asked of one quarter of the sample in 2021.</w:t>
      </w:r>
    </w:p>
    <w:p w14:paraId="36476BA5" w14:textId="3016F104" w:rsidR="007D5CED" w:rsidRPr="007D5CED" w:rsidRDefault="007D5CED" w:rsidP="00A3239A">
      <w:pPr>
        <w:rPr>
          <w:lang w:val="en-GB"/>
        </w:rPr>
      </w:pPr>
      <w:r w:rsidRPr="007D5CED">
        <w:rPr>
          <w:lang w:val="en-GB"/>
        </w:rPr>
        <w:t>Figure 5-5 shows young respondents’ rejection in 2021 of the different attitudes that reinforce rigid gender roles, according to the five items in the Reinforce Gender Roles Subscale. In 2021, most young respondents “strongly disagreed” with attitudes that chastise men for working in stereotypically “feminine” industries (84%; G7) and for expressing emotion (84%; G8). However, fewer young respondents “strongly disagreed” with expectations that women should not initiate sex when a couple starts dating (60%; G15).</w:t>
      </w:r>
    </w:p>
    <w:p w14:paraId="045BAA06" w14:textId="66C291FC" w:rsidR="00764A0E" w:rsidRDefault="007D5CED" w:rsidP="0084332B">
      <w:pPr>
        <w:pStyle w:val="Quote"/>
      </w:pPr>
      <w:r w:rsidRPr="007D5CED">
        <w:t>A lot of my friends like these social concepts when it’s applied to other people and not their relationships. Like a lot of them say things like, “I love a woman who works hard, who’s busy and earns more than me</w:t>
      </w:r>
      <w:r w:rsidR="000F6DFB">
        <w:t xml:space="preserve"> </w:t>
      </w:r>
      <w:r w:rsidRPr="007D5CED">
        <w:t>and is independent and does all</w:t>
      </w:r>
      <w:r w:rsidR="00764A0E">
        <w:t xml:space="preserve"> </w:t>
      </w:r>
      <w:r w:rsidRPr="007D5CED">
        <w:t>of this jazzy stu</w:t>
      </w:r>
      <w:r w:rsidRPr="007D5CED">
        <w:rPr>
          <w:spacing w:val="5"/>
        </w:rPr>
        <w:t>f</w:t>
      </w:r>
      <w:r w:rsidRPr="007D5CED">
        <w:t>f. But I don’t want my partner to be like that because I want my partner to have time for me. I want my partner to sacrifice things for me. I want my partner to put family first and have</w:t>
      </w:r>
      <w:r w:rsidR="00764A0E">
        <w:t xml:space="preserve"> </w:t>
      </w:r>
      <w:r w:rsidRPr="007D5CED">
        <w:t>kids with me.”</w:t>
      </w:r>
    </w:p>
    <w:p w14:paraId="6CF96A63" w14:textId="63C83C5F" w:rsidR="007D5CED" w:rsidRPr="007D5CED" w:rsidRDefault="007D5CED" w:rsidP="0084332B">
      <w:pPr>
        <w:pStyle w:val="QuoteSignatureLine"/>
      </w:pPr>
      <w:r w:rsidRPr="007D5CED">
        <w:t>– Youth Ambassador</w:t>
      </w:r>
    </w:p>
    <w:p w14:paraId="377342D0" w14:textId="0EA8424B" w:rsidR="007D5CED" w:rsidRPr="007D5CED" w:rsidRDefault="00E24F4C" w:rsidP="002A2C0C">
      <w:pPr>
        <w:pStyle w:val="figuretableheading"/>
      </w:pPr>
      <w:bookmarkStart w:id="136" w:name="_Toc187401249"/>
      <w:r>
        <w:lastRenderedPageBreak/>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5</w:t>
      </w:r>
      <w:r w:rsidR="005B3A89">
        <w:fldChar w:fldCharType="end"/>
      </w:r>
      <w:r w:rsidR="007D5CED" w:rsidRPr="007D5CED">
        <w:t>: Reinforcing rigid gender roles (AGIS subscale items), 16- to 24-year-olds, 2021</w:t>
      </w:r>
      <w:bookmarkEnd w:id="136"/>
    </w:p>
    <w:p w14:paraId="5BD7004D" w14:textId="1B5B03CA" w:rsidR="007D5CED" w:rsidRPr="007D5CED" w:rsidRDefault="004C6BBA" w:rsidP="00A3239A">
      <w:pPr>
        <w:rPr>
          <w:lang w:val="en-GB"/>
        </w:rPr>
      </w:pPr>
      <w:r>
        <w:rPr>
          <w:noProof/>
          <w:lang w:val="en-GB"/>
        </w:rPr>
        <w:drawing>
          <wp:inline distT="0" distB="0" distL="0" distR="0" wp14:anchorId="0DAD1C61" wp14:editId="24298098">
            <wp:extent cx="6120130" cy="3220720"/>
            <wp:effectExtent l="0" t="0" r="1270" b="5080"/>
            <wp:docPr id="659001248" name="Immagine 21" descr="A bar graph that shows the 16 to 24 year old respondents' opinions on reinforcing rigid gender role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01248" name="Immagine 21" descr="A bar graph that shows the 16 to 24 year old respondents' opinions on reinforcing rigid gender roles. The data in this graph is in the table below."/>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3220720"/>
                    </a:xfrm>
                    <a:prstGeom prst="rect">
                      <a:avLst/>
                    </a:prstGeom>
                  </pic:spPr>
                </pic:pic>
              </a:graphicData>
            </a:graphic>
          </wp:inline>
        </w:drawing>
      </w:r>
    </w:p>
    <w:p w14:paraId="58F709B5" w14:textId="32988A5B" w:rsidR="00E27DB9" w:rsidRPr="001B3C28" w:rsidRDefault="00E27DB9" w:rsidP="002A2C0C">
      <w:pPr>
        <w:pStyle w:val="datatableheading"/>
      </w:pPr>
      <w:r>
        <w:t>Data table for figure 5-5</w:t>
      </w:r>
      <w:r w:rsidR="001B3C28">
        <w:t xml:space="preserve">: </w:t>
      </w:r>
      <w:r w:rsidR="0056216C">
        <w:t>Percentage of 16-24-year-old respondents</w:t>
      </w:r>
    </w:p>
    <w:tbl>
      <w:tblPr>
        <w:tblStyle w:val="Table-SingleHeaderRow"/>
        <w:tblW w:w="9660" w:type="dxa"/>
        <w:tblLook w:val="04A0" w:firstRow="1" w:lastRow="0" w:firstColumn="1" w:lastColumn="0" w:noHBand="0" w:noVBand="1"/>
      </w:tblPr>
      <w:tblGrid>
        <w:gridCol w:w="2608"/>
        <w:gridCol w:w="1077"/>
        <w:gridCol w:w="1169"/>
        <w:gridCol w:w="1191"/>
        <w:gridCol w:w="1083"/>
        <w:gridCol w:w="1173"/>
        <w:gridCol w:w="1359"/>
      </w:tblGrid>
      <w:tr w:rsidR="00F63BC9" w:rsidRPr="008E6594" w14:paraId="33A3DBED" w14:textId="77777777" w:rsidTr="00F63B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8" w:type="dxa"/>
          </w:tcPr>
          <w:p w14:paraId="2BB10D3C" w14:textId="77777777" w:rsidR="00E27DB9" w:rsidRPr="007E1C6F" w:rsidRDefault="00E27DB9" w:rsidP="00A3239A">
            <w:pPr>
              <w:pStyle w:val="Tablebody"/>
            </w:pPr>
          </w:p>
        </w:tc>
        <w:tc>
          <w:tcPr>
            <w:tcW w:w="1077" w:type="dxa"/>
          </w:tcPr>
          <w:p w14:paraId="42558300"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169" w:type="dxa"/>
          </w:tcPr>
          <w:p w14:paraId="658F666C"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191" w:type="dxa"/>
          </w:tcPr>
          <w:p w14:paraId="49592BC1"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1083" w:type="dxa"/>
          </w:tcPr>
          <w:p w14:paraId="7CF061E0"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173" w:type="dxa"/>
          </w:tcPr>
          <w:p w14:paraId="2CE7DB9E"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9" w:type="dxa"/>
          </w:tcPr>
          <w:p w14:paraId="55E0FF02" w14:textId="77777777" w:rsidR="00E27DB9" w:rsidRPr="008E6594" w:rsidRDefault="00E27DB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E27DB9" w:rsidRPr="00B809DC" w14:paraId="0D6FCD16" w14:textId="77777777" w:rsidTr="00F63BC9">
        <w:tc>
          <w:tcPr>
            <w:cnfStyle w:val="001000000000" w:firstRow="0" w:lastRow="0" w:firstColumn="1" w:lastColumn="0" w:oddVBand="0" w:evenVBand="0" w:oddHBand="0" w:evenHBand="0" w:firstRowFirstColumn="0" w:firstRowLastColumn="0" w:lastRowFirstColumn="0" w:lastRowLastColumn="0"/>
            <w:tcW w:w="2608" w:type="dxa"/>
          </w:tcPr>
          <w:p w14:paraId="3038D1AA" w14:textId="7C3B8B6A" w:rsidR="00E27DB9" w:rsidRPr="007E1C6F" w:rsidRDefault="00E27DB9" w:rsidP="00A3239A">
            <w:pPr>
              <w:pStyle w:val="Tablebody"/>
            </w:pPr>
            <w:r>
              <w:t>A man should never admit when others have hurt his feelings (G8)</w:t>
            </w:r>
            <w:r w:rsidR="00311EF8">
              <w:t xml:space="preserve"> </w:t>
            </w:r>
            <w:r w:rsidR="00311EF8" w:rsidRPr="007D05B5">
              <w:rPr>
                <w:kern w:val="2"/>
                <w:sz w:val="20"/>
                <w:vertAlign w:val="superscript"/>
              </w:rPr>
              <w:t>ns</w:t>
            </w:r>
          </w:p>
        </w:tc>
        <w:tc>
          <w:tcPr>
            <w:tcW w:w="1077" w:type="dxa"/>
          </w:tcPr>
          <w:p w14:paraId="0ED033F0" w14:textId="740F8FB2"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69" w:type="dxa"/>
          </w:tcPr>
          <w:p w14:paraId="6465351C" w14:textId="33ABA8E6"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19B3527C" w14:textId="1A50A960"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11%</w:t>
            </w:r>
          </w:p>
        </w:tc>
        <w:tc>
          <w:tcPr>
            <w:tcW w:w="1083" w:type="dxa"/>
          </w:tcPr>
          <w:p w14:paraId="0F701453" w14:textId="650C968D"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84%</w:t>
            </w:r>
          </w:p>
        </w:tc>
        <w:tc>
          <w:tcPr>
            <w:tcW w:w="1173" w:type="dxa"/>
          </w:tcPr>
          <w:p w14:paraId="59C86D3F" w14:textId="293C9CBB" w:rsidR="00E27DB9" w:rsidRPr="00874FA8"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9" w:type="dxa"/>
          </w:tcPr>
          <w:p w14:paraId="7913F375" w14:textId="77777777" w:rsidR="00E27DB9" w:rsidRDefault="00E27DB9" w:rsidP="00A3239A">
            <w:pPr>
              <w:pStyle w:val="Tablebody"/>
              <w:cnfStyle w:val="000000000000" w:firstRow="0" w:lastRow="0" w:firstColumn="0" w:lastColumn="0" w:oddVBand="0" w:evenVBand="0" w:oddHBand="0" w:evenHBand="0" w:firstRowFirstColumn="0" w:firstRowLastColumn="0" w:lastRowFirstColumn="0" w:lastRowLastColumn="0"/>
            </w:pPr>
          </w:p>
        </w:tc>
      </w:tr>
      <w:tr w:rsidR="00E27DB9" w:rsidRPr="00B809DC" w14:paraId="731D1C38" w14:textId="77777777" w:rsidTr="00F63BC9">
        <w:tc>
          <w:tcPr>
            <w:cnfStyle w:val="001000000000" w:firstRow="0" w:lastRow="0" w:firstColumn="1" w:lastColumn="0" w:oddVBand="0" w:evenVBand="0" w:oddHBand="0" w:evenHBand="0" w:firstRowFirstColumn="0" w:firstRowLastColumn="0" w:lastRowFirstColumn="0" w:lastRowLastColumn="0"/>
            <w:tcW w:w="2608" w:type="dxa"/>
          </w:tcPr>
          <w:p w14:paraId="151B88F5" w14:textId="70E73545" w:rsidR="00E27DB9" w:rsidRPr="007E1C6F" w:rsidRDefault="00E27DB9" w:rsidP="00A3239A">
            <w:pPr>
              <w:pStyle w:val="Tablebody"/>
            </w:pPr>
            <w:r>
              <w:t>I think it is embarrassing for a man to have a job that is usually held by a woman (G7)</w:t>
            </w:r>
            <w:r w:rsidR="00311EF8">
              <w:t xml:space="preserve"> </w:t>
            </w:r>
            <w:r w:rsidR="00311EF8" w:rsidRPr="007D05B5">
              <w:rPr>
                <w:kern w:val="2"/>
                <w:sz w:val="20"/>
                <w:vertAlign w:val="superscript"/>
              </w:rPr>
              <w:t>ns</w:t>
            </w:r>
          </w:p>
        </w:tc>
        <w:tc>
          <w:tcPr>
            <w:tcW w:w="1077" w:type="dxa"/>
          </w:tcPr>
          <w:p w14:paraId="5C61C8D0" w14:textId="6E39E263"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69" w:type="dxa"/>
          </w:tcPr>
          <w:p w14:paraId="2E61BB0A" w14:textId="345B242C"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7651428D" w14:textId="6EC82E69"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11%</w:t>
            </w:r>
          </w:p>
        </w:tc>
        <w:tc>
          <w:tcPr>
            <w:tcW w:w="1083" w:type="dxa"/>
          </w:tcPr>
          <w:p w14:paraId="267305D9" w14:textId="7C173F00"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84%</w:t>
            </w:r>
          </w:p>
        </w:tc>
        <w:tc>
          <w:tcPr>
            <w:tcW w:w="1173" w:type="dxa"/>
          </w:tcPr>
          <w:p w14:paraId="25B41B98" w14:textId="1B96EE0B"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9" w:type="dxa"/>
          </w:tcPr>
          <w:p w14:paraId="09934DD2" w14:textId="11657D05" w:rsidR="00E27DB9" w:rsidRDefault="00E27DB9" w:rsidP="00A3239A">
            <w:pPr>
              <w:pStyle w:val="Tablebody"/>
              <w:cnfStyle w:val="000000000000" w:firstRow="0" w:lastRow="0" w:firstColumn="0" w:lastColumn="0" w:oddVBand="0" w:evenVBand="0" w:oddHBand="0" w:evenHBand="0" w:firstRowFirstColumn="0" w:firstRowLastColumn="0" w:lastRowFirstColumn="0" w:lastRowLastColumn="0"/>
            </w:pPr>
          </w:p>
        </w:tc>
      </w:tr>
      <w:tr w:rsidR="00E27DB9" w:rsidRPr="00B809DC" w14:paraId="3A6F5A12" w14:textId="77777777" w:rsidTr="00F63BC9">
        <w:tc>
          <w:tcPr>
            <w:cnfStyle w:val="001000000000" w:firstRow="0" w:lastRow="0" w:firstColumn="1" w:lastColumn="0" w:oddVBand="0" w:evenVBand="0" w:oddHBand="0" w:evenHBand="0" w:firstRowFirstColumn="0" w:firstRowLastColumn="0" w:lastRowFirstColumn="0" w:lastRowLastColumn="0"/>
            <w:tcW w:w="2608" w:type="dxa"/>
          </w:tcPr>
          <w:p w14:paraId="76359F8F" w14:textId="6F748473" w:rsidR="00E27DB9" w:rsidRPr="007E1C6F" w:rsidRDefault="00E27DB9" w:rsidP="00A3239A">
            <w:pPr>
              <w:pStyle w:val="Tablebody"/>
            </w:pPr>
            <w:r>
              <w:t>Women need to have children to be fulfilled (G9)</w:t>
            </w:r>
            <w:r w:rsidR="00874FA8">
              <w:t xml:space="preserve"> </w:t>
            </w:r>
            <w:r>
              <w:t>^</w:t>
            </w:r>
            <w:r w:rsidR="00311EF8">
              <w:t xml:space="preserve"> </w:t>
            </w:r>
            <w:r w:rsidR="00311EF8" w:rsidRPr="007D05B5">
              <w:rPr>
                <w:kern w:val="2"/>
                <w:sz w:val="20"/>
                <w:vertAlign w:val="superscript"/>
              </w:rPr>
              <w:t>ns</w:t>
            </w:r>
          </w:p>
        </w:tc>
        <w:tc>
          <w:tcPr>
            <w:tcW w:w="1077" w:type="dxa"/>
          </w:tcPr>
          <w:p w14:paraId="02372218" w14:textId="78E693F5"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69" w:type="dxa"/>
          </w:tcPr>
          <w:p w14:paraId="1823B0FD" w14:textId="735A1DBE"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2C498B38" w14:textId="0BC6DD61"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14%</w:t>
            </w:r>
          </w:p>
        </w:tc>
        <w:tc>
          <w:tcPr>
            <w:tcW w:w="1083" w:type="dxa"/>
          </w:tcPr>
          <w:p w14:paraId="1C6E9B65" w14:textId="244840DD"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81%</w:t>
            </w:r>
          </w:p>
        </w:tc>
        <w:tc>
          <w:tcPr>
            <w:tcW w:w="1173" w:type="dxa"/>
          </w:tcPr>
          <w:p w14:paraId="5A4C2012" w14:textId="3D94F471"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9" w:type="dxa"/>
          </w:tcPr>
          <w:p w14:paraId="35773D17" w14:textId="77777777" w:rsidR="00E27DB9" w:rsidRDefault="00E27DB9" w:rsidP="00A3239A">
            <w:pPr>
              <w:pStyle w:val="Tablebody"/>
              <w:cnfStyle w:val="000000000000" w:firstRow="0" w:lastRow="0" w:firstColumn="0" w:lastColumn="0" w:oddVBand="0" w:evenVBand="0" w:oddHBand="0" w:evenHBand="0" w:firstRowFirstColumn="0" w:firstRowLastColumn="0" w:lastRowFirstColumn="0" w:lastRowLastColumn="0"/>
            </w:pPr>
          </w:p>
        </w:tc>
      </w:tr>
      <w:tr w:rsidR="00E27DB9" w:rsidRPr="00B809DC" w14:paraId="3638114B" w14:textId="77777777" w:rsidTr="00F63BC9">
        <w:tc>
          <w:tcPr>
            <w:cnfStyle w:val="001000000000" w:firstRow="0" w:lastRow="0" w:firstColumn="1" w:lastColumn="0" w:oddVBand="0" w:evenVBand="0" w:oddHBand="0" w:evenHBand="0" w:firstRowFirstColumn="0" w:firstRowLastColumn="0" w:lastRowFirstColumn="0" w:lastRowLastColumn="0"/>
            <w:tcW w:w="2608" w:type="dxa"/>
          </w:tcPr>
          <w:p w14:paraId="7CF67742" w14:textId="790DFA38" w:rsidR="00E27DB9" w:rsidRPr="007E1C6F" w:rsidRDefault="00E27DB9" w:rsidP="00A3239A">
            <w:pPr>
              <w:pStyle w:val="Tablebody"/>
            </w:pPr>
            <w:r>
              <w:t>If a woman earns more than her male partner, it is not good for the relationship (G14)</w:t>
            </w:r>
            <w:r w:rsidR="00874FA8">
              <w:t xml:space="preserve"> </w:t>
            </w:r>
            <w:r>
              <w:t>^</w:t>
            </w:r>
            <w:r w:rsidR="00311EF8">
              <w:t xml:space="preserve"> </w:t>
            </w:r>
            <w:r w:rsidR="00311EF8" w:rsidRPr="007D05B5">
              <w:rPr>
                <w:kern w:val="2"/>
                <w:sz w:val="20"/>
                <w:vertAlign w:val="superscript"/>
              </w:rPr>
              <w:t>ns</w:t>
            </w:r>
          </w:p>
        </w:tc>
        <w:tc>
          <w:tcPr>
            <w:tcW w:w="1077" w:type="dxa"/>
          </w:tcPr>
          <w:p w14:paraId="164A0E79" w14:textId="263EEFD6"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69" w:type="dxa"/>
          </w:tcPr>
          <w:p w14:paraId="3219F639" w14:textId="64265820"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2907C060" w14:textId="6A15D844"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15%</w:t>
            </w:r>
          </w:p>
        </w:tc>
        <w:tc>
          <w:tcPr>
            <w:tcW w:w="1083" w:type="dxa"/>
          </w:tcPr>
          <w:p w14:paraId="296BEA49" w14:textId="5B54CE0C" w:rsidR="00E27DB9" w:rsidRPr="007E1C6F"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80%</w:t>
            </w:r>
          </w:p>
        </w:tc>
        <w:tc>
          <w:tcPr>
            <w:tcW w:w="1173" w:type="dxa"/>
          </w:tcPr>
          <w:p w14:paraId="2C07A9F8" w14:textId="4546A8D6"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9" w:type="dxa"/>
          </w:tcPr>
          <w:p w14:paraId="3D105274" w14:textId="77777777" w:rsidR="00E27DB9" w:rsidRDefault="00E27DB9" w:rsidP="00A3239A">
            <w:pPr>
              <w:pStyle w:val="Tablebody"/>
              <w:cnfStyle w:val="000000000000" w:firstRow="0" w:lastRow="0" w:firstColumn="0" w:lastColumn="0" w:oddVBand="0" w:evenVBand="0" w:oddHBand="0" w:evenHBand="0" w:firstRowFirstColumn="0" w:firstRowLastColumn="0" w:lastRowFirstColumn="0" w:lastRowLastColumn="0"/>
            </w:pPr>
          </w:p>
        </w:tc>
      </w:tr>
      <w:tr w:rsidR="00E27DB9" w:rsidRPr="00B809DC" w14:paraId="1529EEBE" w14:textId="77777777" w:rsidTr="00F63BC9">
        <w:tc>
          <w:tcPr>
            <w:cnfStyle w:val="001000000000" w:firstRow="0" w:lastRow="0" w:firstColumn="1" w:lastColumn="0" w:oddVBand="0" w:evenVBand="0" w:oddHBand="0" w:evenHBand="0" w:firstRowFirstColumn="0" w:firstRowLastColumn="0" w:lastRowFirstColumn="0" w:lastRowLastColumn="0"/>
            <w:tcW w:w="2608" w:type="dxa"/>
          </w:tcPr>
          <w:p w14:paraId="3ED0939E" w14:textId="4A201EFB" w:rsidR="00E27DB9" w:rsidRPr="007E1C6F" w:rsidRDefault="00E27DB9" w:rsidP="00A3239A">
            <w:pPr>
              <w:pStyle w:val="Tablebody"/>
            </w:pPr>
            <w:r>
              <w:t>When a couple starts dating, the woman should not be the one to initiate sex (G15)</w:t>
            </w:r>
            <w:r w:rsidR="00874FA8">
              <w:t xml:space="preserve"> </w:t>
            </w:r>
            <w:r>
              <w:t>^</w:t>
            </w:r>
            <w:r w:rsidR="00311EF8">
              <w:t xml:space="preserve"> </w:t>
            </w:r>
            <w:r w:rsidR="00311EF8" w:rsidRPr="007D05B5">
              <w:rPr>
                <w:kern w:val="2"/>
                <w:sz w:val="20"/>
                <w:vertAlign w:val="superscript"/>
              </w:rPr>
              <w:t>ns</w:t>
            </w:r>
          </w:p>
        </w:tc>
        <w:tc>
          <w:tcPr>
            <w:tcW w:w="1077" w:type="dxa"/>
          </w:tcPr>
          <w:p w14:paraId="62BBF73A" w14:textId="2CF32C0D"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69" w:type="dxa"/>
          </w:tcPr>
          <w:p w14:paraId="60085C50" w14:textId="5D86A5BB"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191" w:type="dxa"/>
          </w:tcPr>
          <w:p w14:paraId="3BCA46A6" w14:textId="356CE2BF"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25%</w:t>
            </w:r>
          </w:p>
        </w:tc>
        <w:tc>
          <w:tcPr>
            <w:tcW w:w="1083" w:type="dxa"/>
          </w:tcPr>
          <w:p w14:paraId="5A05231F" w14:textId="53A8C90E"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60%</w:t>
            </w:r>
          </w:p>
        </w:tc>
        <w:tc>
          <w:tcPr>
            <w:tcW w:w="1173" w:type="dxa"/>
          </w:tcPr>
          <w:p w14:paraId="12214DC8" w14:textId="692653E6" w:rsidR="00E27DB9" w:rsidRDefault="00874FA8"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359" w:type="dxa"/>
          </w:tcPr>
          <w:p w14:paraId="22B1AC41" w14:textId="410B5BFD" w:rsidR="00E27DB9" w:rsidRDefault="007829E4" w:rsidP="00A3239A">
            <w:pPr>
              <w:pStyle w:val="Tablebody"/>
              <w:cnfStyle w:val="000000000000" w:firstRow="0" w:lastRow="0" w:firstColumn="0" w:lastColumn="0" w:oddVBand="0" w:evenVBand="0" w:oddHBand="0" w:evenHBand="0" w:firstRowFirstColumn="0" w:firstRowLastColumn="0" w:lastRowFirstColumn="0" w:lastRowLastColumn="0"/>
            </w:pPr>
            <w:r>
              <w:t>1</w:t>
            </w:r>
            <w:r w:rsidR="00874FA8">
              <w:t>%</w:t>
            </w:r>
          </w:p>
        </w:tc>
      </w:tr>
    </w:tbl>
    <w:p w14:paraId="62336289" w14:textId="11F757FC" w:rsidR="007D5CED" w:rsidRPr="007D5CED" w:rsidRDefault="007D5CED" w:rsidP="00A3239A">
      <w:pPr>
        <w:pStyle w:val="Normal8pt"/>
      </w:pPr>
      <w:r w:rsidRPr="008C29F3">
        <w:rPr>
          <w:b/>
        </w:rPr>
        <w:t>Note</w:t>
      </w:r>
      <w:r w:rsidRPr="007D5CED">
        <w:rPr>
          <w:bCs/>
        </w:rPr>
        <w:t xml:space="preserve">: </w:t>
      </w:r>
      <w:r w:rsidRPr="0073256E">
        <w:rPr>
          <w:rStyle w:val="Emphasis"/>
        </w:rPr>
        <w:t>N</w:t>
      </w:r>
      <w:r w:rsidRPr="007D5CED">
        <w:t xml:space="preserve"> = 839 unless otherwise noted. Percentages in the figure do not always add to 100 due to rounding. Significant differences over time are based on the percentage of respondents who answered “strongly disagree” or “somewhat disagree”.</w:t>
      </w:r>
    </w:p>
    <w:p w14:paraId="6858166E" w14:textId="77777777" w:rsidR="007D5CED" w:rsidRPr="007D5CED" w:rsidRDefault="007D5CED" w:rsidP="00A3239A">
      <w:pPr>
        <w:pStyle w:val="Normal8pt"/>
      </w:pPr>
      <w:r w:rsidRPr="007D5CED">
        <w:rPr>
          <w:bCs/>
        </w:rPr>
        <w:t xml:space="preserve">ns </w:t>
      </w:r>
      <w:r w:rsidRPr="007D5CED">
        <w:t>No significant difference between 2021 and 2017. Change over time results are discussed in Section 5.1.</w:t>
      </w:r>
    </w:p>
    <w:p w14:paraId="1661730C" w14:textId="77777777" w:rsidR="007D5CED" w:rsidRDefault="007D5CED" w:rsidP="00A3239A">
      <w:pPr>
        <w:pStyle w:val="Normal8pt"/>
      </w:pPr>
      <w:r w:rsidRPr="007D5CED">
        <w:rPr>
          <w:bCs/>
        </w:rPr>
        <w:t>^</w:t>
      </w:r>
      <w:r w:rsidRPr="007D5CED">
        <w:t xml:space="preserve"> Asked of half the sample in 2021.</w:t>
      </w:r>
    </w:p>
    <w:p w14:paraId="6AC32E3C" w14:textId="6EAC9289" w:rsidR="007D5CED" w:rsidRPr="007D5CED" w:rsidRDefault="007D5CED" w:rsidP="00A3239A">
      <w:pPr>
        <w:rPr>
          <w:lang w:val="en-GB"/>
        </w:rPr>
      </w:pPr>
      <w:r w:rsidRPr="007D5CED">
        <w:rPr>
          <w:lang w:val="en-GB"/>
        </w:rPr>
        <w:t xml:space="preserve">Figure 5-6 presents the young respondents’ 2021 results for the four items in the Undermine Leadership Subscale. In 2021, most young respondents “strongly disagreed” with attitudes that undermine women’s leadership and decision-making abilities, including attitudes that women are less capable of thinking logically than men (84%; G11). However, fewer young respondents “strongly disagreed” that men generally make better bosses (65%; G5) and political leaders (66%; G4) and should hold more positions of responsibility in the community (66%; G6) than women. </w:t>
      </w:r>
    </w:p>
    <w:p w14:paraId="5CD1AB28" w14:textId="6803FEBA" w:rsidR="007D5CED" w:rsidRPr="007D5CED" w:rsidRDefault="004C6BBA" w:rsidP="002A2C0C">
      <w:pPr>
        <w:pStyle w:val="figuretableheading"/>
      </w:pPr>
      <w:bookmarkStart w:id="137" w:name="_Toc187401250"/>
      <w:r>
        <w:lastRenderedPageBreak/>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6</w:t>
      </w:r>
      <w:r w:rsidR="005B3A89">
        <w:fldChar w:fldCharType="end"/>
      </w:r>
      <w:r w:rsidR="007D5CED" w:rsidRPr="007D5CED">
        <w:t>: Undermining women’s leadership in public life (AGIS subscale items), 16- to 24-year-olds, 2021</w:t>
      </w:r>
      <w:bookmarkEnd w:id="137"/>
    </w:p>
    <w:p w14:paraId="72A004EE" w14:textId="07D6CAB6" w:rsidR="007D5CED" w:rsidRPr="007D5CED" w:rsidRDefault="000C608B" w:rsidP="00A3239A">
      <w:pPr>
        <w:rPr>
          <w:lang w:val="en-GB"/>
        </w:rPr>
      </w:pPr>
      <w:r>
        <w:rPr>
          <w:noProof/>
          <w:lang w:val="en-GB"/>
        </w:rPr>
        <w:drawing>
          <wp:inline distT="0" distB="0" distL="0" distR="0" wp14:anchorId="5EF733A1" wp14:editId="4AFB4240">
            <wp:extent cx="6120130" cy="3085465"/>
            <wp:effectExtent l="0" t="0" r="0" b="635"/>
            <wp:docPr id="2064027594" name="Immagine 22" descr="A bar graph that shows the 16 to 24 year old respondents' opinions on undermining women's leadership in public lif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27594" name="Immagine 22" descr="A bar graph that shows the 16 to 24 year old respondents' opinions on undermining women's leadership in public life. The data in this graph is in the table belo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085465"/>
                    </a:xfrm>
                    <a:prstGeom prst="rect">
                      <a:avLst/>
                    </a:prstGeom>
                  </pic:spPr>
                </pic:pic>
              </a:graphicData>
            </a:graphic>
          </wp:inline>
        </w:drawing>
      </w:r>
    </w:p>
    <w:p w14:paraId="67BC7163" w14:textId="25E004FA" w:rsidR="00A052FF" w:rsidRDefault="00A052FF" w:rsidP="002A2C0C">
      <w:pPr>
        <w:pStyle w:val="datatableheading"/>
        <w:rPr>
          <w:lang w:val="en-AU"/>
        </w:rPr>
      </w:pPr>
      <w:r>
        <w:rPr>
          <w:lang w:val="en-AU"/>
        </w:rPr>
        <w:t>Data table for figure 5-6</w:t>
      </w:r>
      <w:r w:rsidR="001B3C28">
        <w:rPr>
          <w:lang w:val="en-AU"/>
        </w:rPr>
        <w:t xml:space="preserve">: </w:t>
      </w:r>
      <w:r w:rsidR="008374AE">
        <w:t>Percentage of 16-24-year-old respondents</w:t>
      </w:r>
    </w:p>
    <w:tbl>
      <w:tblPr>
        <w:tblStyle w:val="Table-SingleHeaderRow"/>
        <w:tblW w:w="9656" w:type="dxa"/>
        <w:tblLayout w:type="fixed"/>
        <w:tblLook w:val="04A0" w:firstRow="1" w:lastRow="0" w:firstColumn="1" w:lastColumn="0" w:noHBand="0" w:noVBand="1"/>
      </w:tblPr>
      <w:tblGrid>
        <w:gridCol w:w="2438"/>
        <w:gridCol w:w="1063"/>
        <w:gridCol w:w="1227"/>
        <w:gridCol w:w="1286"/>
        <w:gridCol w:w="1045"/>
        <w:gridCol w:w="1247"/>
        <w:gridCol w:w="1350"/>
      </w:tblGrid>
      <w:tr w:rsidR="00A052FF" w:rsidRPr="008E6594" w14:paraId="2581A50D" w14:textId="77777777" w:rsidTr="00F63B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Pr>
          <w:p w14:paraId="32C051F9" w14:textId="77777777" w:rsidR="00A052FF" w:rsidRPr="007E1C6F" w:rsidRDefault="00A052FF" w:rsidP="00A3239A">
            <w:pPr>
              <w:pStyle w:val="Tablebody"/>
            </w:pPr>
          </w:p>
        </w:tc>
        <w:tc>
          <w:tcPr>
            <w:tcW w:w="1063" w:type="dxa"/>
          </w:tcPr>
          <w:p w14:paraId="17158910"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227" w:type="dxa"/>
          </w:tcPr>
          <w:p w14:paraId="3037E8DB"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286" w:type="dxa"/>
          </w:tcPr>
          <w:p w14:paraId="6BECDC51"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1045" w:type="dxa"/>
          </w:tcPr>
          <w:p w14:paraId="78CD098E"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247" w:type="dxa"/>
          </w:tcPr>
          <w:p w14:paraId="6CF48FC8"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7D3CEDF4" w14:textId="77777777" w:rsidR="00A052FF" w:rsidRPr="008E6594" w:rsidRDefault="00A052FF"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A052FF" w14:paraId="649F94F1" w14:textId="77777777" w:rsidTr="00F63BC9">
        <w:tc>
          <w:tcPr>
            <w:cnfStyle w:val="001000000000" w:firstRow="0" w:lastRow="0" w:firstColumn="1" w:lastColumn="0" w:oddVBand="0" w:evenVBand="0" w:oddHBand="0" w:evenHBand="0" w:firstRowFirstColumn="0" w:firstRowLastColumn="0" w:lastRowFirstColumn="0" w:lastRowLastColumn="0"/>
            <w:tcW w:w="2438" w:type="dxa"/>
          </w:tcPr>
          <w:p w14:paraId="79A59D7D" w14:textId="6FBA6DC6" w:rsidR="00A052FF" w:rsidRPr="007E1C6F" w:rsidRDefault="00A052FF" w:rsidP="00A3239A">
            <w:pPr>
              <w:pStyle w:val="Tablebody"/>
            </w:pPr>
            <w:r>
              <w:t>Women are less capable than men of thinking logically (G11)</w:t>
            </w:r>
            <w:r w:rsidR="00311EF8">
              <w:t xml:space="preserve"> </w:t>
            </w:r>
            <w:r w:rsidR="00311EF8" w:rsidRPr="007D05B5">
              <w:rPr>
                <w:kern w:val="2"/>
                <w:sz w:val="20"/>
                <w:vertAlign w:val="superscript"/>
              </w:rPr>
              <w:t>ns</w:t>
            </w:r>
          </w:p>
        </w:tc>
        <w:tc>
          <w:tcPr>
            <w:tcW w:w="1063" w:type="dxa"/>
          </w:tcPr>
          <w:p w14:paraId="6197C656"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27" w:type="dxa"/>
          </w:tcPr>
          <w:p w14:paraId="16A0A9E3"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86" w:type="dxa"/>
          </w:tcPr>
          <w:p w14:paraId="2CA2185F"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045" w:type="dxa"/>
          </w:tcPr>
          <w:p w14:paraId="618DC31C"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84%</w:t>
            </w:r>
          </w:p>
        </w:tc>
        <w:tc>
          <w:tcPr>
            <w:tcW w:w="1247" w:type="dxa"/>
          </w:tcPr>
          <w:p w14:paraId="1682F7C5"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3967F7F0"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p>
        </w:tc>
      </w:tr>
      <w:tr w:rsidR="00A052FF" w14:paraId="27C17DCB" w14:textId="77777777" w:rsidTr="00F63BC9">
        <w:tc>
          <w:tcPr>
            <w:cnfStyle w:val="001000000000" w:firstRow="0" w:lastRow="0" w:firstColumn="1" w:lastColumn="0" w:oddVBand="0" w:evenVBand="0" w:oddHBand="0" w:evenHBand="0" w:firstRowFirstColumn="0" w:firstRowLastColumn="0" w:lastRowFirstColumn="0" w:lastRowLastColumn="0"/>
            <w:tcW w:w="2438" w:type="dxa"/>
          </w:tcPr>
          <w:p w14:paraId="5921CAD3" w14:textId="504822EE" w:rsidR="00A052FF" w:rsidRPr="007E1C6F" w:rsidRDefault="00A052FF" w:rsidP="00A3239A">
            <w:pPr>
              <w:pStyle w:val="Tablebody"/>
            </w:pPr>
            <w:r>
              <w:t>Men, rather than women, should hold positions of responsibility in the community (G6) ^</w:t>
            </w:r>
            <w:r w:rsidR="00311EF8">
              <w:t xml:space="preserve"> </w:t>
            </w:r>
            <w:r w:rsidR="00311EF8" w:rsidRPr="007D05B5">
              <w:rPr>
                <w:kern w:val="2"/>
                <w:sz w:val="20"/>
                <w:vertAlign w:val="superscript"/>
              </w:rPr>
              <w:t>ns</w:t>
            </w:r>
          </w:p>
        </w:tc>
        <w:tc>
          <w:tcPr>
            <w:tcW w:w="1063" w:type="dxa"/>
          </w:tcPr>
          <w:p w14:paraId="006EE25D"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27" w:type="dxa"/>
          </w:tcPr>
          <w:p w14:paraId="38EEB7DE"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86" w:type="dxa"/>
          </w:tcPr>
          <w:p w14:paraId="39108E53" w14:textId="77777777" w:rsidR="00A052FF" w:rsidRPr="00592627" w:rsidRDefault="00A052FF" w:rsidP="00A3239A">
            <w:pPr>
              <w:cnfStyle w:val="000000000000" w:firstRow="0" w:lastRow="0" w:firstColumn="0" w:lastColumn="0" w:oddVBand="0" w:evenVBand="0" w:oddHBand="0" w:evenHBand="0" w:firstRowFirstColumn="0" w:firstRowLastColumn="0" w:lastRowFirstColumn="0" w:lastRowLastColumn="0"/>
              <w:rPr>
                <w:szCs w:val="18"/>
              </w:rPr>
            </w:pPr>
            <w:r w:rsidRPr="008C29F3">
              <w:rPr>
                <w:sz w:val="18"/>
                <w:szCs w:val="18"/>
                <w:lang w:val="en-AU" w:eastAsia="en-AU"/>
              </w:rPr>
              <w:t>19%</w:t>
            </w:r>
          </w:p>
        </w:tc>
        <w:tc>
          <w:tcPr>
            <w:tcW w:w="1045" w:type="dxa"/>
          </w:tcPr>
          <w:p w14:paraId="4B30E0D1"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247" w:type="dxa"/>
          </w:tcPr>
          <w:p w14:paraId="2D2D8386"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350" w:type="dxa"/>
          </w:tcPr>
          <w:p w14:paraId="461B7E1A"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p>
        </w:tc>
      </w:tr>
      <w:tr w:rsidR="00A052FF" w14:paraId="6205A7B3" w14:textId="77777777" w:rsidTr="00F63BC9">
        <w:tc>
          <w:tcPr>
            <w:cnfStyle w:val="001000000000" w:firstRow="0" w:lastRow="0" w:firstColumn="1" w:lastColumn="0" w:oddVBand="0" w:evenVBand="0" w:oddHBand="0" w:evenHBand="0" w:firstRowFirstColumn="0" w:firstRowLastColumn="0" w:lastRowFirstColumn="0" w:lastRowLastColumn="0"/>
            <w:tcW w:w="2438" w:type="dxa"/>
          </w:tcPr>
          <w:p w14:paraId="4503A020" w14:textId="3DDBC7FC" w:rsidR="00A052FF" w:rsidRPr="007E1C6F" w:rsidRDefault="00A052FF" w:rsidP="00A3239A">
            <w:pPr>
              <w:pStyle w:val="Tablebody"/>
            </w:pPr>
            <w:r>
              <w:t>On the whole, men make better political leaders than women (G4)</w:t>
            </w:r>
            <w:r w:rsidR="00311EF8">
              <w:t xml:space="preserve"> </w:t>
            </w:r>
            <w:r w:rsidR="00311EF8" w:rsidRPr="007D05B5">
              <w:rPr>
                <w:kern w:val="2"/>
                <w:sz w:val="20"/>
                <w:vertAlign w:val="superscript"/>
              </w:rPr>
              <w:t>ns</w:t>
            </w:r>
          </w:p>
        </w:tc>
        <w:tc>
          <w:tcPr>
            <w:tcW w:w="1063" w:type="dxa"/>
          </w:tcPr>
          <w:p w14:paraId="3722BB20"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27" w:type="dxa"/>
          </w:tcPr>
          <w:p w14:paraId="4A7189C0"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86" w:type="dxa"/>
          </w:tcPr>
          <w:p w14:paraId="00BE5D66"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19%</w:t>
            </w:r>
          </w:p>
        </w:tc>
        <w:tc>
          <w:tcPr>
            <w:tcW w:w="1045" w:type="dxa"/>
          </w:tcPr>
          <w:p w14:paraId="2211D2F2"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247" w:type="dxa"/>
          </w:tcPr>
          <w:p w14:paraId="20D64CEF"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350" w:type="dxa"/>
          </w:tcPr>
          <w:p w14:paraId="58522296"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p>
        </w:tc>
      </w:tr>
      <w:tr w:rsidR="00A052FF" w14:paraId="3EAC853C" w14:textId="77777777" w:rsidTr="00F63BC9">
        <w:tc>
          <w:tcPr>
            <w:cnfStyle w:val="001000000000" w:firstRow="0" w:lastRow="0" w:firstColumn="1" w:lastColumn="0" w:oddVBand="0" w:evenVBand="0" w:oddHBand="0" w:evenHBand="0" w:firstRowFirstColumn="0" w:firstRowLastColumn="0" w:lastRowFirstColumn="0" w:lastRowLastColumn="0"/>
            <w:tcW w:w="2438" w:type="dxa"/>
          </w:tcPr>
          <w:p w14:paraId="0DFF6009" w14:textId="1142A919" w:rsidR="00A052FF" w:rsidRPr="007E1C6F" w:rsidRDefault="00A052FF" w:rsidP="00A3239A">
            <w:pPr>
              <w:pStyle w:val="Tablebody"/>
            </w:pPr>
            <w:r>
              <w:t>In the workplace, men generally make more capable bosses than women (G5) ^</w:t>
            </w:r>
            <w:r w:rsidR="00311EF8">
              <w:t xml:space="preserve"> </w:t>
            </w:r>
            <w:r w:rsidR="00311EF8" w:rsidRPr="007D05B5">
              <w:rPr>
                <w:kern w:val="2"/>
                <w:sz w:val="20"/>
                <w:vertAlign w:val="superscript"/>
              </w:rPr>
              <w:t>ns</w:t>
            </w:r>
          </w:p>
        </w:tc>
        <w:tc>
          <w:tcPr>
            <w:tcW w:w="1063" w:type="dxa"/>
          </w:tcPr>
          <w:p w14:paraId="1914033A"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27" w:type="dxa"/>
          </w:tcPr>
          <w:p w14:paraId="2FCC8643"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86" w:type="dxa"/>
          </w:tcPr>
          <w:p w14:paraId="54478909"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21%</w:t>
            </w:r>
          </w:p>
        </w:tc>
        <w:tc>
          <w:tcPr>
            <w:tcW w:w="1045" w:type="dxa"/>
          </w:tcPr>
          <w:p w14:paraId="57611029" w14:textId="77777777" w:rsidR="00A052FF" w:rsidRPr="007E1C6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247" w:type="dxa"/>
          </w:tcPr>
          <w:p w14:paraId="41B5D255"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350" w:type="dxa"/>
          </w:tcPr>
          <w:p w14:paraId="7752CDC2" w14:textId="77777777" w:rsidR="00A052FF" w:rsidRDefault="00A052FF"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7FEA11C6" w14:textId="3C641D15" w:rsidR="007D5CED" w:rsidRPr="007D5CED" w:rsidRDefault="007D5CED" w:rsidP="00A3239A">
      <w:pPr>
        <w:pStyle w:val="Normal8pt"/>
      </w:pPr>
      <w:r w:rsidRPr="008C29F3">
        <w:rPr>
          <w:b/>
        </w:rPr>
        <w:t>Note</w:t>
      </w:r>
      <w:r w:rsidRPr="007D5CED">
        <w:rPr>
          <w:bCs/>
        </w:rPr>
        <w:t xml:space="preserve">: </w:t>
      </w:r>
      <w:r w:rsidRPr="0073256E">
        <w:rPr>
          <w:rStyle w:val="Emphasis"/>
        </w:rPr>
        <w:t>N</w:t>
      </w:r>
      <w:r w:rsidRPr="007D5CED">
        <w:t xml:space="preserve"> = 1,647 unless otherwise noted. Percentages in the figure do not always add to 100 due to rounding. Significant differences over time are based on the percentage of respondents who answered “strongly disagree” or “somewhat disagree”.</w:t>
      </w:r>
    </w:p>
    <w:p w14:paraId="51B8C7BF" w14:textId="77777777" w:rsidR="007D5CED" w:rsidRPr="007D5CED" w:rsidRDefault="007D5CED" w:rsidP="00A3239A">
      <w:pPr>
        <w:pStyle w:val="Normal8pt"/>
      </w:pPr>
      <w:r w:rsidRPr="007D5CED">
        <w:rPr>
          <w:bCs/>
        </w:rPr>
        <w:t xml:space="preserve">ns </w:t>
      </w:r>
      <w:r w:rsidRPr="007D5CED">
        <w:t>No significant difference between 2021 and 2017. Change over time results are discussed in Section 5.1.</w:t>
      </w:r>
    </w:p>
    <w:p w14:paraId="2874D331" w14:textId="00633B67" w:rsidR="007D5CED" w:rsidRDefault="007D5CED" w:rsidP="00A3239A">
      <w:pPr>
        <w:pStyle w:val="Normal8pt"/>
      </w:pPr>
      <w:r w:rsidRPr="007D5CED">
        <w:rPr>
          <w:bCs/>
        </w:rPr>
        <w:t>^</w:t>
      </w:r>
      <w:r w:rsidRPr="007D5CED">
        <w:t xml:space="preserve"> Asked of half the sample in 2021.</w:t>
      </w:r>
    </w:p>
    <w:p w14:paraId="32D60BCF" w14:textId="469631AD" w:rsidR="007D5CED" w:rsidRPr="007D5CED" w:rsidRDefault="007D5CED" w:rsidP="00DC3FE8">
      <w:pPr>
        <w:pStyle w:val="Heading3"/>
      </w:pPr>
      <w:bookmarkStart w:id="138" w:name="_Toc152532397"/>
      <w:bookmarkStart w:id="139" w:name="_Toc190941683"/>
      <w:bookmarkStart w:id="140" w:name="_Toc190942383"/>
      <w:r w:rsidRPr="007D5CED">
        <w:t>5.3</w:t>
      </w:r>
      <w:r w:rsidR="001C7C59">
        <w:t xml:space="preserve"> </w:t>
      </w:r>
      <w:r w:rsidRPr="007D5CED">
        <w:t>Comparing by gender: Young people’s attitudes towards gender inequality</w:t>
      </w:r>
      <w:bookmarkEnd w:id="138"/>
      <w:bookmarkEnd w:id="139"/>
      <w:bookmarkEnd w:id="140"/>
    </w:p>
    <w:p w14:paraId="588FC41D" w14:textId="77777777" w:rsidR="007D5CED" w:rsidRPr="007D5CED" w:rsidRDefault="007D5CED" w:rsidP="00A3239A">
      <w:pPr>
        <w:rPr>
          <w:lang w:val="en-GB"/>
        </w:rPr>
      </w:pPr>
      <w:r w:rsidRPr="007D5CED">
        <w:rPr>
          <w:lang w:val="en-GB"/>
        </w:rPr>
        <w:t>Like the results for all NCAS respondents (Main report), the results for young respondents demonstrate a consistent gender difference indicating that young women are more likely than young men to reject gender inequality. In 2021, young women respondents had significantly higher rejection of gender inequality than young men respondents according to mean scores on the AGIS and all five of its subscales, indicating higher rejection of attitudes that deny women’s experiences of inequality, condone limiting women’s autonomy, normalise sexism, reinforce rigid gender roles and undermine women’s leadership in public life (Figure 5-7).</w:t>
      </w:r>
    </w:p>
    <w:p w14:paraId="1E63640E" w14:textId="342ACF3E" w:rsidR="007D5CED" w:rsidRPr="007D5CED" w:rsidRDefault="007D5CED" w:rsidP="00A3239A">
      <w:pPr>
        <w:rPr>
          <w:lang w:val="en-GB"/>
        </w:rPr>
      </w:pPr>
      <w:r w:rsidRPr="007D5CED">
        <w:rPr>
          <w:lang w:val="en-GB"/>
        </w:rPr>
        <w:t xml:space="preserve">We also compared young non-binary respondents with both young women and young men respondents on the AGIS as a whole and on two of the five AGIS subscales – the Limit Autonomy Subscale and the </w:t>
      </w:r>
      <w:r w:rsidRPr="007D5CED">
        <w:rPr>
          <w:lang w:val="en-GB"/>
        </w:rPr>
        <w:lastRenderedPageBreak/>
        <w:t>Undermine Leadership Subscale (Figure 5-7).</w:t>
      </w:r>
      <w:r w:rsidRPr="007D5CED">
        <w:rPr>
          <w:vertAlign w:val="superscript"/>
          <w:lang w:val="en-GB"/>
        </w:rPr>
        <w:footnoteReference w:id="23"/>
      </w:r>
      <w:r w:rsidRPr="007D5CED">
        <w:rPr>
          <w:lang w:val="en-GB"/>
        </w:rPr>
        <w:t xml:space="preserve"> There was no significant difference between young non-binary respondents and young women respondents on the AGIS</w:t>
      </w:r>
      <w:r w:rsidR="00764A0E">
        <w:rPr>
          <w:lang w:val="en-GB"/>
        </w:rPr>
        <w:t xml:space="preserve"> </w:t>
      </w:r>
      <w:r w:rsidRPr="007D5CED">
        <w:rPr>
          <w:lang w:val="en-GB"/>
        </w:rPr>
        <w:t>and these two subscales in 2021. However, young non-binary respondents had significantly higher rejection of gender inequality than young men respondents on the AGIS and on the Undermine Leadership Subscale in</w:t>
      </w:r>
      <w:r w:rsidR="007C3380">
        <w:rPr>
          <w:lang w:val="en-GB"/>
        </w:rPr>
        <w:t> </w:t>
      </w:r>
      <w:r w:rsidRPr="007D5CED">
        <w:rPr>
          <w:lang w:val="en-GB"/>
        </w:rPr>
        <w:t xml:space="preserve">2021. </w:t>
      </w:r>
    </w:p>
    <w:p w14:paraId="6602268E" w14:textId="3991E320" w:rsidR="007D5CED" w:rsidRPr="007D5CED" w:rsidRDefault="007D5CED" w:rsidP="00A3239A">
      <w:pPr>
        <w:rPr>
          <w:lang w:val="en-GB"/>
        </w:rPr>
      </w:pPr>
      <w:r w:rsidRPr="007D5CED">
        <w:rPr>
          <w:lang w:val="en-GB"/>
        </w:rPr>
        <w:t>Table 15-6 in Appendix C presents differences between young women and young men respondents on</w:t>
      </w:r>
      <w:r w:rsidR="007C3380">
        <w:rPr>
          <w:lang w:val="en-GB"/>
        </w:rPr>
        <w:t> </w:t>
      </w:r>
      <w:r w:rsidRPr="007D5CED">
        <w:rPr>
          <w:lang w:val="en-GB"/>
        </w:rPr>
        <w:t>the AGIS items.</w:t>
      </w:r>
      <w:r w:rsidRPr="007D5CED">
        <w:rPr>
          <w:vertAlign w:val="superscript"/>
          <w:lang w:val="en-GB"/>
        </w:rPr>
        <w:footnoteReference w:id="24"/>
      </w:r>
      <w:r w:rsidRPr="007D5CED">
        <w:rPr>
          <w:lang w:val="en-GB"/>
        </w:rPr>
        <w:t xml:space="preserve"> The gender difference between young women and young men in attitudes towards gender inequality at the scale and subscale level was also consistently evident at the item level. In fact, in 2021, young women respondents (39–95%) were significantly more likely than young men respondents (15–83%) to “strongly disagree” with all 17 AGIS items (G1 to G17). By way of example, below we provide the item from each AGIS subscale with the largest gender difference in the percentage of respondents who “strongly disagreed” with the attitude condoning gender inequality. The following percentages of young women and young men respondents “strongly disagreed” with attitudes that:</w:t>
      </w:r>
    </w:p>
    <w:p w14:paraId="7B8DFBA3" w14:textId="77777777" w:rsidR="007D5CED" w:rsidRPr="007D5CED" w:rsidRDefault="007D5CED" w:rsidP="00A3239A">
      <w:pPr>
        <w:pStyle w:val="ListBullet"/>
        <w:rPr>
          <w:lang w:val="en-GB"/>
        </w:rPr>
      </w:pPr>
      <w:r w:rsidRPr="007D5CED">
        <w:rPr>
          <w:lang w:val="en-GB"/>
        </w:rPr>
        <w:t>many women exaggerate how unequally women are treated in Australia (47%</w:t>
      </w:r>
      <w:r w:rsidRPr="007D5CED">
        <w:rPr>
          <w:lang w:val="en-US"/>
        </w:rPr>
        <w:t xml:space="preserve"> </w:t>
      </w:r>
      <w:r w:rsidRPr="007D5CED">
        <w:rPr>
          <w:lang w:val="en-GB"/>
        </w:rPr>
        <w:t>of young women versus 19% of young men; G1, Deny Gender Inequality Subscale)</w:t>
      </w:r>
    </w:p>
    <w:p w14:paraId="10FB8531" w14:textId="77777777" w:rsidR="007D5CED" w:rsidRPr="007D5CED" w:rsidRDefault="007D5CED" w:rsidP="00A3239A">
      <w:pPr>
        <w:pStyle w:val="ListBullet"/>
        <w:rPr>
          <w:lang w:val="en-GB"/>
        </w:rPr>
      </w:pPr>
      <w:r w:rsidRPr="007D5CED">
        <w:rPr>
          <w:lang w:val="en-GB"/>
        </w:rPr>
        <w:t>men should take control in relationships and be the head of the household (81% versus 54%; G12, Limit Autonomy Subscale)</w:t>
      </w:r>
    </w:p>
    <w:p w14:paraId="1C316EB6" w14:textId="77777777" w:rsidR="007D5CED" w:rsidRPr="007D5CED" w:rsidRDefault="007D5CED" w:rsidP="00A3239A">
      <w:pPr>
        <w:pStyle w:val="ListBullet"/>
        <w:rPr>
          <w:lang w:val="en-GB"/>
        </w:rPr>
      </w:pPr>
      <w:r w:rsidRPr="007D5CED">
        <w:rPr>
          <w:lang w:val="en-GB"/>
        </w:rPr>
        <w:t>there’s no harm in men making sexist jokes about women among their male friends (81% versus 43%; G16, Normalise Sexism Subscale)</w:t>
      </w:r>
    </w:p>
    <w:p w14:paraId="2F7101A7" w14:textId="77777777" w:rsidR="007D5CED" w:rsidRPr="007D5CED" w:rsidRDefault="007D5CED" w:rsidP="00A3239A">
      <w:pPr>
        <w:pStyle w:val="ListBullet"/>
        <w:rPr>
          <w:lang w:val="en-GB"/>
        </w:rPr>
      </w:pPr>
      <w:r w:rsidRPr="007D5CED">
        <w:rPr>
          <w:lang w:val="en-GB"/>
        </w:rPr>
        <w:t>women need to have children to be fulfilled (92% versus 72%; G9, Reinforce Gender Roles Subscale)</w:t>
      </w:r>
    </w:p>
    <w:p w14:paraId="1D592CBA" w14:textId="77777777" w:rsidR="007D5CED" w:rsidRPr="007D5CED" w:rsidRDefault="007D5CED" w:rsidP="00A3239A">
      <w:pPr>
        <w:pStyle w:val="ListBullet"/>
        <w:rPr>
          <w:lang w:val="en-GB"/>
        </w:rPr>
      </w:pPr>
      <w:r w:rsidRPr="007D5CED">
        <w:rPr>
          <w:lang w:val="en-GB"/>
        </w:rPr>
        <w:t xml:space="preserve">men generally make more capable bosses than women (79% versus 54%; G5, Undermine Leadership Subscale). </w:t>
      </w:r>
    </w:p>
    <w:p w14:paraId="011592DF" w14:textId="2AA77483" w:rsidR="007D5CED" w:rsidRPr="007D5CED" w:rsidRDefault="000C608B" w:rsidP="002A2C0C">
      <w:pPr>
        <w:pStyle w:val="figuretableheading"/>
      </w:pPr>
      <w:bookmarkStart w:id="141" w:name="_Toc187401251"/>
      <w:r>
        <w:t xml:space="preserve">Figure </w:t>
      </w:r>
      <w:r w:rsidR="005B3A89">
        <w:fldChar w:fldCharType="begin"/>
      </w:r>
      <w:r w:rsidR="005B3A89">
        <w:instrText xml:space="preserve"> STYLEREF 1 \s </w:instrText>
      </w:r>
      <w:r w:rsidR="005B3A89">
        <w:fldChar w:fldCharType="separate"/>
      </w:r>
      <w:r w:rsidR="005B3A89">
        <w:t>5</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7</w:t>
      </w:r>
      <w:r w:rsidR="005B3A89">
        <w:fldChar w:fldCharType="end"/>
      </w:r>
      <w:r w:rsidR="007D5CED" w:rsidRPr="007D5CED">
        <w:t>: Rejection of different aspects of gender inequality (AGIS and subscales) by gender, 16- to 24-year-olds, 2021</w:t>
      </w:r>
      <w:bookmarkEnd w:id="141"/>
    </w:p>
    <w:p w14:paraId="33B02A70" w14:textId="7162CE38" w:rsidR="007D5CED" w:rsidRDefault="009E14BD" w:rsidP="00A3239A">
      <w:pPr>
        <w:rPr>
          <w:lang w:val="en-GB"/>
        </w:rPr>
      </w:pPr>
      <w:r>
        <w:rPr>
          <w:noProof/>
          <w:lang w:val="en-GB"/>
        </w:rPr>
        <w:drawing>
          <wp:inline distT="0" distB="0" distL="0" distR="0" wp14:anchorId="768E2D6E" wp14:editId="63764328">
            <wp:extent cx="5664200" cy="3898900"/>
            <wp:effectExtent l="0" t="0" r="0" b="0"/>
            <wp:docPr id="603252817" name="Immagine 23" descr="A bar graph that shows the 16 to 24 year old respondents' opinions on the rejection of different aspects of gender inequality by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52817" name="Immagine 23" descr="A bar graph that shows the 16 to 24 year old respondents' opinions on the rejection of different aspects of gender inequality by gender. The data in this graph is in the table below."/>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4200" cy="3898900"/>
                    </a:xfrm>
                    <a:prstGeom prst="rect">
                      <a:avLst/>
                    </a:prstGeom>
                  </pic:spPr>
                </pic:pic>
              </a:graphicData>
            </a:graphic>
          </wp:inline>
        </w:drawing>
      </w:r>
    </w:p>
    <w:p w14:paraId="1F6EC86F" w14:textId="7859EAB7" w:rsidR="00441F2A" w:rsidRPr="007D5CED" w:rsidRDefault="00441F2A" w:rsidP="002A2C0C">
      <w:pPr>
        <w:pStyle w:val="datatableheading"/>
        <w:rPr>
          <w:lang w:val="en-GB"/>
        </w:rPr>
      </w:pPr>
      <w:r>
        <w:lastRenderedPageBreak/>
        <w:t>Data table for figure 5-7</w:t>
      </w:r>
      <w:r w:rsidR="001B3C28">
        <w:t xml:space="preserve">: </w:t>
      </w:r>
      <w:r w:rsidR="001B3C28" w:rsidRPr="007D5CED">
        <w:t xml:space="preserve">Rejection of gender inequality </w:t>
      </w:r>
      <w:r w:rsidR="008374AE">
        <w:t>(mean score)</w:t>
      </w:r>
    </w:p>
    <w:tbl>
      <w:tblPr>
        <w:tblStyle w:val="Table-SingleHeaderRow"/>
        <w:tblW w:w="0" w:type="auto"/>
        <w:tblLook w:val="04A0" w:firstRow="1" w:lastRow="0" w:firstColumn="1" w:lastColumn="0" w:noHBand="0" w:noVBand="1"/>
      </w:tblPr>
      <w:tblGrid>
        <w:gridCol w:w="2012"/>
        <w:gridCol w:w="1813"/>
        <w:gridCol w:w="1704"/>
        <w:gridCol w:w="1417"/>
        <w:gridCol w:w="2410"/>
      </w:tblGrid>
      <w:tr w:rsidR="009F744E" w:rsidRPr="005E68EB" w14:paraId="0F8CF364" w14:textId="77777777" w:rsidTr="00EE2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2" w:type="dxa"/>
          </w:tcPr>
          <w:p w14:paraId="2AFE28BA" w14:textId="77777777" w:rsidR="009F744E" w:rsidRPr="008E6594" w:rsidRDefault="009F744E" w:rsidP="00A3239A">
            <w:pPr>
              <w:pStyle w:val="Tablebody"/>
              <w:rPr>
                <w:b w:val="0"/>
                <w:bCs/>
              </w:rPr>
            </w:pPr>
          </w:p>
        </w:tc>
        <w:tc>
          <w:tcPr>
            <w:tcW w:w="1813" w:type="dxa"/>
          </w:tcPr>
          <w:p w14:paraId="736D290E" w14:textId="6C82272E" w:rsidR="009F744E" w:rsidRPr="005E68EB" w:rsidRDefault="009F74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All young respondents</w:t>
            </w:r>
          </w:p>
        </w:tc>
        <w:tc>
          <w:tcPr>
            <w:tcW w:w="1704" w:type="dxa"/>
          </w:tcPr>
          <w:p w14:paraId="3DCCF4D9" w14:textId="77777777" w:rsidR="009F744E" w:rsidRDefault="009F74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men</w:t>
            </w:r>
          </w:p>
        </w:tc>
        <w:tc>
          <w:tcPr>
            <w:tcW w:w="1417" w:type="dxa"/>
          </w:tcPr>
          <w:p w14:paraId="7AD9FEEC" w14:textId="77777777" w:rsidR="009F744E" w:rsidRPr="005E68EB" w:rsidRDefault="009F74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women</w:t>
            </w:r>
          </w:p>
        </w:tc>
        <w:tc>
          <w:tcPr>
            <w:tcW w:w="2410" w:type="dxa"/>
          </w:tcPr>
          <w:p w14:paraId="181598A0" w14:textId="77777777" w:rsidR="009F744E" w:rsidRPr="005E68EB" w:rsidRDefault="009F74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non-binary respondents</w:t>
            </w:r>
          </w:p>
        </w:tc>
      </w:tr>
      <w:tr w:rsidR="009F744E" w:rsidRPr="007E1C6F" w14:paraId="230EB0B5"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2D61FED3" w14:textId="4B877D6D" w:rsidR="009F744E" w:rsidRPr="008E6594" w:rsidRDefault="009F744E" w:rsidP="00A3239A">
            <w:pPr>
              <w:pStyle w:val="Tablebody"/>
            </w:pPr>
            <w:r>
              <w:t xml:space="preserve">Total </w:t>
            </w:r>
            <w:r w:rsidR="002E4699">
              <w:t>AGIS</w:t>
            </w:r>
          </w:p>
        </w:tc>
        <w:tc>
          <w:tcPr>
            <w:tcW w:w="1813" w:type="dxa"/>
          </w:tcPr>
          <w:p w14:paraId="2379A0AC" w14:textId="667BA02E" w:rsidR="009F744E" w:rsidRPr="007E1C6F" w:rsidRDefault="002E4699"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67</w:t>
            </w:r>
          </w:p>
        </w:tc>
        <w:tc>
          <w:tcPr>
            <w:tcW w:w="1704" w:type="dxa"/>
          </w:tcPr>
          <w:p w14:paraId="0C15ACEC" w14:textId="14F5F3F4" w:rsidR="009F744E" w:rsidRDefault="002E4699"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417" w:type="dxa"/>
          </w:tcPr>
          <w:p w14:paraId="36978352" w14:textId="6548689C" w:rsidR="009F744E" w:rsidRPr="007E1C6F" w:rsidRDefault="002E4699"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2410" w:type="dxa"/>
          </w:tcPr>
          <w:p w14:paraId="6D95B35C" w14:textId="0A65CC61" w:rsidR="009F744E" w:rsidRPr="007E1C6F" w:rsidRDefault="002E4699" w:rsidP="00A3239A">
            <w:pPr>
              <w:pStyle w:val="Tablebody"/>
              <w:cnfStyle w:val="000000000000" w:firstRow="0" w:lastRow="0" w:firstColumn="0" w:lastColumn="0" w:oddVBand="0" w:evenVBand="0" w:oddHBand="0" w:evenHBand="0" w:firstRowFirstColumn="0" w:firstRowLastColumn="0" w:lastRowFirstColumn="0" w:lastRowLastColumn="0"/>
            </w:pPr>
            <w:r>
              <w:t>71*</w:t>
            </w:r>
          </w:p>
        </w:tc>
      </w:tr>
      <w:tr w:rsidR="009F744E" w14:paraId="7CCBA8B7"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059DD2F8" w14:textId="3917E95A" w:rsidR="009F744E" w:rsidRDefault="002E4699" w:rsidP="00A3239A">
            <w:pPr>
              <w:pStyle w:val="Tablebody"/>
            </w:pPr>
            <w:r>
              <w:t xml:space="preserve">Deny inequality Subscale </w:t>
            </w:r>
            <w:r>
              <w:rPr>
                <w:bCs/>
              </w:rPr>
              <w:t>†</w:t>
            </w:r>
          </w:p>
        </w:tc>
        <w:tc>
          <w:tcPr>
            <w:tcW w:w="1813" w:type="dxa"/>
          </w:tcPr>
          <w:p w14:paraId="12B324F3" w14:textId="33D7BFC4" w:rsidR="009F744E" w:rsidRDefault="00C16044"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67</w:t>
            </w:r>
          </w:p>
        </w:tc>
        <w:tc>
          <w:tcPr>
            <w:tcW w:w="1704" w:type="dxa"/>
          </w:tcPr>
          <w:p w14:paraId="7D9D423C" w14:textId="76AB7A91" w:rsidR="009F744E"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1417" w:type="dxa"/>
          </w:tcPr>
          <w:p w14:paraId="1502EE56" w14:textId="04A02E8F" w:rsidR="009F744E"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2410" w:type="dxa"/>
          </w:tcPr>
          <w:p w14:paraId="2C7E1A82" w14:textId="74491992" w:rsidR="009F744E" w:rsidRDefault="009F744E" w:rsidP="00A3239A">
            <w:pPr>
              <w:pStyle w:val="Tablebody"/>
              <w:cnfStyle w:val="000000000000" w:firstRow="0" w:lastRow="0" w:firstColumn="0" w:lastColumn="0" w:oddVBand="0" w:evenVBand="0" w:oddHBand="0" w:evenHBand="0" w:firstRowFirstColumn="0" w:firstRowLastColumn="0" w:lastRowFirstColumn="0" w:lastRowLastColumn="0"/>
            </w:pPr>
          </w:p>
        </w:tc>
      </w:tr>
      <w:tr w:rsidR="002E4699" w14:paraId="5B619C27"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1075FA8F" w14:textId="7689951A" w:rsidR="002E4699" w:rsidRDefault="002E4699" w:rsidP="00A3239A">
            <w:pPr>
              <w:pStyle w:val="Tablebody"/>
            </w:pPr>
            <w:r>
              <w:t xml:space="preserve">Limit Autonomy Subscale </w:t>
            </w:r>
          </w:p>
        </w:tc>
        <w:tc>
          <w:tcPr>
            <w:tcW w:w="1813" w:type="dxa"/>
          </w:tcPr>
          <w:p w14:paraId="1919EC02" w14:textId="3BECBF5A" w:rsidR="002E4699" w:rsidRDefault="00C16044"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64</w:t>
            </w:r>
          </w:p>
        </w:tc>
        <w:tc>
          <w:tcPr>
            <w:tcW w:w="1704" w:type="dxa"/>
          </w:tcPr>
          <w:p w14:paraId="127FDB13" w14:textId="411CBCC5"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62</w:t>
            </w:r>
          </w:p>
        </w:tc>
        <w:tc>
          <w:tcPr>
            <w:tcW w:w="1417" w:type="dxa"/>
          </w:tcPr>
          <w:p w14:paraId="4E043348" w14:textId="43676832"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2410" w:type="dxa"/>
          </w:tcPr>
          <w:p w14:paraId="123020A9" w14:textId="56E9C5F5"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65</w:t>
            </w:r>
          </w:p>
        </w:tc>
      </w:tr>
      <w:tr w:rsidR="002E4699" w14:paraId="74EDC4DF"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3985F670" w14:textId="05ED48B8" w:rsidR="002E4699" w:rsidRDefault="002E4699" w:rsidP="00A3239A">
            <w:pPr>
              <w:pStyle w:val="Tablebody"/>
            </w:pPr>
            <w:r>
              <w:t>Normalise Sexism Subscale ~</w:t>
            </w:r>
          </w:p>
        </w:tc>
        <w:tc>
          <w:tcPr>
            <w:tcW w:w="1813" w:type="dxa"/>
          </w:tcPr>
          <w:p w14:paraId="634C028C" w14:textId="025B6067" w:rsidR="002E4699" w:rsidRDefault="00C16044"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66</w:t>
            </w:r>
          </w:p>
        </w:tc>
        <w:tc>
          <w:tcPr>
            <w:tcW w:w="1704" w:type="dxa"/>
          </w:tcPr>
          <w:p w14:paraId="760AA938" w14:textId="7D8C06F0"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1417" w:type="dxa"/>
          </w:tcPr>
          <w:p w14:paraId="120ACCEC" w14:textId="15CB546B"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2410" w:type="dxa"/>
          </w:tcPr>
          <w:p w14:paraId="43642BB6" w14:textId="77777777" w:rsidR="002E4699" w:rsidRDefault="002E4699" w:rsidP="00A3239A">
            <w:pPr>
              <w:pStyle w:val="Tablebody"/>
              <w:cnfStyle w:val="000000000000" w:firstRow="0" w:lastRow="0" w:firstColumn="0" w:lastColumn="0" w:oddVBand="0" w:evenVBand="0" w:oddHBand="0" w:evenHBand="0" w:firstRowFirstColumn="0" w:firstRowLastColumn="0" w:lastRowFirstColumn="0" w:lastRowLastColumn="0"/>
            </w:pPr>
          </w:p>
        </w:tc>
      </w:tr>
      <w:tr w:rsidR="002E4699" w14:paraId="10D5499A"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3137822E" w14:textId="42EC8EA6" w:rsidR="002E4699" w:rsidRDefault="002E4699" w:rsidP="00A3239A">
            <w:pPr>
              <w:pStyle w:val="Tablebody"/>
            </w:pPr>
            <w:r>
              <w:t xml:space="preserve">Reinforce Gender Roles Subscale </w:t>
            </w:r>
            <w:r>
              <w:rPr>
                <w:bCs/>
              </w:rPr>
              <w:t>†</w:t>
            </w:r>
          </w:p>
        </w:tc>
        <w:tc>
          <w:tcPr>
            <w:tcW w:w="1813" w:type="dxa"/>
          </w:tcPr>
          <w:p w14:paraId="3989E6DE" w14:textId="74D6214C" w:rsidR="002E4699" w:rsidRDefault="00C16044"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68</w:t>
            </w:r>
          </w:p>
        </w:tc>
        <w:tc>
          <w:tcPr>
            <w:tcW w:w="1704" w:type="dxa"/>
          </w:tcPr>
          <w:p w14:paraId="7A6AA96A" w14:textId="21C9BFF2"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417" w:type="dxa"/>
          </w:tcPr>
          <w:p w14:paraId="68F22E62" w14:textId="356222E3"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71*</w:t>
            </w:r>
          </w:p>
        </w:tc>
        <w:tc>
          <w:tcPr>
            <w:tcW w:w="2410" w:type="dxa"/>
          </w:tcPr>
          <w:p w14:paraId="2DEA4E94" w14:textId="77777777" w:rsidR="002E4699" w:rsidRDefault="002E4699" w:rsidP="00A3239A">
            <w:pPr>
              <w:pStyle w:val="Tablebody"/>
              <w:cnfStyle w:val="000000000000" w:firstRow="0" w:lastRow="0" w:firstColumn="0" w:lastColumn="0" w:oddVBand="0" w:evenVBand="0" w:oddHBand="0" w:evenHBand="0" w:firstRowFirstColumn="0" w:firstRowLastColumn="0" w:lastRowFirstColumn="0" w:lastRowLastColumn="0"/>
            </w:pPr>
          </w:p>
        </w:tc>
      </w:tr>
      <w:tr w:rsidR="002E4699" w14:paraId="6D7808D1"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53C0349C" w14:textId="0F0555F0" w:rsidR="002E4699" w:rsidRDefault="002E4699" w:rsidP="00A3239A">
            <w:pPr>
              <w:pStyle w:val="Tablebody"/>
            </w:pPr>
            <w:r>
              <w:t>Undermine Leadership Subscale</w:t>
            </w:r>
          </w:p>
        </w:tc>
        <w:tc>
          <w:tcPr>
            <w:tcW w:w="1813" w:type="dxa"/>
          </w:tcPr>
          <w:p w14:paraId="0FAF1945" w14:textId="5C2CB979" w:rsidR="002E4699" w:rsidRDefault="00C16044"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66</w:t>
            </w:r>
          </w:p>
        </w:tc>
        <w:tc>
          <w:tcPr>
            <w:tcW w:w="1704" w:type="dxa"/>
          </w:tcPr>
          <w:p w14:paraId="4B692250" w14:textId="1B566F15"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1417" w:type="dxa"/>
          </w:tcPr>
          <w:p w14:paraId="1B564463" w14:textId="75203C3E"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2410" w:type="dxa"/>
          </w:tcPr>
          <w:p w14:paraId="578A3DF7" w14:textId="178A9386" w:rsidR="002E4699" w:rsidRDefault="00C16044" w:rsidP="00A3239A">
            <w:pPr>
              <w:pStyle w:val="Tablebody"/>
              <w:cnfStyle w:val="000000000000" w:firstRow="0" w:lastRow="0" w:firstColumn="0" w:lastColumn="0" w:oddVBand="0" w:evenVBand="0" w:oddHBand="0" w:evenHBand="0" w:firstRowFirstColumn="0" w:firstRowLastColumn="0" w:lastRowFirstColumn="0" w:lastRowLastColumn="0"/>
            </w:pPr>
            <w:r>
              <w:t>69*</w:t>
            </w:r>
          </w:p>
        </w:tc>
      </w:tr>
    </w:tbl>
    <w:p w14:paraId="0858D1B9" w14:textId="7205281B"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 xml:space="preserve">N </w:t>
      </w:r>
      <w:r w:rsidRPr="007D5CED">
        <w:t xml:space="preserve">= 1,663 unless otherwise noted. </w:t>
      </w:r>
    </w:p>
    <w:p w14:paraId="52726CAD" w14:textId="77777777" w:rsidR="007D5CED" w:rsidRPr="007D5CED" w:rsidRDefault="007D5CED" w:rsidP="00A3239A">
      <w:pPr>
        <w:pStyle w:val="Normal8pt"/>
      </w:pPr>
      <w:r w:rsidRPr="007D5CED">
        <w:rPr>
          <w:bCs/>
        </w:rPr>
        <w:t>*</w:t>
      </w:r>
      <w:r w:rsidRPr="007D5CED">
        <w:t xml:space="preserve"> Statistically significant difference compared to young men on the AGIS or subscale indicated in 2021. </w:t>
      </w:r>
    </w:p>
    <w:p w14:paraId="0AC00F77" w14:textId="3C47755C" w:rsidR="007D5CED" w:rsidRPr="007D5CED" w:rsidRDefault="007D5CED" w:rsidP="00A3239A">
      <w:pPr>
        <w:pStyle w:val="Normal8pt"/>
      </w:pPr>
      <w:r w:rsidRPr="007D5CED">
        <w:rPr>
          <w:rFonts w:ascii="Montserrat" w:hAnsi="Montserrat" w:cs="Montserrat"/>
          <w:bCs/>
        </w:rPr>
        <w:t>~</w:t>
      </w:r>
      <w:r w:rsidRPr="007D5CED">
        <w:t xml:space="preserve"> Asked of one quarter of the sample. Results for young non-binary respondents are not reported for this</w:t>
      </w:r>
      <w:r w:rsidRPr="0073256E">
        <w:rPr>
          <w:rStyle w:val="Emphasis"/>
        </w:rPr>
        <w:t xml:space="preserve"> </w:t>
      </w:r>
      <w:r w:rsidRPr="007D5CED">
        <w:t>subscale</w:t>
      </w:r>
      <w:r w:rsidRPr="0073256E">
        <w:rPr>
          <w:rStyle w:val="Emphasis"/>
        </w:rPr>
        <w:t xml:space="preserve"> </w:t>
      </w:r>
      <w:r w:rsidRPr="007D5CED">
        <w:t>due to</w:t>
      </w:r>
      <w:r w:rsidR="007C3380">
        <w:t> </w:t>
      </w:r>
      <w:r w:rsidRPr="007D5CED">
        <w:t>insufficient numbers.</w:t>
      </w:r>
    </w:p>
    <w:p w14:paraId="4B9B119C" w14:textId="3FA76789" w:rsidR="00E3358B" w:rsidRDefault="006B4015" w:rsidP="00A3239A">
      <w:pPr>
        <w:pStyle w:val="Normal8pt"/>
      </w:pPr>
      <w:r>
        <w:rPr>
          <w:bCs/>
        </w:rPr>
        <w:t>†</w:t>
      </w:r>
      <w:r w:rsidR="007D5CED" w:rsidRPr="007D5CED">
        <w:t xml:space="preserve"> Results for young non-binary respondents are not reported for this</w:t>
      </w:r>
      <w:r w:rsidR="007D5CED" w:rsidRPr="0073256E">
        <w:rPr>
          <w:rStyle w:val="Emphasis"/>
        </w:rPr>
        <w:t xml:space="preserve"> </w:t>
      </w:r>
      <w:r w:rsidR="007D5CED" w:rsidRPr="007D5CED">
        <w:t>subscale</w:t>
      </w:r>
      <w:r w:rsidR="007D5CED" w:rsidRPr="0073256E">
        <w:rPr>
          <w:rStyle w:val="Emphasis"/>
        </w:rPr>
        <w:t xml:space="preserve"> </w:t>
      </w:r>
      <w:r w:rsidR="007D5CED" w:rsidRPr="007D5CED">
        <w:t xml:space="preserve">due to insufficient numbers. </w:t>
      </w:r>
    </w:p>
    <w:p w14:paraId="4046FEAA" w14:textId="1561A822" w:rsidR="007D5CED" w:rsidRPr="007D5CED" w:rsidRDefault="007D5CED" w:rsidP="00DC3FE8">
      <w:pPr>
        <w:pStyle w:val="Heading3"/>
      </w:pPr>
      <w:bookmarkStart w:id="142" w:name="_Toc152532398"/>
      <w:bookmarkStart w:id="143" w:name="_Toc190941684"/>
      <w:bookmarkStart w:id="144" w:name="_Toc190942384"/>
      <w:r w:rsidRPr="007D5CED">
        <w:t>5.4</w:t>
      </w:r>
      <w:r w:rsidR="001C7C59">
        <w:t xml:space="preserve"> </w:t>
      </w:r>
      <w:r w:rsidRPr="007D5CED">
        <w:t>Comparing by age: Attitudes towards gender inequality</w:t>
      </w:r>
      <w:bookmarkEnd w:id="142"/>
      <w:bookmarkEnd w:id="143"/>
      <w:bookmarkEnd w:id="144"/>
    </w:p>
    <w:p w14:paraId="7EA498B2" w14:textId="0121419F" w:rsidR="007D5CED" w:rsidRPr="00210AE4" w:rsidRDefault="007D5CED" w:rsidP="0084332B">
      <w:pPr>
        <w:pStyle w:val="Heading4"/>
      </w:pPr>
      <w:r w:rsidRPr="00210AE4">
        <w:t>Comparing attitudes towards gender inequality of 16- to 17-year-olds and 18- to 24-year</w:t>
      </w:r>
      <w:r w:rsidR="00210AE4" w:rsidRPr="00210AE4">
        <w:noBreakHyphen/>
      </w:r>
      <w:r w:rsidRPr="00210AE4">
        <w:t>olds</w:t>
      </w:r>
    </w:p>
    <w:p w14:paraId="0B82D5CF" w14:textId="6393764C" w:rsidR="007D5CED" w:rsidRPr="007D5CED" w:rsidRDefault="007D5CED" w:rsidP="00A3239A">
      <w:pPr>
        <w:rPr>
          <w:lang w:val="en-GB"/>
        </w:rPr>
      </w:pPr>
      <w:r w:rsidRPr="007D5CED">
        <w:rPr>
          <w:lang w:val="en-GB"/>
        </w:rPr>
        <w:t>In 2021, 16- to 17-year-olds and 18- to 24-year-olds demonstrated more similarities than differences in</w:t>
      </w:r>
      <w:r w:rsidR="007C3380">
        <w:rPr>
          <w:lang w:val="en-GB"/>
        </w:rPr>
        <w:t> </w:t>
      </w:r>
      <w:r w:rsidRPr="007D5CED">
        <w:rPr>
          <w:lang w:val="en-GB"/>
        </w:rPr>
        <w:t>their attitudes towards gender inequality. Where differences occurred, they were in the direction of</w:t>
      </w:r>
      <w:r w:rsidR="007C3380">
        <w:rPr>
          <w:lang w:val="en-GB"/>
        </w:rPr>
        <w:t> </w:t>
      </w:r>
      <w:r w:rsidRPr="007D5CED">
        <w:rPr>
          <w:lang w:val="en-GB"/>
        </w:rPr>
        <w:t>stronger rejection of gender inequality by 18- to 24-year-olds. Specifically, there were no significant differences between 16- to 17-year-olds and 18- to 24-year-olds in their rejection of gender inequality according to mean scores on the AGIS and four of the five AGIS subscales: the Deny Inequality, Normalise Sexism, Reinforce Gender Roles and Undermine Leadership Subscales. However, 18- to 24-year-old respondents demonstrated significantly stronger rejection of attitudes that limit autonomy than 16- to 17-year-olds according to mean subscale scores.</w:t>
      </w:r>
    </w:p>
    <w:p w14:paraId="35512477" w14:textId="77777777" w:rsidR="007D5CED" w:rsidRPr="007D5CED" w:rsidRDefault="007D5CED" w:rsidP="00A3239A">
      <w:pPr>
        <w:rPr>
          <w:lang w:val="en-GB"/>
        </w:rPr>
      </w:pPr>
      <w:r w:rsidRPr="007D5CED">
        <w:rPr>
          <w:lang w:val="en-GB"/>
        </w:rPr>
        <w:t>At the item level (Appendix A, Table 13-6), there were only two AGIS items for which there were significant differences between the youth age groups. Significantly more 16- to 17-year-olds (15%) than 18- to 24-year-olds (4%) “strongly agreed” that many women underappreciate men (G3, Deny Gender Inequality Subscale). Similarly, significantly more 16- to 17-year-olds (11%) than 18- to 24-year-olds (4%) “strongly” or “somewhat” agreed that the woman should not be the one to initiate sex when a couple starts dating (G15, Reinforce Gender Roles Subscale).</w:t>
      </w:r>
      <w:r w:rsidRPr="007D5CED">
        <w:rPr>
          <w:vertAlign w:val="superscript"/>
          <w:lang w:val="en-GB"/>
        </w:rPr>
        <w:footnoteReference w:id="25"/>
      </w:r>
      <w:r w:rsidRPr="007D5CED">
        <w:rPr>
          <w:lang w:val="en-GB"/>
        </w:rPr>
        <w:t xml:space="preserve"> </w:t>
      </w:r>
    </w:p>
    <w:p w14:paraId="04F0C0E7" w14:textId="501E9A06" w:rsidR="007D5CED" w:rsidRPr="007D5CED" w:rsidRDefault="007D5CED" w:rsidP="0084332B">
      <w:pPr>
        <w:pStyle w:val="Heading4"/>
      </w:pPr>
      <w:r w:rsidRPr="007D5CED">
        <w:t>Comparing attitudes towards gender inequality of 16- to 24-year-olds and people aged 25</w:t>
      </w:r>
      <w:r w:rsidR="00210AE4">
        <w:t> </w:t>
      </w:r>
      <w:r w:rsidRPr="007D5CED">
        <w:t xml:space="preserve">years or older </w:t>
      </w:r>
    </w:p>
    <w:p w14:paraId="2324FEF7" w14:textId="7B45CAA8" w:rsidR="007D5CED" w:rsidRPr="007D5CED" w:rsidRDefault="007D5CED" w:rsidP="00A3239A">
      <w:pPr>
        <w:rPr>
          <w:lang w:val="en-GB"/>
        </w:rPr>
      </w:pPr>
      <w:r w:rsidRPr="007D5CED">
        <w:rPr>
          <w:lang w:val="en-GB"/>
        </w:rPr>
        <w:t>Many findings regarding attitudes towards gender inequality suggested that young Australians’ attitudes are similar to those of other Australians. In 2021, like most respondents of all ages (Main</w:t>
      </w:r>
      <w:r w:rsidR="00210AE4">
        <w:rPr>
          <w:lang w:val="en-GB"/>
        </w:rPr>
        <w:t> </w:t>
      </w:r>
      <w:r w:rsidRPr="007D5CED">
        <w:rPr>
          <w:lang w:val="en-GB"/>
        </w:rPr>
        <w:t>report), most young respondents rejected many attitudes that condone or reinforce gender inequality. There was no significant difference between young respondents and those aged 25 years or</w:t>
      </w:r>
      <w:r w:rsidR="00210AE4">
        <w:rPr>
          <w:lang w:val="en-GB"/>
        </w:rPr>
        <w:t> </w:t>
      </w:r>
      <w:r w:rsidRPr="007D5CED">
        <w:rPr>
          <w:lang w:val="en-GB"/>
        </w:rPr>
        <w:t>older on</w:t>
      </w:r>
      <w:r w:rsidR="00210AE4">
        <w:rPr>
          <w:lang w:val="en-GB"/>
        </w:rPr>
        <w:t> </w:t>
      </w:r>
      <w:r w:rsidRPr="007D5CED">
        <w:rPr>
          <w:lang w:val="en-GB"/>
        </w:rPr>
        <w:t>the AGIS and four of its five subscales. Accordingly, there was no significant difference in</w:t>
      </w:r>
      <w:r w:rsidR="00210AE4">
        <w:rPr>
          <w:lang w:val="en-GB"/>
        </w:rPr>
        <w:t> </w:t>
      </w:r>
      <w:r w:rsidRPr="007D5CED">
        <w:rPr>
          <w:lang w:val="en-GB"/>
        </w:rPr>
        <w:t>2021 between the proportion of young respondents (31%) and the proportion of respondents aged 25</w:t>
      </w:r>
      <w:r w:rsidR="00210AE4">
        <w:rPr>
          <w:lang w:val="en-GB"/>
        </w:rPr>
        <w:t> </w:t>
      </w:r>
      <w:r w:rsidRPr="007D5CED">
        <w:rPr>
          <w:lang w:val="en-GB"/>
        </w:rPr>
        <w:t xml:space="preserve">years or older (28%) who had “advanced” </w:t>
      </w:r>
      <w:r w:rsidRPr="007D5CED">
        <w:rPr>
          <w:lang w:val="en-GB"/>
        </w:rPr>
        <w:lastRenderedPageBreak/>
        <w:t>rejection of gender inequality (AGIS). Although rejection of</w:t>
      </w:r>
      <w:r w:rsidR="00210AE4">
        <w:rPr>
          <w:lang w:val="en-GB"/>
        </w:rPr>
        <w:t> </w:t>
      </w:r>
      <w:r w:rsidRPr="007D5CED">
        <w:rPr>
          <w:lang w:val="en-GB"/>
        </w:rPr>
        <w:t>gender inequality is steadily but slowly improving over time for all age groups (Main report), there</w:t>
      </w:r>
      <w:r w:rsidR="00210AE4">
        <w:rPr>
          <w:lang w:val="en-GB"/>
        </w:rPr>
        <w:t> </w:t>
      </w:r>
      <w:r w:rsidRPr="007D5CED">
        <w:rPr>
          <w:lang w:val="en-GB"/>
        </w:rPr>
        <w:t>is</w:t>
      </w:r>
      <w:r w:rsidR="00210AE4">
        <w:rPr>
          <w:lang w:val="en-GB"/>
        </w:rPr>
        <w:t> </w:t>
      </w:r>
      <w:r w:rsidRPr="007D5CED">
        <w:rPr>
          <w:lang w:val="en-GB"/>
        </w:rPr>
        <w:t xml:space="preserve">room for improvement across the Australian population. </w:t>
      </w:r>
    </w:p>
    <w:p w14:paraId="5D56012D" w14:textId="6F02D477" w:rsidR="007D5CED" w:rsidRPr="007D5CED" w:rsidRDefault="007D5CED" w:rsidP="00A3239A">
      <w:pPr>
        <w:rPr>
          <w:lang w:val="en-GB"/>
        </w:rPr>
      </w:pPr>
      <w:r w:rsidRPr="007D5CED">
        <w:rPr>
          <w:lang w:val="en-GB"/>
        </w:rPr>
        <w:t>There were, however, a few differences between young respondents and those aged 25 years or older in their rejection of gender inequality in 2021. Compared to respondents aged 25 years or older, young</w:t>
      </w:r>
      <w:r w:rsidR="00210AE4">
        <w:rPr>
          <w:lang w:val="en-GB"/>
        </w:rPr>
        <w:t> </w:t>
      </w:r>
      <w:r w:rsidRPr="007D5CED">
        <w:rPr>
          <w:lang w:val="en-GB"/>
        </w:rPr>
        <w:t>respondents had significantly lower rejection of attitudes that condone limiting women’s personal autonomy (Limit Autonomy Subscale). In addition, while both young respondents and those aged 25 years or older had stronger rejection of some problematic attitudes towards gender inequality than others, the pattern of rejection was different for these age groups. As Section 5.2 details, in 2021, young respondents’ rejection of attitudes that condone limiting women’s autonomy was lower than their rejection of attitudes that deny gender inequality, normalise sexism and reinforce gender roles. In</w:t>
      </w:r>
      <w:r w:rsidR="00210AE4">
        <w:rPr>
          <w:lang w:val="en-GB"/>
        </w:rPr>
        <w:t> </w:t>
      </w:r>
      <w:r w:rsidRPr="007D5CED">
        <w:rPr>
          <w:lang w:val="en-GB"/>
        </w:rPr>
        <w:t>addition, young respondents’ rejection of attitudes that reinforce gender roles was stronger than their rejection of attitudes that condone limiting autonomy and normalising sexism (Figure 5-1). In</w:t>
      </w:r>
      <w:r w:rsidR="00210AE4">
        <w:rPr>
          <w:lang w:val="en-GB"/>
        </w:rPr>
        <w:t> </w:t>
      </w:r>
      <w:r w:rsidRPr="007D5CED">
        <w:rPr>
          <w:lang w:val="en-GB"/>
        </w:rPr>
        <w:t>contrast, the pattern for respondents of all ages revealed lower rejection of attitudes that normalise sexism than attitudes that undermine women’s leadership (Main report, Figure 5-2).</w:t>
      </w:r>
    </w:p>
    <w:p w14:paraId="47780512" w14:textId="05D5C419" w:rsidR="007D5CED" w:rsidRPr="007D5CED" w:rsidRDefault="007D5CED" w:rsidP="00A3239A">
      <w:pPr>
        <w:rPr>
          <w:lang w:val="en-GB"/>
        </w:rPr>
      </w:pPr>
      <w:r w:rsidRPr="007D5CED">
        <w:rPr>
          <w:lang w:val="en-GB"/>
        </w:rPr>
        <w:t>Further, while there were no significant differences between young respondents and those aged 25</w:t>
      </w:r>
      <w:r w:rsidR="00210AE4">
        <w:rPr>
          <w:lang w:val="en-GB"/>
        </w:rPr>
        <w:t> </w:t>
      </w:r>
      <w:r w:rsidRPr="007D5CED">
        <w:rPr>
          <w:lang w:val="en-GB"/>
        </w:rPr>
        <w:t>years or older on most AGIS items, significant differences were found for three (of the 17) items (Appendix B, Table 14</w:t>
      </w:r>
      <w:r w:rsidRPr="007D5CED">
        <w:rPr>
          <w:rFonts w:ascii="Cambria Math" w:hAnsi="Cambria Math" w:cs="Cambria Math"/>
          <w:lang w:val="en-GB"/>
        </w:rPr>
        <w:t>‑</w:t>
      </w:r>
      <w:r w:rsidRPr="007D5CED">
        <w:rPr>
          <w:lang w:val="en-GB"/>
        </w:rPr>
        <w:t>6). Two items, one from the Limit Autonomy Subscale and one from the Normalise Sexism Subscale, indicated stronger rejection of gender inequality by respondents aged 25</w:t>
      </w:r>
      <w:r w:rsidR="00210AE4">
        <w:rPr>
          <w:lang w:val="en-GB"/>
        </w:rPr>
        <w:t> </w:t>
      </w:r>
      <w:r w:rsidRPr="007D5CED">
        <w:rPr>
          <w:lang w:val="en-GB"/>
        </w:rPr>
        <w:t>years or older. Specifically, in 2021, significantly fewer young respondents than those aged 25 years or older “strongly disagreed” that women prefer men to take charge in relationships (38% versus 49%; G13, Limit Autonomy Subscale) and that it is acceptable for men to make violent jokes about women when among their male friends (88% versus 94%; G17, Normalise Sexism Subscale). However, the</w:t>
      </w:r>
      <w:r w:rsidR="00210AE4">
        <w:rPr>
          <w:lang w:val="en-GB"/>
        </w:rPr>
        <w:t> </w:t>
      </w:r>
      <w:r w:rsidRPr="007D5CED">
        <w:rPr>
          <w:lang w:val="en-GB"/>
        </w:rPr>
        <w:t xml:space="preserve">results of one item from the Reinforce Gender Roles Subscale were in the direction of stronger rejection of gender inequality by young respondents. Significantly more young respondents (81%) “strongly disagreed” that women need children to be fulfilled compared to respondents aged 25 years or older (72%; G9). </w:t>
      </w:r>
    </w:p>
    <w:p w14:paraId="626768B1" w14:textId="05BD54AA" w:rsidR="007D5CED" w:rsidRPr="007D5CED" w:rsidRDefault="007D5CED" w:rsidP="00A3239A">
      <w:pPr>
        <w:rPr>
          <w:lang w:val="en-GB"/>
        </w:rPr>
      </w:pPr>
      <w:r w:rsidRPr="007D5CED">
        <w:rPr>
          <w:lang w:val="en-GB"/>
        </w:rPr>
        <w:t>There were no significant differences between young respondents and those aged 25 years or older on</w:t>
      </w:r>
      <w:r w:rsidR="00210AE4">
        <w:rPr>
          <w:lang w:val="en-GB"/>
        </w:rPr>
        <w:t> </w:t>
      </w:r>
      <w:r w:rsidRPr="007D5CED">
        <w:rPr>
          <w:lang w:val="en-GB"/>
        </w:rPr>
        <w:t>any of the items in the Deny Inequality and the Undermine Leadership Subscales. The results of the Deny Inequality Subscale indicated considerable support for backlash attitudes among both young Australians and Australians aged 25 years or older, and the need for continued effort to address these attitudes across the Australian population.</w:t>
      </w:r>
    </w:p>
    <w:bookmarkStart w:id="145" w:name="_Toc152532399"/>
    <w:bookmarkStart w:id="146" w:name="_Toc190941685"/>
    <w:bookmarkStart w:id="147" w:name="_Toc190942385"/>
    <w:p w14:paraId="2CE01AD4" w14:textId="1DE29A23" w:rsidR="007D5CED" w:rsidRPr="00D32C21" w:rsidRDefault="007C3380" w:rsidP="008C29F3">
      <w:pPr>
        <w:pStyle w:val="H2SectionTitle"/>
      </w:pPr>
      <w:r>
        <w:rPr>
          <w:noProof/>
        </w:rPr>
        <w:lastRenderedPageBreak/>
        <mc:AlternateContent>
          <mc:Choice Requires="wps">
            <w:drawing>
              <wp:anchor distT="0" distB="0" distL="114300" distR="114300" simplePos="0" relativeHeight="251658260" behindDoc="0" locked="0" layoutInCell="1" allowOverlap="1" wp14:anchorId="5F0D836E" wp14:editId="4AA646F8">
                <wp:simplePos x="0" y="0"/>
                <wp:positionH relativeFrom="column">
                  <wp:posOffset>5124</wp:posOffset>
                </wp:positionH>
                <wp:positionV relativeFrom="paragraph">
                  <wp:posOffset>109</wp:posOffset>
                </wp:positionV>
                <wp:extent cx="382138" cy="382138"/>
                <wp:effectExtent l="0" t="0" r="0" b="0"/>
                <wp:wrapSquare wrapText="bothSides"/>
                <wp:docPr id="4354722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B4142" id="Rectangle 2" o:spid="_x0000_s1026" alt="&quot;&quot;" style="position:absolute;margin-left:.4pt;margin-top:0;width:30.1pt;height:30.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6 </w:t>
      </w:r>
      <w:r w:rsidR="007D5CED" w:rsidRPr="00D32C21">
        <w:t>Findings: Young people’s attitudes towards violence against women – AVAWS in</w:t>
      </w:r>
      <w:r>
        <w:t> </w:t>
      </w:r>
      <w:r w:rsidR="007D5CED" w:rsidRPr="00D32C21">
        <w:t>focus</w:t>
      </w:r>
      <w:bookmarkEnd w:id="145"/>
      <w:bookmarkEnd w:id="146"/>
      <w:bookmarkEnd w:id="147"/>
    </w:p>
    <w:tbl>
      <w:tblPr>
        <w:tblStyle w:val="Yellowcalloutboxlayout"/>
        <w:tblW w:w="0" w:type="auto"/>
        <w:tblLayout w:type="fixed"/>
        <w:tblLook w:val="0000" w:firstRow="0" w:lastRow="0" w:firstColumn="0" w:lastColumn="0" w:noHBand="0" w:noVBand="0"/>
      </w:tblPr>
      <w:tblGrid>
        <w:gridCol w:w="8901"/>
      </w:tblGrid>
      <w:tr w:rsidR="007D5CED" w:rsidRPr="00EA1044" w14:paraId="2E8A7868" w14:textId="77777777" w:rsidTr="001C7C59">
        <w:trPr>
          <w:trHeight w:val="60"/>
        </w:trPr>
        <w:tc>
          <w:tcPr>
            <w:tcW w:w="8901" w:type="dxa"/>
          </w:tcPr>
          <w:p w14:paraId="2C720DDC" w14:textId="08D80237" w:rsidR="007D5CED" w:rsidRPr="001C7C59" w:rsidRDefault="007D5CED" w:rsidP="001C7C59">
            <w:pPr>
              <w:pStyle w:val="ChapterIntro"/>
            </w:pPr>
            <w:r w:rsidRPr="001C7C59">
              <w:t xml:space="preserve">The </w:t>
            </w:r>
            <w:r w:rsidRPr="0013577A">
              <w:rPr>
                <w:rStyle w:val="Emphasis"/>
                <w:i w:val="0"/>
                <w:iCs w:val="0"/>
              </w:rPr>
              <w:t>Attitudes towards Violence against Women Scale (AVAWS)</w:t>
            </w:r>
            <w:r w:rsidRPr="001C7C59">
              <w:t xml:space="preserve"> measures Australians’ attitudes towards violence against women and</w:t>
            </w:r>
            <w:r w:rsidR="0061244D" w:rsidRPr="001C7C59">
              <w:t> </w:t>
            </w:r>
            <w:r w:rsidRPr="001C7C59">
              <w:t>provides a means of monitoring changes over time in community attitudes that reject violence. “Reduction of attitudes that are associated with violence against women” is cited in the National Plan 2022–2032 as a key (primary) prevention indicator (DSS, 2022, p. 30). These attitudes include minimising the extent and seriousness of</w:t>
            </w:r>
            <w:r w:rsidR="0061244D" w:rsidRPr="001C7C59">
              <w:t> </w:t>
            </w:r>
            <w:r w:rsidRPr="001C7C59">
              <w:t>violence against women and victim-blaming, mistrusting women’s disclosures of violence, and objectifying women and disregarding the need to gain consent.</w:t>
            </w:r>
          </w:p>
        </w:tc>
      </w:tr>
    </w:tbl>
    <w:p w14:paraId="65A5F8AF" w14:textId="2B423FDF" w:rsidR="001C6396" w:rsidRDefault="001C6396">
      <w:pPr>
        <w:spacing w:before="0" w:after="0" w:line="240" w:lineRule="auto"/>
        <w:rPr>
          <w:rFonts w:cs="Open Sans"/>
          <w:color w:val="000000"/>
          <w:kern w:val="0"/>
          <w:szCs w:val="18"/>
          <w:lang w:val="en-GB"/>
        </w:rPr>
      </w:pPr>
      <w:r>
        <w:rPr>
          <w:rFonts w:cs="Open Sans"/>
          <w:color w:val="000000"/>
          <w:kern w:val="0"/>
          <w:szCs w:val="18"/>
          <w:lang w:val="en-GB"/>
        </w:rPr>
        <w:br w:type="page"/>
      </w:r>
    </w:p>
    <w:p w14:paraId="0735EF92" w14:textId="77777777" w:rsidR="007D5CED" w:rsidRPr="007D5CED" w:rsidRDefault="007D5CED" w:rsidP="001C6396">
      <w:pPr>
        <w:rPr>
          <w:lang w:val="en-GB"/>
        </w:rPr>
      </w:pPr>
      <w:r w:rsidRPr="007D5CED">
        <w:rPr>
          <w:lang w:val="en-GB"/>
        </w:rPr>
        <w:lastRenderedPageBreak/>
        <w:t xml:space="preserve">The </w:t>
      </w:r>
      <w:r w:rsidRPr="007D5CED">
        <w:rPr>
          <w:rStyle w:val="Strong"/>
          <w:lang w:val="en-US"/>
        </w:rPr>
        <w:t>AVAWS</w:t>
      </w:r>
      <w:r w:rsidRPr="007D5CED">
        <w:rPr>
          <w:lang w:val="en-GB"/>
        </w:rPr>
        <w:t xml:space="preserve"> comprises three psychometrically validated subscales, each measuring a different conceptual aspect of attitudes towards violence against women:</w:t>
      </w:r>
    </w:p>
    <w:p w14:paraId="3B347753" w14:textId="786DC3D5" w:rsidR="007D5CED" w:rsidRPr="007D5CED" w:rsidRDefault="007D5CED" w:rsidP="0061244D">
      <w:pPr>
        <w:pStyle w:val="ListBullet"/>
        <w:spacing w:before="80" w:after="80"/>
        <w:rPr>
          <w:lang w:val="en-GB"/>
        </w:rPr>
      </w:pPr>
      <w:r w:rsidRPr="007D5CED">
        <w:rPr>
          <w:lang w:val="en-GB"/>
        </w:rPr>
        <w:t>The</w:t>
      </w:r>
      <w:r w:rsidRPr="007D5CED">
        <w:rPr>
          <w:b/>
          <w:bCs/>
          <w:lang w:val="en-US"/>
        </w:rPr>
        <w:t xml:space="preserve"> </w:t>
      </w:r>
      <w:r w:rsidRPr="007D5CED">
        <w:rPr>
          <w:rStyle w:val="Strong"/>
          <w:lang w:val="en-US"/>
        </w:rPr>
        <w:t>Minimise Violence Subscale</w:t>
      </w:r>
      <w:r w:rsidRPr="007D5CED">
        <w:rPr>
          <w:lang w:val="en-GB"/>
        </w:rPr>
        <w:t xml:space="preserve"> comprises 15 statements that minimise the seriousness of</w:t>
      </w:r>
      <w:r w:rsidR="0061244D">
        <w:rPr>
          <w:lang w:val="en-GB"/>
        </w:rPr>
        <w:t> </w:t>
      </w:r>
      <w:r w:rsidRPr="007D5CED">
        <w:rPr>
          <w:lang w:val="en-GB"/>
        </w:rPr>
        <w:t>violence against women and shift blame from perpetrators to victims and survivors.</w:t>
      </w:r>
    </w:p>
    <w:p w14:paraId="66D28956" w14:textId="77777777" w:rsidR="007D5CED" w:rsidRPr="007D5CED" w:rsidRDefault="007D5CED" w:rsidP="0061244D">
      <w:pPr>
        <w:pStyle w:val="ListBullet"/>
        <w:spacing w:before="80" w:after="80"/>
        <w:rPr>
          <w:lang w:val="en-GB"/>
        </w:rPr>
      </w:pPr>
      <w:r w:rsidRPr="007D5CED">
        <w:rPr>
          <w:lang w:val="en-GB"/>
        </w:rPr>
        <w:t>The</w:t>
      </w:r>
      <w:r w:rsidRPr="007D5CED">
        <w:rPr>
          <w:b/>
          <w:bCs/>
          <w:lang w:val="en-US"/>
        </w:rPr>
        <w:t xml:space="preserve"> </w:t>
      </w:r>
      <w:r w:rsidRPr="007D5CED">
        <w:rPr>
          <w:rStyle w:val="Strong"/>
          <w:lang w:val="en-US"/>
        </w:rPr>
        <w:t>Mistrust Women Subscale</w:t>
      </w:r>
      <w:r w:rsidRPr="007D5CED">
        <w:rPr>
          <w:lang w:val="en-GB"/>
        </w:rPr>
        <w:t xml:space="preserve"> comprises 13 statements that mistrust women’s reports of violence.</w:t>
      </w:r>
    </w:p>
    <w:p w14:paraId="35EB8E72" w14:textId="77777777" w:rsidR="007D5CED" w:rsidRPr="007D5CED" w:rsidRDefault="007D5CED" w:rsidP="0061244D">
      <w:pPr>
        <w:pStyle w:val="ListBullet"/>
        <w:spacing w:before="80" w:after="80"/>
        <w:rPr>
          <w:lang w:val="en-GB"/>
        </w:rPr>
      </w:pPr>
      <w:r w:rsidRPr="007D5CED">
        <w:rPr>
          <w:lang w:val="en-GB"/>
        </w:rPr>
        <w:t>The</w:t>
      </w:r>
      <w:r w:rsidRPr="007D5CED">
        <w:rPr>
          <w:b/>
          <w:bCs/>
          <w:lang w:val="en-US"/>
        </w:rPr>
        <w:t xml:space="preserve"> </w:t>
      </w:r>
      <w:r w:rsidRPr="007D5CED">
        <w:rPr>
          <w:rStyle w:val="Strong"/>
          <w:lang w:val="en-US"/>
        </w:rPr>
        <w:t>Objectify Women Subscale</w:t>
      </w:r>
      <w:r w:rsidRPr="007D5CED">
        <w:rPr>
          <w:lang w:val="en-GB"/>
        </w:rPr>
        <w:t xml:space="preserve"> comprises 15 items – 11 standalone items presenting statements that objectify women or disregard the need to gain women’s consent and four items presenting scenarios about sexual consent.</w:t>
      </w:r>
    </w:p>
    <w:p w14:paraId="28C47BF7" w14:textId="77777777" w:rsidR="007D5CED" w:rsidRPr="007D5CED" w:rsidRDefault="007D5CED" w:rsidP="0061244D">
      <w:pPr>
        <w:suppressAutoHyphens/>
        <w:autoSpaceDE w:val="0"/>
        <w:autoSpaceDN w:val="0"/>
        <w:adjustRightInd w:val="0"/>
        <w:spacing w:before="57" w:line="240" w:lineRule="atLeast"/>
        <w:jc w:val="both"/>
        <w:textAlignment w:val="center"/>
        <w:rPr>
          <w:rFonts w:cs="Open Sans"/>
          <w:color w:val="000000"/>
          <w:kern w:val="0"/>
          <w:szCs w:val="18"/>
          <w:lang w:val="en-GB"/>
        </w:rPr>
      </w:pPr>
      <w:r w:rsidRPr="007D5CED">
        <w:rPr>
          <w:rFonts w:cs="Open Sans"/>
          <w:color w:val="000000"/>
          <w:kern w:val="0"/>
          <w:szCs w:val="18"/>
          <w:lang w:val="en-GB"/>
        </w:rPr>
        <w:t>This chapter details young respondents’ results on the AVAWS overall, and on its subscales and individual items, to:</w:t>
      </w:r>
    </w:p>
    <w:p w14:paraId="14D47053" w14:textId="77777777" w:rsidR="007D5CED" w:rsidRPr="00210AE4" w:rsidRDefault="007D5CED" w:rsidP="0061244D">
      <w:pPr>
        <w:pStyle w:val="ListBullet"/>
        <w:spacing w:before="80" w:after="80"/>
        <w:rPr>
          <w:spacing w:val="-2"/>
          <w:lang w:val="en-GB"/>
        </w:rPr>
      </w:pPr>
      <w:r w:rsidRPr="00210AE4">
        <w:rPr>
          <w:spacing w:val="-2"/>
          <w:lang w:val="en-GB"/>
        </w:rPr>
        <w:t>examine changes in young people’s attitudes towards violence against women over time (Section 6.1)</w:t>
      </w:r>
    </w:p>
    <w:p w14:paraId="34E5DF78" w14:textId="77777777" w:rsidR="007D5CED" w:rsidRPr="007D5CED" w:rsidRDefault="007D5CED" w:rsidP="0061244D">
      <w:pPr>
        <w:pStyle w:val="ListBullet"/>
        <w:spacing w:before="80" w:after="80"/>
        <w:rPr>
          <w:lang w:val="en-GB"/>
        </w:rPr>
      </w:pPr>
      <w:r w:rsidRPr="007D5CED">
        <w:rPr>
          <w:lang w:val="en-GB"/>
        </w:rPr>
        <w:t>examine young people’s attitudes towards violence against women in 2021 (Section 6.2)</w:t>
      </w:r>
    </w:p>
    <w:p w14:paraId="71BAC4B9" w14:textId="77777777" w:rsidR="007D5CED" w:rsidRPr="007D5CED" w:rsidRDefault="007D5CED" w:rsidP="0061244D">
      <w:pPr>
        <w:pStyle w:val="ListBullet"/>
        <w:spacing w:before="80" w:after="80"/>
        <w:rPr>
          <w:lang w:val="en-GB"/>
        </w:rPr>
      </w:pPr>
      <w:r w:rsidRPr="007D5CED">
        <w:rPr>
          <w:lang w:val="en-GB"/>
        </w:rPr>
        <w:t>compare young people’s attitudes towards violence against women in 2021 by gender (Section 6.3)</w:t>
      </w:r>
    </w:p>
    <w:p w14:paraId="2519EE03" w14:textId="77777777" w:rsidR="007D5CED" w:rsidRPr="007D5CED" w:rsidRDefault="007D5CED" w:rsidP="0061244D">
      <w:pPr>
        <w:pStyle w:val="ListBullet"/>
        <w:spacing w:before="80" w:after="80"/>
        <w:rPr>
          <w:lang w:val="en-GB"/>
        </w:rPr>
      </w:pPr>
      <w:r w:rsidRPr="007D5CED">
        <w:rPr>
          <w:lang w:val="en-GB"/>
        </w:rPr>
        <w:t>compare attitudes towards violence against women in 2021 by age (Section 6.4).</w:t>
      </w:r>
    </w:p>
    <w:p w14:paraId="6ECCA5DB" w14:textId="77777777" w:rsidR="007D5CED" w:rsidRPr="007D5CED" w:rsidRDefault="007D5CED" w:rsidP="0061244D">
      <w:pPr>
        <w:suppressAutoHyphens/>
        <w:autoSpaceDE w:val="0"/>
        <w:autoSpaceDN w:val="0"/>
        <w:adjustRightInd w:val="0"/>
        <w:spacing w:before="57" w:after="240" w:line="240" w:lineRule="atLeast"/>
        <w:jc w:val="both"/>
        <w:textAlignment w:val="center"/>
        <w:rPr>
          <w:rFonts w:cs="Open Sans"/>
          <w:color w:val="000000"/>
          <w:kern w:val="0"/>
          <w:szCs w:val="18"/>
          <w:lang w:val="en-GB"/>
        </w:rPr>
      </w:pPr>
      <w:r w:rsidRPr="007D5CED">
        <w:rPr>
          <w:rFonts w:cs="Open Sans"/>
          <w:color w:val="000000"/>
          <w:kern w:val="0"/>
          <w:szCs w:val="18"/>
          <w:lang w:val="en-GB"/>
        </w:rPr>
        <w:t>Note that the findings for the four items in the Objectify Women Subscale that present sexual consent scenarios are discussed in Chapter 7.</w:t>
      </w:r>
    </w:p>
    <w:p w14:paraId="31B3E88E" w14:textId="77777777" w:rsidR="004A7872" w:rsidRPr="007D5CED" w:rsidRDefault="004A7872" w:rsidP="00750FEF">
      <w:pPr>
        <w:pStyle w:val="ResultsSummaryHeading"/>
      </w:pPr>
      <w:r w:rsidRPr="007D5CED">
        <w:t>AVAWS results summary</w:t>
      </w:r>
    </w:p>
    <w:p w14:paraId="5DED5DA9" w14:textId="77777777" w:rsidR="004A7872" w:rsidRPr="007D5CED" w:rsidRDefault="004A7872" w:rsidP="00750FEF">
      <w:pPr>
        <w:pStyle w:val="ResultsSummary"/>
      </w:pPr>
      <w:r w:rsidRPr="007D5CED">
        <w:t>In 2021, most young Australians held attitudes that reject violence against women and this rejection had significantly improved since 2017, whereas there was no significant improvement during this period for all respondents (Sections 3.1 and 6.1).</w:t>
      </w:r>
    </w:p>
    <w:p w14:paraId="762F0092" w14:textId="77777777" w:rsidR="004A7872" w:rsidRPr="007D5CED" w:rsidRDefault="004A7872" w:rsidP="00750FEF">
      <w:pPr>
        <w:pStyle w:val="ResultsSummary"/>
      </w:pPr>
      <w:r w:rsidRPr="007D5CED">
        <w:t>However, a minority of young respondents in 2021 endorsed attitudes that condone violence against women, including attitudes that minimise the seriousness of violence and shift blame to victims and survivors, attitudes that mistrust women’s reports of violence and attitudes that objectify women and disregard consent (Section 6.2).</w:t>
      </w:r>
    </w:p>
    <w:p w14:paraId="0435DBA0" w14:textId="12C58FAB" w:rsidR="004A7872" w:rsidRPr="007D5CED" w:rsidRDefault="004A7872" w:rsidP="00750FEF">
      <w:pPr>
        <w:pStyle w:val="ResultsSummary"/>
      </w:pPr>
      <w:r w:rsidRPr="007D5CED">
        <w:t>In 2021, compared to young men, young women had significantly higher rejection of violence against</w:t>
      </w:r>
      <w:r w:rsidR="0061244D">
        <w:t> </w:t>
      </w:r>
      <w:r w:rsidRPr="007D5CED">
        <w:t>women, including greater rejection of attitudes that minimise violence against women, mistrust</w:t>
      </w:r>
      <w:r w:rsidR="0061244D">
        <w:t> </w:t>
      </w:r>
      <w:r w:rsidRPr="007D5CED">
        <w:t>women’s reports of violence, and objectify women and disregard consent. Young non-binary respondents were also significantly more likely than young men to reject attitudes that mistrust women’s reports of violence. Young women were also significantly more likely than young men to have “advanced” attitudes towards violence against women.</w:t>
      </w:r>
    </w:p>
    <w:p w14:paraId="213742E6" w14:textId="77777777" w:rsidR="004A7872" w:rsidRPr="007D5CED" w:rsidRDefault="004A7872" w:rsidP="00750FEF">
      <w:pPr>
        <w:pStyle w:val="ResultsSummary"/>
      </w:pPr>
      <w:r w:rsidRPr="007D5CED">
        <w:t>In 2021, young respondents (aged 16 to 24 years) were similar to those aged 25 years or older in their rejection of attitudes towards violence against women according to the AVAWS overall and two of its three subscales. However, based on the Minimise Violence Subscale, young respondents had significantly lower rejection than those aged 25 years or older of attitudes that minimise violence against women and shift blame.</w:t>
      </w:r>
    </w:p>
    <w:p w14:paraId="600E26C1" w14:textId="28A5E2F1" w:rsidR="004A7872" w:rsidRPr="007D5CED" w:rsidRDefault="004A7872" w:rsidP="00750FEF">
      <w:pPr>
        <w:pStyle w:val="ResultsSummary"/>
      </w:pPr>
      <w:r w:rsidRPr="007D5CED">
        <w:t>In 2021, within the group of young respondents, 18- to 24-year-olds had significantly stronger rejection of violence against women than 16- to 17-year-olds according to the AVAWS and all its subscales. That</w:t>
      </w:r>
      <w:r w:rsidR="0061244D">
        <w:t> </w:t>
      </w:r>
      <w:r w:rsidRPr="007D5CED">
        <w:t>is, 18- to 24-year-olds were more likely than 16- to 17-year-olds to reject attitudes that minimise violence against women and shift blame, attitudes that mistrust women’s reports of violence and attitudes that objectify women and disregard consent.</w:t>
      </w:r>
    </w:p>
    <w:p w14:paraId="19F1929B" w14:textId="77777777" w:rsidR="004A7872" w:rsidRPr="007D5CED" w:rsidRDefault="004A7872" w:rsidP="00750FEF">
      <w:pPr>
        <w:pStyle w:val="ResultsSummary"/>
      </w:pPr>
      <w:r w:rsidRPr="007D5CED">
        <w:t>There is room to further improve attitudes towards violence against women across the Australian community.</w:t>
      </w:r>
    </w:p>
    <w:p w14:paraId="3CA8DF75" w14:textId="255B8B17" w:rsidR="007D5CED" w:rsidRPr="007D5CED" w:rsidRDefault="007D5CED" w:rsidP="00DC3FE8">
      <w:pPr>
        <w:pStyle w:val="Heading3"/>
      </w:pPr>
      <w:bookmarkStart w:id="148" w:name="_Toc152532400"/>
      <w:bookmarkStart w:id="149" w:name="_Toc190941686"/>
      <w:bookmarkStart w:id="150" w:name="_Toc190942386"/>
      <w:r w:rsidRPr="007D5CED">
        <w:lastRenderedPageBreak/>
        <w:t>6.1</w:t>
      </w:r>
      <w:r w:rsidR="006C5088">
        <w:t xml:space="preserve"> </w:t>
      </w:r>
      <w:r w:rsidRPr="007D5CED">
        <w:t>Attitudes over time: Young people’s attitudes towards violence against</w:t>
      </w:r>
      <w:r w:rsidR="0061244D">
        <w:t> </w:t>
      </w:r>
      <w:r w:rsidRPr="007D5CED">
        <w:t>women</w:t>
      </w:r>
      <w:bookmarkEnd w:id="148"/>
      <w:bookmarkEnd w:id="149"/>
      <w:bookmarkEnd w:id="150"/>
    </w:p>
    <w:p w14:paraId="3591554F" w14:textId="77777777" w:rsidR="007D5CED" w:rsidRPr="007D5CED" w:rsidRDefault="007D5CED" w:rsidP="00A3239A">
      <w:pPr>
        <w:rPr>
          <w:lang w:val="en-GB"/>
        </w:rPr>
      </w:pPr>
      <w:r w:rsidRPr="007D5CED">
        <w:rPr>
          <w:lang w:val="en-GB"/>
        </w:rPr>
        <w:t>This section examines young respondents’ rejection of violence against women over time based on the AVAWS scale, subscales and items.</w:t>
      </w:r>
    </w:p>
    <w:p w14:paraId="23828E52" w14:textId="45457227" w:rsidR="007D5CED" w:rsidRPr="007D5CED" w:rsidRDefault="007D5CED" w:rsidP="00A3239A">
      <w:pPr>
        <w:rPr>
          <w:lang w:val="en-GB"/>
        </w:rPr>
      </w:pPr>
      <w:r w:rsidRPr="007D5CED">
        <w:rPr>
          <w:lang w:val="en-GB"/>
        </w:rPr>
        <w:t>As Chapter 3 shows, young respondents’ overall rejection of violence against women, as measured by</w:t>
      </w:r>
      <w:r w:rsidR="0061244D">
        <w:rPr>
          <w:lang w:val="en-GB"/>
        </w:rPr>
        <w:t> </w:t>
      </w:r>
      <w:r w:rsidRPr="007D5CED">
        <w:rPr>
          <w:lang w:val="en-GB"/>
        </w:rPr>
        <w:t>mean AVAWS scores, was significantly higher in 2021 than in all prior NCAS waves.</w:t>
      </w:r>
    </w:p>
    <w:p w14:paraId="179758BF" w14:textId="43FD4918" w:rsidR="00BC0C20" w:rsidRDefault="007D5CED" w:rsidP="00A3239A">
      <w:pPr>
        <w:rPr>
          <w:lang w:val="en-GB"/>
        </w:rPr>
      </w:pPr>
      <w:r w:rsidRPr="0061244D">
        <w:rPr>
          <w:spacing w:val="-4"/>
          <w:lang w:val="en-GB"/>
        </w:rPr>
        <w:t>Similarly, as Figure 6-1 shows, all three of the AVAWS subscales also indicated significant improvement in</w:t>
      </w:r>
      <w:r w:rsidR="0061244D">
        <w:rPr>
          <w:spacing w:val="-4"/>
          <w:lang w:val="en-GB"/>
        </w:rPr>
        <w:t> </w:t>
      </w:r>
      <w:r w:rsidRPr="0061244D">
        <w:rPr>
          <w:spacing w:val="-4"/>
          <w:lang w:val="en-GB"/>
        </w:rPr>
        <w:t>young people’s rejection of violence against women over time. Between 2017 and 2021, there was a</w:t>
      </w:r>
      <w:r w:rsidR="0061244D" w:rsidRPr="0061244D">
        <w:rPr>
          <w:spacing w:val="-4"/>
          <w:lang w:val="en-GB"/>
        </w:rPr>
        <w:t> </w:t>
      </w:r>
      <w:r w:rsidRPr="0061244D">
        <w:rPr>
          <w:spacing w:val="-4"/>
          <w:lang w:val="en-GB"/>
        </w:rPr>
        <w:t>significant improvement in young respondents’ rejection of attitudes that mistrust women’s reports of</w:t>
      </w:r>
      <w:r w:rsidR="0061244D" w:rsidRPr="0061244D">
        <w:rPr>
          <w:spacing w:val="-4"/>
          <w:lang w:val="en-GB"/>
        </w:rPr>
        <w:t> </w:t>
      </w:r>
      <w:r w:rsidRPr="0061244D">
        <w:rPr>
          <w:spacing w:val="-4"/>
          <w:lang w:val="en-GB"/>
        </w:rPr>
        <w:t>violence victimisation, as well as those that objectify women and disregard consent based on the Mistrust</w:t>
      </w:r>
      <w:r w:rsidR="0061244D" w:rsidRPr="00EA1044">
        <w:rPr>
          <w:lang w:val="en-AU"/>
        </w:rPr>
        <w:t> </w:t>
      </w:r>
      <w:r w:rsidRPr="0061244D">
        <w:rPr>
          <w:spacing w:val="-4"/>
          <w:lang w:val="en-GB"/>
        </w:rPr>
        <w:t>Women and the Objectify Women Subscales. However, while mean scores on the Minimise Violence Subscale showed significant improvement in young respondents’ rejection of minimising attitudes in 2021 compared to both 2009 and 2013, this rejection plateaued between 2017 and 2021 (Figure 6-1).</w:t>
      </w:r>
    </w:p>
    <w:p w14:paraId="5EEDEAED" w14:textId="693BD2A5" w:rsidR="007D5CED" w:rsidRPr="007D5CED" w:rsidRDefault="00E80E81" w:rsidP="002A2C0C">
      <w:pPr>
        <w:pStyle w:val="figuretableheading"/>
      </w:pPr>
      <w:bookmarkStart w:id="151" w:name="_Toc187401252"/>
      <w:r>
        <w:t xml:space="preserve">Figure </w:t>
      </w:r>
      <w:r w:rsidR="005B3A89">
        <w:fldChar w:fldCharType="begin"/>
      </w:r>
      <w:r w:rsidR="005B3A89">
        <w:instrText xml:space="preserve"> STYLEREF 1 \s </w:instrText>
      </w:r>
      <w:r w:rsidR="005B3A89">
        <w:fldChar w:fldCharType="separate"/>
      </w:r>
      <w:r w:rsidR="005B3A89">
        <w:t>6</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1</w:t>
      </w:r>
      <w:r w:rsidR="005B3A89">
        <w:fldChar w:fldCharType="end"/>
      </w:r>
      <w:r w:rsidR="007D5CED" w:rsidRPr="007D5CED">
        <w:t>: Rejection of different aspects of violence against women (AVAWS subscales) over time, 16- to 24-year-olds, 2009 to 2021</w:t>
      </w:r>
      <w:bookmarkEnd w:id="151"/>
    </w:p>
    <w:p w14:paraId="685A6A93" w14:textId="76EB4034" w:rsidR="007D5CED" w:rsidRDefault="00BC0C20" w:rsidP="00A3239A">
      <w:pPr>
        <w:spacing w:before="0" w:after="0"/>
        <w:rPr>
          <w:lang w:val="en-GB"/>
        </w:rPr>
      </w:pPr>
      <w:r>
        <w:rPr>
          <w:noProof/>
          <w:lang w:val="en-GB"/>
        </w:rPr>
        <w:drawing>
          <wp:inline distT="0" distB="0" distL="0" distR="0" wp14:anchorId="3A0B05EC" wp14:editId="36227884">
            <wp:extent cx="6120130" cy="2682875"/>
            <wp:effectExtent l="0" t="0" r="1270" b="0"/>
            <wp:docPr id="1200260810" name="Immagine 24" descr="A line graph that shows the 16 to 24 year old respondents' opinions on the rejection of difference aspects of violence against women.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0810" name="Immagine 24" descr="A line graph that shows the 16 to 24 year old respondents' opinions on the rejection of difference aspects of violence against women. The data in this graph is in the table below."/>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2682875"/>
                    </a:xfrm>
                    <a:prstGeom prst="rect">
                      <a:avLst/>
                    </a:prstGeom>
                  </pic:spPr>
                </pic:pic>
              </a:graphicData>
            </a:graphic>
          </wp:inline>
        </w:drawing>
      </w:r>
    </w:p>
    <w:p w14:paraId="69103DC9" w14:textId="604C1591" w:rsidR="00441F2A" w:rsidRPr="007D5CED" w:rsidRDefault="00441F2A" w:rsidP="002A2C0C">
      <w:pPr>
        <w:pStyle w:val="datatableheading"/>
        <w:rPr>
          <w:lang w:val="en-GB"/>
        </w:rPr>
      </w:pPr>
      <w:r>
        <w:t>Data table for figure 6-1</w:t>
      </w:r>
      <w:r w:rsidR="001B3C28">
        <w:t xml:space="preserve">: </w:t>
      </w:r>
      <w:r w:rsidR="001B3C28" w:rsidRPr="007D5CED">
        <w:t>Rejection of</w:t>
      </w:r>
      <w:r w:rsidR="008374AE">
        <w:t xml:space="preserve"> </w:t>
      </w:r>
      <w:r w:rsidR="001B3C28" w:rsidRPr="007D5CED">
        <w:t>violence against women (</w:t>
      </w:r>
      <w:r w:rsidR="008374AE">
        <w:t xml:space="preserve">mean </w:t>
      </w:r>
      <w:r w:rsidR="001B3C28" w:rsidRPr="007D5CED">
        <w:t>AVAWS subscale</w:t>
      </w:r>
      <w:r w:rsidR="008374AE">
        <w:t xml:space="preserve"> score)</w:t>
      </w:r>
    </w:p>
    <w:tbl>
      <w:tblPr>
        <w:tblStyle w:val="Table-SingleHeaderRow"/>
        <w:tblW w:w="9746" w:type="dxa"/>
        <w:tblLook w:val="04A0" w:firstRow="1" w:lastRow="0" w:firstColumn="1" w:lastColumn="0" w:noHBand="0" w:noVBand="1"/>
      </w:tblPr>
      <w:tblGrid>
        <w:gridCol w:w="1469"/>
        <w:gridCol w:w="2721"/>
        <w:gridCol w:w="2665"/>
        <w:gridCol w:w="2891"/>
      </w:tblGrid>
      <w:tr w:rsidR="005B454E" w:rsidRPr="006227C0" w14:paraId="0EAA7630"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9" w:type="dxa"/>
          </w:tcPr>
          <w:p w14:paraId="0AA7FDCF" w14:textId="77777777" w:rsidR="005B454E" w:rsidRPr="007E1C6F" w:rsidRDefault="005B454E" w:rsidP="00A3239A">
            <w:pPr>
              <w:pStyle w:val="Tablebody"/>
            </w:pPr>
            <w:r w:rsidRPr="008E6594">
              <w:rPr>
                <w:bCs/>
              </w:rPr>
              <w:t>NACS wave (year)</w:t>
            </w:r>
          </w:p>
        </w:tc>
        <w:tc>
          <w:tcPr>
            <w:tcW w:w="2721" w:type="dxa"/>
          </w:tcPr>
          <w:p w14:paraId="69C0B5AE" w14:textId="6A30080E" w:rsidR="005B454E" w:rsidRPr="006227C0" w:rsidRDefault="005B45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Minimise Violence Subscale</w:t>
            </w:r>
          </w:p>
        </w:tc>
        <w:tc>
          <w:tcPr>
            <w:tcW w:w="2665" w:type="dxa"/>
          </w:tcPr>
          <w:p w14:paraId="2106B8FE" w14:textId="468C2C5B" w:rsidR="005B454E" w:rsidRPr="006227C0" w:rsidRDefault="005B45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Mistrust Women Subscale</w:t>
            </w:r>
          </w:p>
        </w:tc>
        <w:tc>
          <w:tcPr>
            <w:tcW w:w="2891" w:type="dxa"/>
          </w:tcPr>
          <w:p w14:paraId="19F3A784" w14:textId="42000E11" w:rsidR="005B454E" w:rsidRPr="006227C0" w:rsidRDefault="005B454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Objectify Women Subscale</w:t>
            </w:r>
          </w:p>
        </w:tc>
      </w:tr>
      <w:tr w:rsidR="005B454E" w:rsidRPr="007E1C6F" w14:paraId="02E3028E" w14:textId="77777777" w:rsidTr="008C29F3">
        <w:tc>
          <w:tcPr>
            <w:cnfStyle w:val="001000000000" w:firstRow="0" w:lastRow="0" w:firstColumn="1" w:lastColumn="0" w:oddVBand="0" w:evenVBand="0" w:oddHBand="0" w:evenHBand="0" w:firstRowFirstColumn="0" w:firstRowLastColumn="0" w:lastRowFirstColumn="0" w:lastRowLastColumn="0"/>
            <w:tcW w:w="1469" w:type="dxa"/>
          </w:tcPr>
          <w:p w14:paraId="3C84CB61" w14:textId="77777777" w:rsidR="005B454E" w:rsidRPr="008E6594" w:rsidRDefault="005B454E" w:rsidP="00A3239A">
            <w:pPr>
              <w:pStyle w:val="Tablebody"/>
            </w:pPr>
            <w:r>
              <w:t>2009</w:t>
            </w:r>
          </w:p>
        </w:tc>
        <w:tc>
          <w:tcPr>
            <w:tcW w:w="2721" w:type="dxa"/>
          </w:tcPr>
          <w:p w14:paraId="4D7B2E11" w14:textId="32D7DA65" w:rsidR="005B454E" w:rsidRPr="007E1C6F"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63*</w:t>
            </w:r>
          </w:p>
        </w:tc>
        <w:tc>
          <w:tcPr>
            <w:tcW w:w="2665" w:type="dxa"/>
          </w:tcPr>
          <w:p w14:paraId="09A31640" w14:textId="77777777" w:rsidR="005B454E" w:rsidRPr="007E1C6F" w:rsidRDefault="005B454E" w:rsidP="00A3239A">
            <w:pPr>
              <w:pStyle w:val="Tablebody"/>
              <w:cnfStyle w:val="000000000000" w:firstRow="0" w:lastRow="0" w:firstColumn="0" w:lastColumn="0" w:oddVBand="0" w:evenVBand="0" w:oddHBand="0" w:evenHBand="0" w:firstRowFirstColumn="0" w:firstRowLastColumn="0" w:lastRowFirstColumn="0" w:lastRowLastColumn="0"/>
            </w:pPr>
          </w:p>
        </w:tc>
        <w:tc>
          <w:tcPr>
            <w:tcW w:w="2891" w:type="dxa"/>
          </w:tcPr>
          <w:p w14:paraId="50994115" w14:textId="596502C8" w:rsidR="005B454E" w:rsidRPr="007E1C6F" w:rsidRDefault="005B454E" w:rsidP="00A3239A">
            <w:pPr>
              <w:pStyle w:val="Tablebody"/>
              <w:cnfStyle w:val="000000000000" w:firstRow="0" w:lastRow="0" w:firstColumn="0" w:lastColumn="0" w:oddVBand="0" w:evenVBand="0" w:oddHBand="0" w:evenHBand="0" w:firstRowFirstColumn="0" w:firstRowLastColumn="0" w:lastRowFirstColumn="0" w:lastRowLastColumn="0"/>
            </w:pPr>
          </w:p>
        </w:tc>
      </w:tr>
      <w:tr w:rsidR="005B454E" w:rsidDel="006D4F1A" w14:paraId="64677CC7" w14:textId="77777777" w:rsidTr="008C29F3">
        <w:tc>
          <w:tcPr>
            <w:cnfStyle w:val="001000000000" w:firstRow="0" w:lastRow="0" w:firstColumn="1" w:lastColumn="0" w:oddVBand="0" w:evenVBand="0" w:oddHBand="0" w:evenHBand="0" w:firstRowFirstColumn="0" w:firstRowLastColumn="0" w:lastRowFirstColumn="0" w:lastRowLastColumn="0"/>
            <w:tcW w:w="1469" w:type="dxa"/>
          </w:tcPr>
          <w:p w14:paraId="59E5B4E9" w14:textId="77777777" w:rsidR="005B454E" w:rsidRPr="008E6594" w:rsidRDefault="005B454E" w:rsidP="00A3239A">
            <w:pPr>
              <w:pStyle w:val="Tablebody"/>
            </w:pPr>
            <w:r>
              <w:t>2013</w:t>
            </w:r>
          </w:p>
        </w:tc>
        <w:tc>
          <w:tcPr>
            <w:tcW w:w="2721" w:type="dxa"/>
          </w:tcPr>
          <w:p w14:paraId="5C5A38BE" w14:textId="584E62D6" w:rsidR="005B454E"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64*</w:t>
            </w:r>
          </w:p>
        </w:tc>
        <w:tc>
          <w:tcPr>
            <w:tcW w:w="2665" w:type="dxa"/>
          </w:tcPr>
          <w:p w14:paraId="0C3FC9A9" w14:textId="77777777" w:rsidR="005B454E" w:rsidRDefault="005B454E" w:rsidP="00A3239A">
            <w:pPr>
              <w:pStyle w:val="Tablebody"/>
              <w:cnfStyle w:val="000000000000" w:firstRow="0" w:lastRow="0" w:firstColumn="0" w:lastColumn="0" w:oddVBand="0" w:evenVBand="0" w:oddHBand="0" w:evenHBand="0" w:firstRowFirstColumn="0" w:firstRowLastColumn="0" w:lastRowFirstColumn="0" w:lastRowLastColumn="0"/>
            </w:pPr>
          </w:p>
        </w:tc>
        <w:tc>
          <w:tcPr>
            <w:tcW w:w="2891" w:type="dxa"/>
          </w:tcPr>
          <w:p w14:paraId="06281CCF" w14:textId="0E4BBC86" w:rsidR="005B454E" w:rsidDel="006D4F1A" w:rsidRDefault="005B454E" w:rsidP="00A3239A">
            <w:pPr>
              <w:pStyle w:val="Tablebody"/>
              <w:cnfStyle w:val="000000000000" w:firstRow="0" w:lastRow="0" w:firstColumn="0" w:lastColumn="0" w:oddVBand="0" w:evenVBand="0" w:oddHBand="0" w:evenHBand="0" w:firstRowFirstColumn="0" w:firstRowLastColumn="0" w:lastRowFirstColumn="0" w:lastRowLastColumn="0"/>
            </w:pPr>
          </w:p>
        </w:tc>
      </w:tr>
      <w:tr w:rsidR="005B454E" w:rsidDel="006D4F1A" w14:paraId="771169B0" w14:textId="77777777" w:rsidTr="008C29F3">
        <w:tc>
          <w:tcPr>
            <w:cnfStyle w:val="001000000000" w:firstRow="0" w:lastRow="0" w:firstColumn="1" w:lastColumn="0" w:oddVBand="0" w:evenVBand="0" w:oddHBand="0" w:evenHBand="0" w:firstRowFirstColumn="0" w:firstRowLastColumn="0" w:lastRowFirstColumn="0" w:lastRowLastColumn="0"/>
            <w:tcW w:w="1469" w:type="dxa"/>
          </w:tcPr>
          <w:p w14:paraId="712ADA26" w14:textId="77777777" w:rsidR="005B454E" w:rsidRPr="006227C0" w:rsidRDefault="005B454E" w:rsidP="00A3239A">
            <w:pPr>
              <w:pStyle w:val="Tablebody"/>
            </w:pPr>
            <w:r>
              <w:t>2017</w:t>
            </w:r>
          </w:p>
        </w:tc>
        <w:tc>
          <w:tcPr>
            <w:tcW w:w="2721" w:type="dxa"/>
          </w:tcPr>
          <w:p w14:paraId="13FFC750" w14:textId="078C9424" w:rsidR="005B454E"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2665" w:type="dxa"/>
          </w:tcPr>
          <w:p w14:paraId="568E03EE" w14:textId="2A06669B" w:rsidR="005B454E"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2891" w:type="dxa"/>
          </w:tcPr>
          <w:p w14:paraId="2139A053" w14:textId="2C7AFC37" w:rsidR="005B454E" w:rsidDel="006D4F1A"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67*</w:t>
            </w:r>
          </w:p>
        </w:tc>
      </w:tr>
      <w:tr w:rsidR="005B454E" w14:paraId="37D6771B" w14:textId="77777777" w:rsidTr="008C29F3">
        <w:tc>
          <w:tcPr>
            <w:cnfStyle w:val="001000000000" w:firstRow="0" w:lastRow="0" w:firstColumn="1" w:lastColumn="0" w:oddVBand="0" w:evenVBand="0" w:oddHBand="0" w:evenHBand="0" w:firstRowFirstColumn="0" w:firstRowLastColumn="0" w:lastRowFirstColumn="0" w:lastRowLastColumn="0"/>
            <w:tcW w:w="1469" w:type="dxa"/>
          </w:tcPr>
          <w:p w14:paraId="72107148" w14:textId="77777777" w:rsidR="005B454E" w:rsidRDefault="005B454E" w:rsidP="00A3239A">
            <w:pPr>
              <w:pStyle w:val="Tablebody"/>
            </w:pPr>
            <w:r>
              <w:t>2021</w:t>
            </w:r>
          </w:p>
        </w:tc>
        <w:tc>
          <w:tcPr>
            <w:tcW w:w="2721" w:type="dxa"/>
          </w:tcPr>
          <w:p w14:paraId="7BD6CA2B" w14:textId="64E04F68" w:rsidR="005B454E"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2665" w:type="dxa"/>
          </w:tcPr>
          <w:p w14:paraId="7A16CCED" w14:textId="2D57D573" w:rsidR="005B454E" w:rsidRDefault="00B04E9D"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2891" w:type="dxa"/>
          </w:tcPr>
          <w:p w14:paraId="57C0A34C" w14:textId="72E834E2" w:rsidR="005B454E" w:rsidRDefault="00B04E9D" w:rsidP="00A3239A">
            <w:pPr>
              <w:pStyle w:val="Superscript"/>
              <w:cnfStyle w:val="000000000000" w:firstRow="0" w:lastRow="0" w:firstColumn="0" w:lastColumn="0" w:oddVBand="0" w:evenVBand="0" w:oddHBand="0" w:evenHBand="0" w:firstRowFirstColumn="0" w:firstRowLastColumn="0" w:lastRowFirstColumn="0" w:lastRowLastColumn="0"/>
            </w:pPr>
            <w:r>
              <w:t>69*</w:t>
            </w:r>
            <w:r w:rsidRPr="008C29F3">
              <w:rPr>
                <w:kern w:val="2"/>
                <w:sz w:val="20"/>
                <w:vertAlign w:val="superscript"/>
              </w:rPr>
              <w:t>1</w:t>
            </w:r>
          </w:p>
        </w:tc>
      </w:tr>
    </w:tbl>
    <w:p w14:paraId="6FB7797E" w14:textId="681FCBA4" w:rsidR="007D5CED" w:rsidRPr="007D5CED" w:rsidRDefault="007D5CED" w:rsidP="00A3239A">
      <w:pPr>
        <w:pStyle w:val="Normal8pt"/>
      </w:pPr>
      <w:r w:rsidRPr="008C29F3">
        <w:rPr>
          <w:b/>
        </w:rPr>
        <w:t>Note</w:t>
      </w:r>
      <w:r w:rsidRPr="007D5CED">
        <w:rPr>
          <w:bCs/>
        </w:rPr>
        <w:t>:</w:t>
      </w:r>
      <w:r w:rsidRPr="007D5CED">
        <w:t xml:space="preserve"> “na” (below) means reliable data was not available. </w:t>
      </w:r>
      <w:r w:rsidRPr="0073256E">
        <w:rPr>
          <w:rStyle w:val="Emphasis"/>
        </w:rPr>
        <w:t>N</w:t>
      </w:r>
      <w:r w:rsidRPr="007D5CED">
        <w:t xml:space="preserve">s in 2009, 2013, 2017 and 2021 were: </w:t>
      </w:r>
    </w:p>
    <w:p w14:paraId="6CBCCCC8" w14:textId="77777777" w:rsidR="007D5CED" w:rsidRPr="007D5CED" w:rsidRDefault="007D5CED" w:rsidP="00A3239A">
      <w:pPr>
        <w:pStyle w:val="Normal8pt"/>
      </w:pPr>
      <w:r w:rsidRPr="007D5CED">
        <w:t>Minimise Violence Subscale – 452; 1,879; 1,561; 1,669</w:t>
      </w:r>
    </w:p>
    <w:p w14:paraId="22091828" w14:textId="77777777" w:rsidR="007D5CED" w:rsidRPr="007D5CED" w:rsidRDefault="007D5CED" w:rsidP="00A3239A">
      <w:pPr>
        <w:pStyle w:val="Normal8pt"/>
      </w:pPr>
      <w:r w:rsidRPr="007D5CED">
        <w:t>Mistrust Women Subscale – na; na; 1,554; 1,665</w:t>
      </w:r>
    </w:p>
    <w:p w14:paraId="51F087FA" w14:textId="77777777" w:rsidR="007D5CED" w:rsidRPr="007D5CED" w:rsidRDefault="007D5CED" w:rsidP="00A3239A">
      <w:pPr>
        <w:pStyle w:val="Normal8pt"/>
      </w:pPr>
      <w:r w:rsidRPr="007D5CED">
        <w:t>Objectify Women Subscale – na; na; 1,559; 1,654</w:t>
      </w:r>
    </w:p>
    <w:p w14:paraId="139D6CAC" w14:textId="77777777" w:rsidR="007D5CED" w:rsidRPr="007D5CED" w:rsidRDefault="007D5CED" w:rsidP="00A3239A">
      <w:pPr>
        <w:pStyle w:val="Normal8pt"/>
      </w:pPr>
      <w:r w:rsidRPr="007D5CED">
        <w:rPr>
          <w:bCs/>
        </w:rPr>
        <w:t>*</w:t>
      </w:r>
      <w:r w:rsidRPr="007D5CED">
        <w:t xml:space="preserve"> Statistically significant difference on this subscale between the year indicated and 2021. </w:t>
      </w:r>
    </w:p>
    <w:p w14:paraId="195EB6B6" w14:textId="77777777" w:rsidR="007D5CED" w:rsidRPr="007D5CED" w:rsidRDefault="007D5CED" w:rsidP="00A3239A">
      <w:pPr>
        <w:pStyle w:val="Normal8pt"/>
      </w:pPr>
      <w:r w:rsidRPr="007D5CED">
        <w:rPr>
          <w:bCs/>
        </w:rPr>
        <w:t>*1</w:t>
      </w:r>
      <w:r w:rsidRPr="007D5CED">
        <w:t xml:space="preserve"> The Objectify Women Subscale had a significantly higher mean score compared to the Minimise Violence and Mistrust Women Subscales in 2021. Differences in 2021 between AVAWS subscales are discussed in Section 6.2.</w:t>
      </w:r>
    </w:p>
    <w:p w14:paraId="61942EBE" w14:textId="2AC509C8" w:rsidR="007D5CED" w:rsidRPr="007D5CED" w:rsidRDefault="007D5CED" w:rsidP="00A3239A">
      <w:pPr>
        <w:rPr>
          <w:lang w:val="en-GB"/>
        </w:rPr>
      </w:pPr>
      <w:r w:rsidRPr="007D5CED">
        <w:rPr>
          <w:lang w:val="en-GB"/>
        </w:rPr>
        <w:t xml:space="preserve">Consistent with the plateau on the Minimise Violence Subscale between 2017 and 2021 (Figure 6-1), only one of its items showed a significant increase over this period in the percentage of young respondents who disagreed (“strongly” or “somewhat”) with attitudes that minimise violence against women and blame victims </w:t>
      </w:r>
      <w:r w:rsidRPr="007D5CED">
        <w:rPr>
          <w:lang w:val="en-GB"/>
        </w:rPr>
        <w:lastRenderedPageBreak/>
        <w:t>and survivors (Figure 6-2).</w:t>
      </w:r>
      <w:r w:rsidRPr="007D5CED">
        <w:rPr>
          <w:vertAlign w:val="superscript"/>
          <w:lang w:val="en-GB"/>
        </w:rPr>
        <w:footnoteReference w:id="26"/>
      </w:r>
      <w:r w:rsidRPr="007D5CED">
        <w:rPr>
          <w:lang w:val="en-GB"/>
        </w:rPr>
        <w:t xml:space="preserve"> This item showed an increase in young respondents’ rejection of the attitude that women deserve less help from counselling and support services if they stay in an abusive relationship (D31). Another three items indicated significantly stronger rejection by young respondents of attitudes that minimise violence in 2021 compared to 2009 or 2013, in keeping with the result at the subscale level. These items described attitudes that women who are sexually harassed should deal with it themselves (S9) and attitudes that domestic violence can be excused if the violent person temporarily lost control (D18) or genuinely regretted their actions (D19). It is also worth noting that the lack of improvement since 2017 on some Minimise Violence Subscale items (S9, D24, D20, S19, D21, D22) may partly reflect the already high level of rejection of</w:t>
      </w:r>
      <w:r w:rsidR="0061244D">
        <w:rPr>
          <w:lang w:val="en-GB"/>
        </w:rPr>
        <w:t> </w:t>
      </w:r>
      <w:r w:rsidRPr="007D5CED">
        <w:rPr>
          <w:lang w:val="en-GB"/>
        </w:rPr>
        <w:t>these minimising attitudes in 2017, with at least 9 in 10 young respondents disagreeing (“strongly”</w:t>
      </w:r>
      <w:r w:rsidR="0061244D">
        <w:rPr>
          <w:lang w:val="en-GB"/>
        </w:rPr>
        <w:t> </w:t>
      </w:r>
      <w:r w:rsidRPr="007D5CED">
        <w:rPr>
          <w:lang w:val="en-GB"/>
        </w:rPr>
        <w:t>or</w:t>
      </w:r>
      <w:r w:rsidR="0061244D">
        <w:rPr>
          <w:lang w:val="en-GB"/>
        </w:rPr>
        <w:t> </w:t>
      </w:r>
      <w:r w:rsidRPr="007D5CED">
        <w:rPr>
          <w:lang w:val="en-GB"/>
        </w:rPr>
        <w:t>“somewhat”) with these problematic attitudes in 2017.</w:t>
      </w:r>
    </w:p>
    <w:p w14:paraId="0CD22BEF" w14:textId="2C74AAB0" w:rsidR="007D5CED" w:rsidRPr="007D5CED" w:rsidRDefault="007D5CED" w:rsidP="00A3239A">
      <w:pPr>
        <w:rPr>
          <w:lang w:val="en-GB"/>
        </w:rPr>
      </w:pPr>
      <w:r w:rsidRPr="007D5CED">
        <w:rPr>
          <w:lang w:val="en-GB"/>
        </w:rPr>
        <w:t>As noted above, the Mistrust Women Subscale showed significant improvement in young respondents’ rejection of mistrusting attitudes between 2017 and 2021 (Figure 6-1). However, none of the individual items in this subscale (Figure 6-3) showed increased rejection of mistrusting attitudes between 2017 and 2021, despite a trend in this direction in the raw percentages for the 10 subscale items present in</w:t>
      </w:r>
      <w:r w:rsidR="0061244D">
        <w:rPr>
          <w:lang w:val="en-GB"/>
        </w:rPr>
        <w:t> </w:t>
      </w:r>
      <w:r w:rsidRPr="007D5CED">
        <w:rPr>
          <w:lang w:val="en-GB"/>
        </w:rPr>
        <w:t>both years.</w:t>
      </w:r>
      <w:r w:rsidRPr="007D5CED">
        <w:rPr>
          <w:vertAlign w:val="superscript"/>
          <w:lang w:val="en-GB"/>
        </w:rPr>
        <w:footnoteReference w:id="27"/>
      </w:r>
      <w:r w:rsidRPr="007D5CED">
        <w:rPr>
          <w:lang w:val="en-GB"/>
        </w:rPr>
        <w:t xml:space="preserve"> Two Mistrust Women Subscale items showed significantly higher rejection of mistrusting attitudes in 2021 compared to 2009 or 2013. Specifically, in 2021 compared to 2009 and 2013, significantly more young respondents rejected the attitude that women going through custody battles often make up or exaggerate claims of domestic violence in order to improve their case (D23). In</w:t>
      </w:r>
      <w:r w:rsidR="0061244D">
        <w:rPr>
          <w:lang w:val="en-GB"/>
        </w:rPr>
        <w:t> </w:t>
      </w:r>
      <w:r w:rsidRPr="007D5CED">
        <w:rPr>
          <w:lang w:val="en-GB"/>
        </w:rPr>
        <w:t xml:space="preserve">addition, in 2021 compared to 2013, more young respondents rejected the attitude that women often say that they were raped in order to cover up regretful consensual sex (S24). </w:t>
      </w:r>
    </w:p>
    <w:p w14:paraId="75EC1B6E" w14:textId="5B2CE201" w:rsidR="007D5CED" w:rsidRPr="007D5CED" w:rsidRDefault="007D5CED" w:rsidP="00A3239A">
      <w:pPr>
        <w:rPr>
          <w:lang w:val="en-GB"/>
        </w:rPr>
      </w:pPr>
      <w:r w:rsidRPr="007D5CED">
        <w:rPr>
          <w:lang w:val="en-GB"/>
        </w:rPr>
        <w:t>Consistent with the Objectify Women Subscale (Figure 6-1), young respondents showed a significant increase between 2017 and 2021 in their rejection of attitudes that objectify women and shift blame to</w:t>
      </w:r>
      <w:r w:rsidR="0061244D">
        <w:rPr>
          <w:lang w:val="en-GB"/>
        </w:rPr>
        <w:t> </w:t>
      </w:r>
      <w:r w:rsidRPr="007D5CED">
        <w:rPr>
          <w:lang w:val="en-GB"/>
        </w:rPr>
        <w:t>victims and survivors, according to three of the nine standalone subscale items that were present in</w:t>
      </w:r>
      <w:r w:rsidR="0061244D">
        <w:rPr>
          <w:lang w:val="en-GB"/>
        </w:rPr>
        <w:t> </w:t>
      </w:r>
      <w:r w:rsidRPr="007D5CED">
        <w:rPr>
          <w:lang w:val="en-GB"/>
        </w:rPr>
        <w:t>both these years (Figure 6-4).</w:t>
      </w:r>
      <w:r w:rsidRPr="007D5CED">
        <w:rPr>
          <w:vertAlign w:val="superscript"/>
          <w:lang w:val="en-GB"/>
        </w:rPr>
        <w:footnoteReference w:id="28"/>
      </w:r>
      <w:r w:rsidRPr="007D5CED">
        <w:rPr>
          <w:lang w:val="en-GB"/>
        </w:rPr>
        <w:t xml:space="preserve"> Specifically, significantly more young respondents rejected attitudes that normalise non-consensual physical touching (S7) and persistent unwanted attention (S11), and</w:t>
      </w:r>
      <w:r w:rsidR="0061244D">
        <w:rPr>
          <w:lang w:val="en-GB"/>
        </w:rPr>
        <w:t> </w:t>
      </w:r>
      <w:r w:rsidRPr="007D5CED">
        <w:rPr>
          <w:lang w:val="en-GB"/>
        </w:rPr>
        <w:t>attitudes that shift blame to the woman if a partner shares a naked picture of her without permission (S6). The six other standalone items present in both 2017 and 2021 did not show a</w:t>
      </w:r>
      <w:r w:rsidR="0061244D">
        <w:rPr>
          <w:lang w:val="en-GB"/>
        </w:rPr>
        <w:t> </w:t>
      </w:r>
      <w:r w:rsidRPr="007D5CED">
        <w:rPr>
          <w:lang w:val="en-GB"/>
        </w:rPr>
        <w:t>significant improvement over this time period, despite a trend in this direction in the raw percentages. In addition, two items showed a significant increase in young respondents’ rejection of</w:t>
      </w:r>
      <w:r w:rsidR="0061244D">
        <w:rPr>
          <w:lang w:val="en-GB"/>
        </w:rPr>
        <w:t> </w:t>
      </w:r>
      <w:r w:rsidRPr="007D5CED">
        <w:rPr>
          <w:lang w:val="en-GB"/>
        </w:rPr>
        <w:t>problematic attitudes in 2021 compared to either 2009 or 2013. Specifically, significantly more young respondents in 2021 disagreed that women often say “no” when they mean “yes” (S5) when compared to 2013, and</w:t>
      </w:r>
      <w:r w:rsidR="0061244D">
        <w:rPr>
          <w:lang w:val="en-GB"/>
        </w:rPr>
        <w:t> </w:t>
      </w:r>
      <w:r w:rsidRPr="007D5CED">
        <w:rPr>
          <w:lang w:val="en-GB"/>
        </w:rPr>
        <w:t xml:space="preserve">that if a woman is raped while drunk or affected by drugs she is at least partly responsible (S20) when compared to 2009 and 2013. </w:t>
      </w:r>
    </w:p>
    <w:p w14:paraId="7DE54038" w14:textId="53BE6E81" w:rsidR="007D5CED" w:rsidRPr="007D5CED" w:rsidRDefault="007D5CED" w:rsidP="00DC3FE8">
      <w:pPr>
        <w:pStyle w:val="Heading3"/>
      </w:pPr>
      <w:bookmarkStart w:id="152" w:name="_Toc152532401"/>
      <w:bookmarkStart w:id="153" w:name="_Toc190941687"/>
      <w:bookmarkStart w:id="154" w:name="_Toc190942387"/>
      <w:r w:rsidRPr="007D5CED">
        <w:t>6.2</w:t>
      </w:r>
      <w:r w:rsidR="006C5088">
        <w:t xml:space="preserve"> </w:t>
      </w:r>
      <w:r w:rsidRPr="007D5CED">
        <w:t>Attitudes in 2021: Young people’s attitudes towards violence against women</w:t>
      </w:r>
      <w:bookmarkEnd w:id="152"/>
      <w:bookmarkEnd w:id="153"/>
      <w:bookmarkEnd w:id="154"/>
    </w:p>
    <w:p w14:paraId="5EDDAEE2" w14:textId="38969881" w:rsidR="007D5CED" w:rsidRPr="007D5CED" w:rsidRDefault="007D5CED" w:rsidP="00A3239A">
      <w:pPr>
        <w:rPr>
          <w:lang w:val="en-GB"/>
        </w:rPr>
      </w:pPr>
      <w:r w:rsidRPr="007D5CED">
        <w:rPr>
          <w:lang w:val="en-GB"/>
        </w:rPr>
        <w:t>This section examines young respondents’ attitudes towards violence against women in 2021 based on</w:t>
      </w:r>
      <w:r w:rsidR="0061244D">
        <w:rPr>
          <w:lang w:val="en-GB"/>
        </w:rPr>
        <w:t> </w:t>
      </w:r>
      <w:r w:rsidRPr="007D5CED">
        <w:rPr>
          <w:lang w:val="en-GB"/>
        </w:rPr>
        <w:t>the AVAWS subscales and the items within them.</w:t>
      </w:r>
    </w:p>
    <w:p w14:paraId="798B0EC2" w14:textId="77777777" w:rsidR="007D5CED" w:rsidRPr="007D5CED" w:rsidRDefault="007D5CED" w:rsidP="00A3239A">
      <w:pPr>
        <w:rPr>
          <w:lang w:val="en-GB"/>
        </w:rPr>
      </w:pPr>
      <w:r w:rsidRPr="007D5CED">
        <w:rPr>
          <w:lang w:val="en-GB"/>
        </w:rPr>
        <w:t>In 2021, according to mean scores on the AVAWS subscales, young respondents had greater rejection of some attitudes towards violence against women than other attitudes. Specifically, young respondents were significantly more likely to reject attitudes that objectify women and disregard consent (Objectify Women Subscale) than attitudes that minimise the extent of violence against women (Minimise Violence Subscale) and attitudes that mistrust women’s reports of violence (Mistrust Women Subscale; Figure 6-1).</w:t>
      </w:r>
    </w:p>
    <w:p w14:paraId="3DDC7835" w14:textId="5CB5DB3E" w:rsidR="007D5CED" w:rsidRDefault="007D5CED" w:rsidP="00A3239A">
      <w:pPr>
        <w:rPr>
          <w:lang w:val="en-GB"/>
        </w:rPr>
      </w:pPr>
      <w:r w:rsidRPr="007D5CED">
        <w:rPr>
          <w:lang w:val="en-GB"/>
        </w:rPr>
        <w:t xml:space="preserve">Figures 6-2 to 6-4 present young respondents’ 2021 results for the items in each AVAWS subscale. Figure 6-2 shows young respondents’ rejection in 2021 of the different attitudes that minimise violence against women and shift blame, according to the 15 items in the Minimise Violence Subscale. In 2021, most young respondents “strongly disagreed” with attitudes that minimise violence and shift blame from perpetrators to victims and survivors (54–92%; Figure 6-2). Nonetheless, the results suggest that further positive shifts could </w:t>
      </w:r>
      <w:r w:rsidRPr="007D5CED">
        <w:rPr>
          <w:lang w:val="en-GB"/>
        </w:rPr>
        <w:lastRenderedPageBreak/>
        <w:t>be made in some of these attitudes that minimise violence. For example, only 54 to 56 per cent of young respondents “strongly disagreed” with attitudes that excuse domestic violence if the offender regrets what they have done (D19) or attitudes that minimise domestic violence as a private matter that should be handled in the family (D16) or as a normal reaction to day-to-day stress (D17).</w:t>
      </w:r>
    </w:p>
    <w:p w14:paraId="4DFC621E" w14:textId="74FD52E8" w:rsidR="007D5CED" w:rsidRPr="007D5CED" w:rsidRDefault="00BC0C20" w:rsidP="002A2C0C">
      <w:pPr>
        <w:pStyle w:val="figuretableheading"/>
      </w:pPr>
      <w:bookmarkStart w:id="155" w:name="_Toc187401253"/>
      <w:r>
        <w:t xml:space="preserve">Figure </w:t>
      </w:r>
      <w:r w:rsidR="005B3A89">
        <w:fldChar w:fldCharType="begin"/>
      </w:r>
      <w:r w:rsidR="005B3A89">
        <w:instrText xml:space="preserve"> STYLEREF 1 \s </w:instrText>
      </w:r>
      <w:r w:rsidR="005B3A89">
        <w:fldChar w:fldCharType="separate"/>
      </w:r>
      <w:r w:rsidR="005B3A89">
        <w:t>6</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2</w:t>
      </w:r>
      <w:r w:rsidR="005B3A89">
        <w:fldChar w:fldCharType="end"/>
      </w:r>
      <w:r w:rsidR="007D5CED" w:rsidRPr="007D5CED">
        <w:t>: Minimising violence against women and shifting blame (AVAWS subscale items), 16- to 24-year-olds, 2021</w:t>
      </w:r>
      <w:bookmarkEnd w:id="155"/>
    </w:p>
    <w:p w14:paraId="664D0312" w14:textId="7D1FEA9A" w:rsidR="007D5CED" w:rsidRPr="007D5CED" w:rsidRDefault="00B35F2E" w:rsidP="00A3239A">
      <w:pPr>
        <w:rPr>
          <w:lang w:val="en-GB"/>
        </w:rPr>
      </w:pPr>
      <w:r>
        <w:rPr>
          <w:noProof/>
          <w:lang w:val="en-GB"/>
        </w:rPr>
        <w:drawing>
          <wp:inline distT="0" distB="0" distL="0" distR="0" wp14:anchorId="4C7821B0" wp14:editId="470F6F02">
            <wp:extent cx="6120130" cy="7329170"/>
            <wp:effectExtent l="0" t="0" r="0" b="0"/>
            <wp:docPr id="1549154909" name="Immagine 25" descr="A bar graph that shows opinions on minimising violence against women and shifting blam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4909" name="Immagine 25" descr="A bar graph that shows opinions on minimising violence against women and shifting blame. The data in this graph is in the table below."/>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7329170"/>
                    </a:xfrm>
                    <a:prstGeom prst="rect">
                      <a:avLst/>
                    </a:prstGeom>
                  </pic:spPr>
                </pic:pic>
              </a:graphicData>
            </a:graphic>
          </wp:inline>
        </w:drawing>
      </w:r>
    </w:p>
    <w:p w14:paraId="496A1C8E" w14:textId="77777777" w:rsidR="000222F0" w:rsidRDefault="000222F0" w:rsidP="00A3239A">
      <w:pPr>
        <w:spacing w:before="0" w:after="0" w:line="240" w:lineRule="auto"/>
        <w:rPr>
          <w:rFonts w:ascii="Hind SemiBold" w:hAnsi="Hind SemiBold" w:cs="Open Sans"/>
          <w:bCs/>
          <w:kern w:val="0"/>
          <w:sz w:val="18"/>
          <w:szCs w:val="14"/>
          <w:lang w:val="en-AU"/>
        </w:rPr>
      </w:pPr>
      <w:r>
        <w:rPr>
          <w:bCs/>
          <w:lang w:val="en-AU"/>
        </w:rPr>
        <w:br w:type="page"/>
      </w:r>
    </w:p>
    <w:p w14:paraId="01497BB6" w14:textId="084B1DCA" w:rsidR="00441F2A" w:rsidRDefault="00441F2A" w:rsidP="002A2C0C">
      <w:pPr>
        <w:pStyle w:val="datatableheading"/>
      </w:pPr>
      <w:r>
        <w:rPr>
          <w:lang w:val="en-AU"/>
        </w:rPr>
        <w:lastRenderedPageBreak/>
        <w:t>Data table for figure 6-2</w:t>
      </w:r>
      <w:r w:rsidR="001B3C28">
        <w:rPr>
          <w:lang w:val="en-AU"/>
        </w:rPr>
        <w:t xml:space="preserve">: </w:t>
      </w:r>
      <w:r w:rsidR="008374AE">
        <w:t>Percentage of 16-24-year-old respondents</w:t>
      </w:r>
    </w:p>
    <w:tbl>
      <w:tblPr>
        <w:tblStyle w:val="Table-SingleHeaderRow"/>
        <w:tblW w:w="0" w:type="auto"/>
        <w:tblLayout w:type="fixed"/>
        <w:tblLook w:val="04A0" w:firstRow="1" w:lastRow="0" w:firstColumn="1" w:lastColumn="0" w:noHBand="0" w:noVBand="1"/>
      </w:tblPr>
      <w:tblGrid>
        <w:gridCol w:w="2552"/>
        <w:gridCol w:w="992"/>
        <w:gridCol w:w="1276"/>
        <w:gridCol w:w="1276"/>
        <w:gridCol w:w="992"/>
        <w:gridCol w:w="1200"/>
        <w:gridCol w:w="1350"/>
      </w:tblGrid>
      <w:tr w:rsidR="00D621A7" w:rsidRPr="008E6594" w14:paraId="3925EC32" w14:textId="77777777" w:rsidTr="00D621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B1BB913" w14:textId="77777777" w:rsidR="00441F2A" w:rsidRPr="007E1C6F" w:rsidRDefault="00441F2A" w:rsidP="00A3239A">
            <w:pPr>
              <w:pStyle w:val="Tablebody"/>
            </w:pPr>
          </w:p>
        </w:tc>
        <w:tc>
          <w:tcPr>
            <w:tcW w:w="992" w:type="dxa"/>
          </w:tcPr>
          <w:p w14:paraId="71980470"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276" w:type="dxa"/>
          </w:tcPr>
          <w:p w14:paraId="6FEF2FB3"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276" w:type="dxa"/>
          </w:tcPr>
          <w:p w14:paraId="4605DF56"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992" w:type="dxa"/>
          </w:tcPr>
          <w:p w14:paraId="6A55C313"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200" w:type="dxa"/>
          </w:tcPr>
          <w:p w14:paraId="7729B220"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15A369FE" w14:textId="77777777" w:rsidR="00441F2A" w:rsidRPr="008E6594" w:rsidRDefault="00441F2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D621A7" w:rsidRPr="00D621A7" w14:paraId="35BA12EE"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7EE31978" w14:textId="6834AD09" w:rsidR="00441F2A" w:rsidRPr="007E1C6F" w:rsidRDefault="00441F2A" w:rsidP="00A3239A">
            <w:pPr>
              <w:pStyle w:val="Tablebody"/>
            </w:pPr>
            <w:r>
              <w:t xml:space="preserve">Women should keep </w:t>
            </w:r>
            <w:r w:rsidR="00D621A7">
              <w:t>quiet</w:t>
            </w:r>
            <w:r>
              <w:t xml:space="preserve"> about domestic violence to</w:t>
            </w:r>
            <w:r w:rsidR="00937040">
              <w:t> </w:t>
            </w:r>
            <w:r>
              <w:t>protect their family’s reputation (D30)</w:t>
            </w:r>
            <w:r w:rsidR="00311EF8">
              <w:t xml:space="preserve"> </w:t>
            </w:r>
            <w:r w:rsidR="00311EF8" w:rsidRPr="008C29F3">
              <w:rPr>
                <w:kern w:val="2"/>
                <w:sz w:val="20"/>
                <w:vertAlign w:val="superscript"/>
              </w:rPr>
              <w:t>a</w:t>
            </w:r>
          </w:p>
        </w:tc>
        <w:tc>
          <w:tcPr>
            <w:tcW w:w="992" w:type="dxa"/>
          </w:tcPr>
          <w:p w14:paraId="69551298" w14:textId="08A0F242"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7FB730C0" w14:textId="67D4421B"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31D6264B" w14:textId="7B493C02" w:rsidR="00441F2A" w:rsidRPr="00D621A7" w:rsidRDefault="0058295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sidRPr="00D621A7">
              <w:rPr>
                <w:szCs w:val="18"/>
              </w:rPr>
              <w:t>5%</w:t>
            </w:r>
          </w:p>
        </w:tc>
        <w:tc>
          <w:tcPr>
            <w:tcW w:w="992" w:type="dxa"/>
          </w:tcPr>
          <w:p w14:paraId="7F87DE7D" w14:textId="524BED20"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92%</w:t>
            </w:r>
          </w:p>
        </w:tc>
        <w:tc>
          <w:tcPr>
            <w:tcW w:w="1200" w:type="dxa"/>
          </w:tcPr>
          <w:p w14:paraId="1A6F5A0C" w14:textId="25158AF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3CDE42EB"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6EA7D6A2"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3E74FAF8" w14:textId="0991BD35" w:rsidR="00441F2A" w:rsidRPr="007E1C6F" w:rsidRDefault="00441F2A" w:rsidP="00A3239A">
            <w:pPr>
              <w:pStyle w:val="Tablebody"/>
            </w:pPr>
            <w:r>
              <w:t>Women who are sexually harassed should deal with it themselves rather than report it (S9) ^</w:t>
            </w:r>
            <w:r w:rsidR="00311EF8">
              <w:t xml:space="preserve"> </w:t>
            </w:r>
            <w:r w:rsidR="00311EF8" w:rsidRPr="007D05B5">
              <w:rPr>
                <w:kern w:val="2"/>
                <w:sz w:val="20"/>
                <w:vertAlign w:val="superscript"/>
              </w:rPr>
              <w:t>ns</w:t>
            </w:r>
          </w:p>
        </w:tc>
        <w:tc>
          <w:tcPr>
            <w:tcW w:w="992" w:type="dxa"/>
          </w:tcPr>
          <w:p w14:paraId="28CCD303" w14:textId="23426E37"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54C7E88A" w14:textId="76C04760"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1430D6CB" w14:textId="148D30A6" w:rsidR="00441F2A" w:rsidRPr="008C29F3" w:rsidRDefault="0058295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8</w:t>
            </w:r>
            <w:r w:rsidRPr="008C29F3">
              <w:rPr>
                <w:sz w:val="18"/>
                <w:szCs w:val="18"/>
              </w:rPr>
              <w:t>%</w:t>
            </w:r>
          </w:p>
        </w:tc>
        <w:tc>
          <w:tcPr>
            <w:tcW w:w="992" w:type="dxa"/>
          </w:tcPr>
          <w:p w14:paraId="30ACE95D" w14:textId="3DE6D4CE"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88%</w:t>
            </w:r>
          </w:p>
        </w:tc>
        <w:tc>
          <w:tcPr>
            <w:tcW w:w="1200" w:type="dxa"/>
          </w:tcPr>
          <w:p w14:paraId="7481506D" w14:textId="1B09BC02" w:rsidR="00441F2A"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1FF755EB"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7047198F"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36C9C76A" w14:textId="48B8F654" w:rsidR="00441F2A" w:rsidRPr="007E1C6F" w:rsidRDefault="00441F2A" w:rsidP="00A3239A">
            <w:pPr>
              <w:pStyle w:val="Tablebody"/>
            </w:pPr>
            <w:r>
              <w:t>It’s only really stalking if it’s by a stranger (V8) ^</w:t>
            </w:r>
            <w:r w:rsidR="00311EF8">
              <w:t xml:space="preserve"> </w:t>
            </w:r>
            <w:r w:rsidR="00311EF8" w:rsidRPr="008C29F3">
              <w:rPr>
                <w:kern w:val="2"/>
                <w:sz w:val="20"/>
                <w:vertAlign w:val="superscript"/>
              </w:rPr>
              <w:t>a</w:t>
            </w:r>
          </w:p>
        </w:tc>
        <w:tc>
          <w:tcPr>
            <w:tcW w:w="992" w:type="dxa"/>
          </w:tcPr>
          <w:p w14:paraId="75F400AD" w14:textId="706DEAA8"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2CCADE84" w14:textId="3E8A2477"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7DC7368E" w14:textId="029853CD" w:rsidR="00441F2A" w:rsidRPr="008C29F3" w:rsidRDefault="0058295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6</w:t>
            </w:r>
            <w:r w:rsidRPr="008C29F3">
              <w:rPr>
                <w:sz w:val="18"/>
                <w:szCs w:val="18"/>
              </w:rPr>
              <w:t>%</w:t>
            </w:r>
          </w:p>
        </w:tc>
        <w:tc>
          <w:tcPr>
            <w:tcW w:w="992" w:type="dxa"/>
          </w:tcPr>
          <w:p w14:paraId="5E84E629" w14:textId="43FDCF70"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88%</w:t>
            </w:r>
          </w:p>
        </w:tc>
        <w:tc>
          <w:tcPr>
            <w:tcW w:w="1200" w:type="dxa"/>
          </w:tcPr>
          <w:p w14:paraId="2B7EA769" w14:textId="07D1979F" w:rsidR="00441F2A"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34E92BEE"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517A46B1"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4E2F9400" w14:textId="5B89AD73" w:rsidR="00441F2A" w:rsidRPr="007E1C6F" w:rsidRDefault="00441F2A" w:rsidP="00A3239A">
            <w:pPr>
              <w:pStyle w:val="Tablebody"/>
            </w:pPr>
            <w:r>
              <w:t>It’s a women’s duty to stay in a violent relationship to</w:t>
            </w:r>
            <w:r w:rsidR="00937040">
              <w:t> </w:t>
            </w:r>
            <w:r>
              <w:t>keep the family together (D24) ^</w:t>
            </w:r>
            <w:r w:rsidR="00311EF8">
              <w:t xml:space="preserve"> </w:t>
            </w:r>
            <w:r w:rsidR="00311EF8" w:rsidRPr="007D05B5">
              <w:rPr>
                <w:kern w:val="2"/>
                <w:sz w:val="20"/>
                <w:vertAlign w:val="superscript"/>
              </w:rPr>
              <w:t>ns</w:t>
            </w:r>
          </w:p>
        </w:tc>
        <w:tc>
          <w:tcPr>
            <w:tcW w:w="992" w:type="dxa"/>
          </w:tcPr>
          <w:p w14:paraId="124DAF86" w14:textId="2E67938B"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49537442" w14:textId="433986A1"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219FD3E2" w14:textId="4865A06A" w:rsidR="00441F2A" w:rsidRPr="008C29F3" w:rsidRDefault="00D621A7" w:rsidP="00A3239A">
            <w:pPr>
              <w:cnfStyle w:val="000000000000" w:firstRow="0" w:lastRow="0" w:firstColumn="0" w:lastColumn="0" w:oddVBand="0" w:evenVBand="0" w:oddHBand="0" w:evenHBand="0" w:firstRowFirstColumn="0" w:firstRowLastColumn="0" w:lastRowFirstColumn="0" w:lastRowLastColumn="0"/>
              <w:rPr>
                <w:b/>
                <w:bCs/>
                <w:sz w:val="18"/>
                <w:szCs w:val="18"/>
                <w:lang w:val="en-AU" w:eastAsia="en-AU"/>
              </w:rPr>
            </w:pPr>
            <w:r w:rsidRPr="00D621A7">
              <w:rPr>
                <w:sz w:val="18"/>
                <w:szCs w:val="18"/>
                <w:lang w:val="en-AU" w:eastAsia="en-AU"/>
              </w:rPr>
              <w:t>6%</w:t>
            </w:r>
          </w:p>
        </w:tc>
        <w:tc>
          <w:tcPr>
            <w:tcW w:w="992" w:type="dxa"/>
          </w:tcPr>
          <w:p w14:paraId="0B9038A8" w14:textId="375E42AF" w:rsidR="00441F2A" w:rsidRPr="007E1C6F" w:rsidRDefault="00582952" w:rsidP="00A3239A">
            <w:pPr>
              <w:pStyle w:val="Tablebody"/>
              <w:spacing w:line="360" w:lineRule="auto"/>
              <w:cnfStyle w:val="000000000000" w:firstRow="0" w:lastRow="0" w:firstColumn="0" w:lastColumn="0" w:oddVBand="0" w:evenVBand="0" w:oddHBand="0" w:evenHBand="0" w:firstRowFirstColumn="0" w:firstRowLastColumn="0" w:lastRowFirstColumn="0" w:lastRowLastColumn="0"/>
            </w:pPr>
            <w:r>
              <w:t>8</w:t>
            </w:r>
            <w:r w:rsidR="00D621A7">
              <w:t>8%</w:t>
            </w:r>
          </w:p>
        </w:tc>
        <w:tc>
          <w:tcPr>
            <w:tcW w:w="1200" w:type="dxa"/>
          </w:tcPr>
          <w:p w14:paraId="36DA374F" w14:textId="55226980"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6C88A6F7"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2039B3B8"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492C399" w14:textId="2AF63C29" w:rsidR="00441F2A" w:rsidRPr="007E1C6F" w:rsidRDefault="00441F2A" w:rsidP="00A3239A">
            <w:pPr>
              <w:pStyle w:val="Tablebody"/>
            </w:pPr>
            <w:r>
              <w:t>Women who stay in abusive relationships deserve less help from counselling and support services than women who leave their abusive partner (D31) ^</w:t>
            </w:r>
            <w:r w:rsidR="00311EF8">
              <w:t xml:space="preserve"> </w:t>
            </w:r>
            <w:r w:rsidR="00311EF8" w:rsidRPr="008C29F3">
              <w:rPr>
                <w:kern w:val="2"/>
                <w:sz w:val="20"/>
                <w:vertAlign w:val="superscript"/>
              </w:rPr>
              <w:t>*</w:t>
            </w:r>
          </w:p>
        </w:tc>
        <w:tc>
          <w:tcPr>
            <w:tcW w:w="992" w:type="dxa"/>
          </w:tcPr>
          <w:p w14:paraId="5D667908" w14:textId="205B87B4"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3F3E0771" w14:textId="26518A63"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49B0443B" w14:textId="16BA13E8" w:rsidR="00441F2A" w:rsidRPr="008C29F3" w:rsidRDefault="00D621A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8%</w:t>
            </w:r>
          </w:p>
        </w:tc>
        <w:tc>
          <w:tcPr>
            <w:tcW w:w="992" w:type="dxa"/>
          </w:tcPr>
          <w:p w14:paraId="0A365E88" w14:textId="13F5AB34" w:rsidR="00441F2A" w:rsidRPr="007E1C6F" w:rsidRDefault="00582952" w:rsidP="00A3239A">
            <w:pPr>
              <w:pStyle w:val="Tablebody"/>
              <w:cnfStyle w:val="000000000000" w:firstRow="0" w:lastRow="0" w:firstColumn="0" w:lastColumn="0" w:oddVBand="0" w:evenVBand="0" w:oddHBand="0" w:evenHBand="0" w:firstRowFirstColumn="0" w:firstRowLastColumn="0" w:lastRowFirstColumn="0" w:lastRowLastColumn="0"/>
            </w:pPr>
            <w:r>
              <w:t>8</w:t>
            </w:r>
            <w:r w:rsidR="00D621A7">
              <w:t>5%</w:t>
            </w:r>
          </w:p>
        </w:tc>
        <w:tc>
          <w:tcPr>
            <w:tcW w:w="1200" w:type="dxa"/>
          </w:tcPr>
          <w:p w14:paraId="62D54BBD" w14:textId="166A592F" w:rsidR="00441F2A"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2BC784AD"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21687CDA"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CB047C0" w14:textId="029AEFBD" w:rsidR="00441F2A" w:rsidRPr="007E1C6F" w:rsidRDefault="00441F2A" w:rsidP="00A3239A">
            <w:pPr>
              <w:pStyle w:val="Tablebody"/>
            </w:pPr>
            <w:r>
              <w:t>Domestic violence can be excused if the offender is heavily affected by alcohol (D20)</w:t>
            </w:r>
            <w:r w:rsidR="00311EF8">
              <w:t xml:space="preserve"> </w:t>
            </w:r>
            <w:r w:rsidR="00311EF8" w:rsidRPr="007D05B5">
              <w:rPr>
                <w:kern w:val="2"/>
                <w:sz w:val="20"/>
                <w:vertAlign w:val="superscript"/>
              </w:rPr>
              <w:t>ns</w:t>
            </w:r>
          </w:p>
        </w:tc>
        <w:tc>
          <w:tcPr>
            <w:tcW w:w="992" w:type="dxa"/>
          </w:tcPr>
          <w:p w14:paraId="31BD590F" w14:textId="5B915B81"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3</w:t>
            </w:r>
            <w:r w:rsidR="001202E9">
              <w:t>%</w:t>
            </w:r>
          </w:p>
        </w:tc>
        <w:tc>
          <w:tcPr>
            <w:tcW w:w="1276" w:type="dxa"/>
          </w:tcPr>
          <w:p w14:paraId="480E52CA" w14:textId="333C61FF"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688AEE04" w14:textId="10502C4A" w:rsidR="00441F2A" w:rsidRPr="008C29F3" w:rsidRDefault="00D621A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10%</w:t>
            </w:r>
          </w:p>
        </w:tc>
        <w:tc>
          <w:tcPr>
            <w:tcW w:w="992" w:type="dxa"/>
          </w:tcPr>
          <w:p w14:paraId="34D9F91A" w14:textId="6DE1232A"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84%</w:t>
            </w:r>
          </w:p>
        </w:tc>
        <w:tc>
          <w:tcPr>
            <w:tcW w:w="1200" w:type="dxa"/>
          </w:tcPr>
          <w:p w14:paraId="293638A2" w14:textId="1EFA511B"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20275EB1"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D621A7" w14:paraId="2E9B1F0B"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3B48D8E7" w14:textId="1980CE0F" w:rsidR="00441F2A" w:rsidRPr="007E1C6F" w:rsidRDefault="000B34BC" w:rsidP="00A3239A">
            <w:pPr>
              <w:pStyle w:val="Tablebody"/>
            </w:pPr>
            <w:r>
              <w:t>A man is less responsible for rape if he is drunk or affected by drugs at the time (S19) ^</w:t>
            </w:r>
            <w:r w:rsidR="00311EF8">
              <w:t xml:space="preserve"> </w:t>
            </w:r>
            <w:r w:rsidR="00311EF8" w:rsidRPr="007D05B5">
              <w:rPr>
                <w:kern w:val="2"/>
                <w:sz w:val="20"/>
                <w:vertAlign w:val="superscript"/>
              </w:rPr>
              <w:t>ns</w:t>
            </w:r>
          </w:p>
        </w:tc>
        <w:tc>
          <w:tcPr>
            <w:tcW w:w="992" w:type="dxa"/>
          </w:tcPr>
          <w:p w14:paraId="74B5EC62" w14:textId="2049779D"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023A5CF9" w14:textId="0055219B"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140D6931" w14:textId="66265777" w:rsidR="00441F2A" w:rsidRPr="008C29F3" w:rsidRDefault="00D621A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7968C1">
              <w:rPr>
                <w:sz w:val="18"/>
                <w:szCs w:val="18"/>
                <w:lang w:val="en-AU" w:eastAsia="en-AU"/>
              </w:rPr>
              <w:t>10%</w:t>
            </w:r>
          </w:p>
        </w:tc>
        <w:tc>
          <w:tcPr>
            <w:tcW w:w="992" w:type="dxa"/>
          </w:tcPr>
          <w:p w14:paraId="61894123" w14:textId="743DC82D" w:rsidR="00441F2A" w:rsidRPr="007E1C6F"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81%</w:t>
            </w:r>
          </w:p>
        </w:tc>
        <w:tc>
          <w:tcPr>
            <w:tcW w:w="1200" w:type="dxa"/>
          </w:tcPr>
          <w:p w14:paraId="6994BF5E" w14:textId="306EEADF" w:rsidR="00441F2A" w:rsidRDefault="00D621A7"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0A7E6952"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427A2452"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5B94B185" w14:textId="62745A80" w:rsidR="00441F2A" w:rsidRPr="007E1C6F" w:rsidRDefault="00D621A7" w:rsidP="00A3239A">
            <w:pPr>
              <w:pStyle w:val="Tablebody"/>
            </w:pPr>
            <w:r>
              <w:t xml:space="preserve">Domestic violence can be excused if the victim </w:t>
            </w:r>
            <w:r w:rsidR="0096697E">
              <w:t>is heavily affected by alcohol (D21)</w:t>
            </w:r>
            <w:r w:rsidR="00311EF8">
              <w:t xml:space="preserve"> </w:t>
            </w:r>
            <w:r w:rsidR="00311EF8" w:rsidRPr="007D05B5">
              <w:rPr>
                <w:kern w:val="2"/>
                <w:sz w:val="20"/>
                <w:vertAlign w:val="superscript"/>
              </w:rPr>
              <w:t xml:space="preserve"> ns</w:t>
            </w:r>
            <w:r w:rsidR="00311EF8" w:rsidDel="00D621A7">
              <w:t xml:space="preserve"> </w:t>
            </w:r>
          </w:p>
        </w:tc>
        <w:tc>
          <w:tcPr>
            <w:tcW w:w="992" w:type="dxa"/>
          </w:tcPr>
          <w:p w14:paraId="726B0F3C" w14:textId="74101457"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10345B6C" w14:textId="3903032E"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43A403FE" w14:textId="399BCE81" w:rsidR="00441F2A"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13%</w:t>
            </w:r>
          </w:p>
        </w:tc>
        <w:tc>
          <w:tcPr>
            <w:tcW w:w="992" w:type="dxa"/>
          </w:tcPr>
          <w:p w14:paraId="063A053D" w14:textId="474F4774"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80%</w:t>
            </w:r>
          </w:p>
        </w:tc>
        <w:tc>
          <w:tcPr>
            <w:tcW w:w="1200" w:type="dxa"/>
          </w:tcPr>
          <w:p w14:paraId="7AE7A017" w14:textId="65F2777D" w:rsidR="00441F2A"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22F595A2"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4BA7B079"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9F8F7AB" w14:textId="79013BEC" w:rsidR="00D621A7" w:rsidRDefault="00D621A7" w:rsidP="00A3239A">
            <w:pPr>
              <w:pStyle w:val="Tablebody"/>
            </w:pPr>
            <w:r>
              <w:t>It’s acceptable for police to give lower priority to domestic violence cases they’ve attended many times before (D32) ^</w:t>
            </w:r>
            <w:r w:rsidR="00311EF8">
              <w:t xml:space="preserve"> </w:t>
            </w:r>
            <w:r w:rsidR="00311EF8" w:rsidRPr="007D05B5">
              <w:rPr>
                <w:kern w:val="2"/>
                <w:sz w:val="20"/>
                <w:vertAlign w:val="superscript"/>
              </w:rPr>
              <w:t>ns</w:t>
            </w:r>
          </w:p>
        </w:tc>
        <w:tc>
          <w:tcPr>
            <w:tcW w:w="992" w:type="dxa"/>
          </w:tcPr>
          <w:p w14:paraId="7F422BF7" w14:textId="59150F5C"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289DA28F" w14:textId="538C38DD"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276" w:type="dxa"/>
          </w:tcPr>
          <w:p w14:paraId="42721D4B" w14:textId="393E1B85" w:rsidR="00D621A7"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15%</w:t>
            </w:r>
          </w:p>
        </w:tc>
        <w:tc>
          <w:tcPr>
            <w:tcW w:w="992" w:type="dxa"/>
          </w:tcPr>
          <w:p w14:paraId="2EDA9BD1" w14:textId="75E67F03"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72%</w:t>
            </w:r>
          </w:p>
        </w:tc>
        <w:tc>
          <w:tcPr>
            <w:tcW w:w="1200" w:type="dxa"/>
          </w:tcPr>
          <w:p w14:paraId="1398650A" w14:textId="39DE9617"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5868E861" w14:textId="77777777" w:rsidR="00D621A7" w:rsidRDefault="00D621A7"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01C6169E"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55DA24A3" w14:textId="77388BF1" w:rsidR="00B74E21" w:rsidRDefault="00D621A7" w:rsidP="00A3239A">
            <w:pPr>
              <w:pStyle w:val="Tablebody"/>
            </w:pPr>
            <w:r>
              <w:t xml:space="preserve">Domestic violence can be excused if </w:t>
            </w:r>
            <w:r w:rsidR="0096697E">
              <w:t>it results from people getting so angry that they temporarily lose control (D18)</w:t>
            </w:r>
            <w:r w:rsidR="00311EF8">
              <w:t xml:space="preserve"> </w:t>
            </w:r>
            <w:r w:rsidR="00311EF8" w:rsidRPr="007D05B5">
              <w:rPr>
                <w:kern w:val="2"/>
                <w:sz w:val="20"/>
                <w:vertAlign w:val="superscript"/>
              </w:rPr>
              <w:t>ns</w:t>
            </w:r>
          </w:p>
        </w:tc>
        <w:tc>
          <w:tcPr>
            <w:tcW w:w="992" w:type="dxa"/>
          </w:tcPr>
          <w:p w14:paraId="2CBC5D61" w14:textId="401D6F03"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515715BF" w14:textId="4DCDCF8E"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276" w:type="dxa"/>
          </w:tcPr>
          <w:p w14:paraId="14EA337B" w14:textId="5788D3C2" w:rsidR="00D621A7"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13%</w:t>
            </w:r>
          </w:p>
        </w:tc>
        <w:tc>
          <w:tcPr>
            <w:tcW w:w="992" w:type="dxa"/>
          </w:tcPr>
          <w:p w14:paraId="77C5A928" w14:textId="61EA8B59"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72%</w:t>
            </w:r>
          </w:p>
        </w:tc>
        <w:tc>
          <w:tcPr>
            <w:tcW w:w="1200" w:type="dxa"/>
          </w:tcPr>
          <w:p w14:paraId="74F75B90" w14:textId="1B493AA4"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5080A337" w14:textId="77777777" w:rsidR="00D621A7" w:rsidRDefault="00D621A7"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3D4B424E"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17DB143" w14:textId="053DFB57" w:rsidR="00D621A7" w:rsidRDefault="0038080E" w:rsidP="00A3239A">
            <w:pPr>
              <w:pStyle w:val="Tablebody"/>
            </w:pPr>
            <w:r>
              <w:t>Domestic violence can be</w:t>
            </w:r>
            <w:r w:rsidR="00937040">
              <w:t> </w:t>
            </w:r>
            <w:r>
              <w:t>excused if the violent person was themselves abused as a child (D22)</w:t>
            </w:r>
            <w:r w:rsidR="00311EF8">
              <w:t xml:space="preserve"> </w:t>
            </w:r>
            <w:r w:rsidR="00311EF8" w:rsidRPr="007D05B5">
              <w:rPr>
                <w:kern w:val="2"/>
                <w:sz w:val="20"/>
                <w:vertAlign w:val="superscript"/>
              </w:rPr>
              <w:t>ns</w:t>
            </w:r>
          </w:p>
        </w:tc>
        <w:tc>
          <w:tcPr>
            <w:tcW w:w="992" w:type="dxa"/>
          </w:tcPr>
          <w:p w14:paraId="1E06183B" w14:textId="1BD90ADE"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276" w:type="dxa"/>
          </w:tcPr>
          <w:p w14:paraId="6ADC4E72" w14:textId="3EDD1957"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276" w:type="dxa"/>
          </w:tcPr>
          <w:p w14:paraId="20BA6267" w14:textId="42BB42E3" w:rsidR="00D621A7"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21%</w:t>
            </w:r>
          </w:p>
        </w:tc>
        <w:tc>
          <w:tcPr>
            <w:tcW w:w="992" w:type="dxa"/>
          </w:tcPr>
          <w:p w14:paraId="295DCDFB" w14:textId="43151A34"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69%</w:t>
            </w:r>
          </w:p>
        </w:tc>
        <w:tc>
          <w:tcPr>
            <w:tcW w:w="1200" w:type="dxa"/>
          </w:tcPr>
          <w:p w14:paraId="0EB3D161" w14:textId="4EE6A4EC" w:rsidR="00D621A7"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23743CBF" w14:textId="77777777" w:rsidR="00D621A7" w:rsidRDefault="00D621A7"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3D8F35E5"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7377B60" w14:textId="34BBE1C7" w:rsidR="00441F2A" w:rsidRPr="007E1C6F" w:rsidRDefault="00582952" w:rsidP="00A3239A">
            <w:pPr>
              <w:pStyle w:val="Tablebody"/>
            </w:pPr>
            <w:r>
              <w:t>Sometimes a woman can make a man so angry that he hits her when he didn’t mean to (D25) ^</w:t>
            </w:r>
            <w:r w:rsidR="00311EF8">
              <w:t xml:space="preserve"> </w:t>
            </w:r>
            <w:r w:rsidR="00311EF8" w:rsidRPr="007D05B5">
              <w:rPr>
                <w:kern w:val="2"/>
                <w:sz w:val="20"/>
                <w:vertAlign w:val="superscript"/>
              </w:rPr>
              <w:t xml:space="preserve"> ns</w:t>
            </w:r>
          </w:p>
        </w:tc>
        <w:tc>
          <w:tcPr>
            <w:tcW w:w="992" w:type="dxa"/>
          </w:tcPr>
          <w:p w14:paraId="4684E07A" w14:textId="619CE254"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72A4708C" w14:textId="0045C33D"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1276" w:type="dxa"/>
          </w:tcPr>
          <w:p w14:paraId="297EAEF6" w14:textId="23C0C625" w:rsidR="00441F2A"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12%</w:t>
            </w:r>
          </w:p>
        </w:tc>
        <w:tc>
          <w:tcPr>
            <w:tcW w:w="992" w:type="dxa"/>
          </w:tcPr>
          <w:p w14:paraId="7C0ACFD5" w14:textId="540AB1B2"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1200" w:type="dxa"/>
          </w:tcPr>
          <w:p w14:paraId="45D40E9F" w14:textId="5E9FF0E3" w:rsidR="00441F2A"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50" w:type="dxa"/>
          </w:tcPr>
          <w:p w14:paraId="7341C77F"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6E4FC5EC"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296509D2" w14:textId="69837B8A" w:rsidR="00441F2A" w:rsidRPr="007E1C6F" w:rsidRDefault="00582952" w:rsidP="00A3239A">
            <w:pPr>
              <w:pStyle w:val="Tablebody"/>
            </w:pPr>
            <w:r>
              <w:t>A lo</w:t>
            </w:r>
            <w:r w:rsidR="0038080E">
              <w:t>t</w:t>
            </w:r>
            <w:r>
              <w:t xml:space="preserve"> of what is called domestic violence is really just a normal reaction </w:t>
            </w:r>
            <w:r>
              <w:lastRenderedPageBreak/>
              <w:t>to</w:t>
            </w:r>
            <w:r w:rsidR="00937040">
              <w:t> </w:t>
            </w:r>
            <w:r>
              <w:t>day-to-day stress and frustration (D17)</w:t>
            </w:r>
            <w:r w:rsidR="00311EF8">
              <w:t xml:space="preserve"> </w:t>
            </w:r>
            <w:r w:rsidR="00311EF8" w:rsidRPr="007D05B5">
              <w:rPr>
                <w:kern w:val="2"/>
                <w:sz w:val="20"/>
                <w:vertAlign w:val="superscript"/>
              </w:rPr>
              <w:t>ns</w:t>
            </w:r>
          </w:p>
        </w:tc>
        <w:tc>
          <w:tcPr>
            <w:tcW w:w="992" w:type="dxa"/>
          </w:tcPr>
          <w:p w14:paraId="24368D2A" w14:textId="37403BAB" w:rsidR="007968C1" w:rsidRPr="0074078B" w:rsidRDefault="007968C1" w:rsidP="00A3239A">
            <w:pPr>
              <w:tabs>
                <w:tab w:val="left" w:pos="764"/>
              </w:tabs>
              <w:cnfStyle w:val="000000000000" w:firstRow="0" w:lastRow="0" w:firstColumn="0" w:lastColumn="0" w:oddVBand="0" w:evenVBand="0" w:oddHBand="0" w:evenHBand="0" w:firstRowFirstColumn="0" w:firstRowLastColumn="0" w:lastRowFirstColumn="0" w:lastRowLastColumn="0"/>
              <w:rPr>
                <w:szCs w:val="18"/>
              </w:rPr>
            </w:pPr>
            <w:r w:rsidRPr="008C29F3">
              <w:rPr>
                <w:sz w:val="18"/>
                <w:szCs w:val="18"/>
                <w:lang w:val="en-AU" w:eastAsia="en-AU"/>
              </w:rPr>
              <w:lastRenderedPageBreak/>
              <w:t>4%</w:t>
            </w:r>
          </w:p>
        </w:tc>
        <w:tc>
          <w:tcPr>
            <w:tcW w:w="1276" w:type="dxa"/>
          </w:tcPr>
          <w:p w14:paraId="5BD24FDC" w14:textId="4D342E38"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15%</w:t>
            </w:r>
          </w:p>
        </w:tc>
        <w:tc>
          <w:tcPr>
            <w:tcW w:w="1276" w:type="dxa"/>
          </w:tcPr>
          <w:p w14:paraId="2E4E8F54" w14:textId="499A820F" w:rsidR="00441F2A"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23%</w:t>
            </w:r>
          </w:p>
        </w:tc>
        <w:tc>
          <w:tcPr>
            <w:tcW w:w="992" w:type="dxa"/>
          </w:tcPr>
          <w:p w14:paraId="16DD4C48" w14:textId="47DC83F5"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56%</w:t>
            </w:r>
          </w:p>
        </w:tc>
        <w:tc>
          <w:tcPr>
            <w:tcW w:w="1200" w:type="dxa"/>
          </w:tcPr>
          <w:p w14:paraId="42C41390" w14:textId="35200CA0" w:rsidR="00441F2A"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772F57FF"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6A5C9A44"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093EB8BF" w14:textId="550E6E5A" w:rsidR="00441F2A" w:rsidRPr="007E1C6F" w:rsidRDefault="00582952" w:rsidP="00A3239A">
            <w:pPr>
              <w:pStyle w:val="Tablebody"/>
            </w:pPr>
            <w:r>
              <w:t>Domestic violence is</w:t>
            </w:r>
            <w:r w:rsidR="00937040">
              <w:t> </w:t>
            </w:r>
            <w:r>
              <w:t>a</w:t>
            </w:r>
            <w:r w:rsidR="00937040">
              <w:t> </w:t>
            </w:r>
            <w:r>
              <w:t>private matter than should be handled in the family (D16) ^</w:t>
            </w:r>
            <w:r w:rsidR="00311EF8">
              <w:t xml:space="preserve"> </w:t>
            </w:r>
            <w:r w:rsidR="00311EF8" w:rsidRPr="007D05B5">
              <w:rPr>
                <w:kern w:val="2"/>
                <w:sz w:val="20"/>
                <w:vertAlign w:val="superscript"/>
              </w:rPr>
              <w:t>ns</w:t>
            </w:r>
          </w:p>
        </w:tc>
        <w:tc>
          <w:tcPr>
            <w:tcW w:w="992" w:type="dxa"/>
          </w:tcPr>
          <w:p w14:paraId="46422BE9" w14:textId="2C0F3EB3" w:rsidR="00441F2A" w:rsidRPr="007968C1" w:rsidRDefault="007968C1"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1276" w:type="dxa"/>
          </w:tcPr>
          <w:p w14:paraId="739B7025" w14:textId="44238A21"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12%</w:t>
            </w:r>
          </w:p>
        </w:tc>
        <w:tc>
          <w:tcPr>
            <w:tcW w:w="1276" w:type="dxa"/>
          </w:tcPr>
          <w:p w14:paraId="2D2A27DD" w14:textId="117DA0D7" w:rsidR="00441F2A"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27%</w:t>
            </w:r>
          </w:p>
        </w:tc>
        <w:tc>
          <w:tcPr>
            <w:tcW w:w="992" w:type="dxa"/>
          </w:tcPr>
          <w:p w14:paraId="45481CD5" w14:textId="1B8534D6" w:rsidR="00441F2A"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55%</w:t>
            </w:r>
          </w:p>
        </w:tc>
        <w:tc>
          <w:tcPr>
            <w:tcW w:w="1200" w:type="dxa"/>
          </w:tcPr>
          <w:p w14:paraId="7A86DF28" w14:textId="3DF19B12" w:rsidR="00441F2A"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232C022F" w14:textId="77777777" w:rsidR="00441F2A" w:rsidRDefault="00441F2A" w:rsidP="00A3239A">
            <w:pPr>
              <w:pStyle w:val="Tablebody"/>
              <w:cnfStyle w:val="000000000000" w:firstRow="0" w:lastRow="0" w:firstColumn="0" w:lastColumn="0" w:oddVBand="0" w:evenVBand="0" w:oddHBand="0" w:evenHBand="0" w:firstRowFirstColumn="0" w:firstRowLastColumn="0" w:lastRowFirstColumn="0" w:lastRowLastColumn="0"/>
            </w:pPr>
          </w:p>
        </w:tc>
      </w:tr>
      <w:tr w:rsidR="00D621A7" w:rsidRPr="007968C1" w14:paraId="43FE0DAE" w14:textId="77777777" w:rsidTr="00D621A7">
        <w:tc>
          <w:tcPr>
            <w:cnfStyle w:val="001000000000" w:firstRow="0" w:lastRow="0" w:firstColumn="1" w:lastColumn="0" w:oddVBand="0" w:evenVBand="0" w:oddHBand="0" w:evenHBand="0" w:firstRowFirstColumn="0" w:firstRowLastColumn="0" w:lastRowFirstColumn="0" w:lastRowLastColumn="0"/>
            <w:tcW w:w="2552" w:type="dxa"/>
          </w:tcPr>
          <w:p w14:paraId="12EC39C2" w14:textId="7EFDE160" w:rsidR="00582952" w:rsidRPr="007E1C6F" w:rsidRDefault="00582952" w:rsidP="00A3239A">
            <w:pPr>
              <w:pStyle w:val="Tablebody"/>
            </w:pPr>
            <w:r>
              <w:t>Domestic violence can be excused if, afterwards, the violent person genuinely regrets what they have done (D19)</w:t>
            </w:r>
            <w:r w:rsidR="00311EF8">
              <w:t xml:space="preserve"> </w:t>
            </w:r>
            <w:r w:rsidR="00311EF8" w:rsidRPr="007D05B5">
              <w:rPr>
                <w:kern w:val="2"/>
                <w:sz w:val="20"/>
                <w:vertAlign w:val="superscript"/>
              </w:rPr>
              <w:t>ns</w:t>
            </w:r>
          </w:p>
        </w:tc>
        <w:tc>
          <w:tcPr>
            <w:tcW w:w="992" w:type="dxa"/>
          </w:tcPr>
          <w:p w14:paraId="0B7082F9" w14:textId="3CC7C04E" w:rsidR="00582952" w:rsidRPr="007968C1" w:rsidRDefault="007968C1"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1276" w:type="dxa"/>
          </w:tcPr>
          <w:p w14:paraId="765D4679" w14:textId="00FCD22F" w:rsidR="00582952"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1276" w:type="dxa"/>
          </w:tcPr>
          <w:p w14:paraId="73657CC0" w14:textId="29682DB0" w:rsidR="00582952" w:rsidRPr="008C29F3" w:rsidRDefault="007968C1"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28%</w:t>
            </w:r>
          </w:p>
        </w:tc>
        <w:tc>
          <w:tcPr>
            <w:tcW w:w="992" w:type="dxa"/>
          </w:tcPr>
          <w:p w14:paraId="176FC811" w14:textId="563A2A26" w:rsidR="00582952" w:rsidRPr="007E1C6F"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54%</w:t>
            </w:r>
          </w:p>
        </w:tc>
        <w:tc>
          <w:tcPr>
            <w:tcW w:w="1200" w:type="dxa"/>
          </w:tcPr>
          <w:p w14:paraId="365AE076" w14:textId="1F3C1389" w:rsidR="00582952" w:rsidRDefault="007968C1"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5761CFC1" w14:textId="77777777" w:rsidR="00582952" w:rsidRDefault="00582952"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337BB224" w14:textId="48EA2372"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 xml:space="preserve">N </w:t>
      </w:r>
      <w:r w:rsidRPr="007D5CED">
        <w:t>= 1,669</w:t>
      </w:r>
      <w:r w:rsidRPr="0073256E">
        <w:rPr>
          <w:rStyle w:val="Emphasis"/>
        </w:rPr>
        <w:t xml:space="preserve"> </w:t>
      </w:r>
      <w:r w:rsidRPr="007D5CED">
        <w:t>unless otherwise noted. Percentages in the figure do not always add to 100 due to rounding.</w:t>
      </w:r>
    </w:p>
    <w:p w14:paraId="2B6DD86F" w14:textId="77777777" w:rsidR="007D5CED" w:rsidRPr="007D5CED" w:rsidRDefault="007D5CED" w:rsidP="00A3239A">
      <w:pPr>
        <w:pStyle w:val="Normal8pt"/>
      </w:pPr>
      <w:r w:rsidRPr="007D5CED">
        <w:rPr>
          <w:bCs/>
        </w:rPr>
        <w:t>*</w:t>
      </w:r>
      <w:r w:rsidRPr="007D5CED">
        <w:t xml:space="preserve"> Significantly higher understanding in 2021 than 2017. Change over time results are discussed in Section 6.1.</w:t>
      </w:r>
    </w:p>
    <w:p w14:paraId="3014ED7F" w14:textId="77777777" w:rsidR="007D5CED" w:rsidRPr="007D5CED" w:rsidRDefault="007D5CED" w:rsidP="00A3239A">
      <w:pPr>
        <w:pStyle w:val="Normal8pt"/>
      </w:pPr>
      <w:r w:rsidRPr="007D5CED">
        <w:rPr>
          <w:bCs/>
        </w:rPr>
        <w:t>ns</w:t>
      </w:r>
      <w:r w:rsidRPr="007D5CED">
        <w:t xml:space="preserve"> No significant difference between 2021 and 2017.</w:t>
      </w:r>
    </w:p>
    <w:p w14:paraId="2DE7EC71" w14:textId="77777777" w:rsidR="007D5CED" w:rsidRPr="007D5CED" w:rsidRDefault="007D5CED" w:rsidP="00A3239A">
      <w:pPr>
        <w:pStyle w:val="Normal8pt"/>
      </w:pPr>
      <w:r w:rsidRPr="007D5CED">
        <w:rPr>
          <w:bCs/>
        </w:rPr>
        <w:t>a</w:t>
      </w:r>
      <w:r w:rsidRPr="007D5CED">
        <w:t xml:space="preserve"> New or revised item in 2021. Thus, change over time could not be examined.</w:t>
      </w:r>
    </w:p>
    <w:p w14:paraId="35667395" w14:textId="77777777" w:rsidR="007D5CED" w:rsidRPr="007D5CED" w:rsidRDefault="007D5CED" w:rsidP="00A3239A">
      <w:pPr>
        <w:pStyle w:val="Normal8pt"/>
        <w:rPr>
          <w:szCs w:val="18"/>
        </w:rPr>
      </w:pPr>
      <w:r w:rsidRPr="007D5CED">
        <w:rPr>
          <w:bCs/>
        </w:rPr>
        <w:t>^</w:t>
      </w:r>
      <w:r w:rsidRPr="007D5CED">
        <w:t xml:space="preserve"> Asked of half the sample in 20211.</w:t>
      </w:r>
    </w:p>
    <w:p w14:paraId="366CEE60" w14:textId="40F94D5B" w:rsidR="007D5CED" w:rsidRPr="007D5CED" w:rsidRDefault="007D5CED" w:rsidP="00A3239A">
      <w:pPr>
        <w:rPr>
          <w:lang w:val="en-GB"/>
        </w:rPr>
      </w:pPr>
      <w:r w:rsidRPr="007D5CED">
        <w:rPr>
          <w:lang w:val="en-GB"/>
        </w:rPr>
        <w:t>Figure 6-3 shows young respondents’ rejection in 2021 of different attitudes that mistrust women’s reports of violence victimisation according to the 13 items in the Mistrust Women Subscale. In 2021, while a majority of respondents “strongly disagreed” with the mistrusting attitudes described by eight of these 13 items, only half or fewer “strongly disagreed” with the other mistrusting attitudes. Specifically, strong disagreement was highest for attitudes that women’s claims of violence should not be taken seriously (83–87%; S2, S22) and attitudes that women who delay reporting are lying (76%;</w:t>
      </w:r>
      <w:r w:rsidR="00937040">
        <w:rPr>
          <w:lang w:val="en-GB"/>
        </w:rPr>
        <w:t> </w:t>
      </w:r>
      <w:r w:rsidRPr="007D5CED">
        <w:rPr>
          <w:lang w:val="en-GB"/>
        </w:rPr>
        <w:t>S25,</w:t>
      </w:r>
      <w:r w:rsidR="00937040">
        <w:rPr>
          <w:lang w:val="en-GB"/>
        </w:rPr>
        <w:t> </w:t>
      </w:r>
      <w:r w:rsidRPr="007D5CED">
        <w:rPr>
          <w:lang w:val="en-GB"/>
        </w:rPr>
        <w:t>S10). Considerably fewer young respondents “strongly disagreed” that women lie about domestic violence to gain an advantage in a custody battle (23%; D23), that women lie about sexual assault to</w:t>
      </w:r>
      <w:r w:rsidR="00937040">
        <w:rPr>
          <w:lang w:val="en-GB"/>
        </w:rPr>
        <w:t> </w:t>
      </w:r>
      <w:r w:rsidRPr="007D5CED">
        <w:rPr>
          <w:lang w:val="en-GB"/>
        </w:rPr>
        <w:t xml:space="preserve">“get back at men” (36%; S23) or due to regretting consensual sex (47%; S24), and that women exaggerate the extent of men’s violence (41%; V3). These findings indicate that much work is still needed to challenge deep-seated mistrusting attitudes that women have malicious agendas and ulterior motives when disclosing experiences of violence. </w:t>
      </w:r>
    </w:p>
    <w:p w14:paraId="662F566E" w14:textId="0D98BF21" w:rsidR="004A7872" w:rsidRDefault="007D5CED" w:rsidP="0084332B">
      <w:pPr>
        <w:pStyle w:val="Quote"/>
      </w:pPr>
      <w:r w:rsidRPr="007D5CED">
        <w:t>I think there’s definitely still, I mean, like, undeniably still a portion of young people who think that sex is something that’s owed. Like, even removing gender out of the equation, I think, especially in relationships, we unfortunately still think that, if you’re dating someone, you’re sort of beholden to giving them sex whenever they want.</w:t>
      </w:r>
    </w:p>
    <w:p w14:paraId="7EEF94CE" w14:textId="048A7457" w:rsidR="005F31BF" w:rsidRPr="008C29F3" w:rsidRDefault="007D5CED" w:rsidP="0084332B">
      <w:pPr>
        <w:pStyle w:val="QuoteSignatureLine"/>
      </w:pPr>
      <w:r w:rsidRPr="007D5CED">
        <w:t>– Youth Ambassador</w:t>
      </w:r>
    </w:p>
    <w:p w14:paraId="798E0CB1" w14:textId="37E8FE76" w:rsidR="007D5CED" w:rsidRPr="007D5CED" w:rsidRDefault="00B35F2E" w:rsidP="002A2C0C">
      <w:pPr>
        <w:pStyle w:val="figuretableheading"/>
      </w:pPr>
      <w:bookmarkStart w:id="156" w:name="_Toc187401254"/>
      <w:r>
        <w:lastRenderedPageBreak/>
        <w:t xml:space="preserve">Figure </w:t>
      </w:r>
      <w:r w:rsidR="005B3A89">
        <w:fldChar w:fldCharType="begin"/>
      </w:r>
      <w:r w:rsidR="005B3A89">
        <w:instrText xml:space="preserve"> STYLEREF 1 \s </w:instrText>
      </w:r>
      <w:r w:rsidR="005B3A89">
        <w:fldChar w:fldCharType="separate"/>
      </w:r>
      <w:r w:rsidR="005B3A89">
        <w:t>6</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3</w:t>
      </w:r>
      <w:r w:rsidR="005B3A89">
        <w:fldChar w:fldCharType="end"/>
      </w:r>
      <w:r w:rsidR="007D5CED" w:rsidRPr="007D5CED">
        <w:t>: Mistrusting women’s reports of violence (AVAWS subscale items), 16- to 24-year-olds, 2021</w:t>
      </w:r>
      <w:bookmarkEnd w:id="156"/>
    </w:p>
    <w:p w14:paraId="5989DEE8" w14:textId="305817CD" w:rsidR="00931C8E" w:rsidRDefault="005F31BF" w:rsidP="00A3239A">
      <w:pPr>
        <w:rPr>
          <w:lang w:val="en-GB"/>
        </w:rPr>
      </w:pPr>
      <w:r>
        <w:rPr>
          <w:noProof/>
          <w:lang w:val="en-GB"/>
        </w:rPr>
        <w:drawing>
          <wp:inline distT="0" distB="0" distL="0" distR="0" wp14:anchorId="0E41C17B" wp14:editId="719A49D5">
            <wp:extent cx="6120130" cy="7304405"/>
            <wp:effectExtent l="0" t="0" r="0" b="0"/>
            <wp:docPr id="1775754686" name="Immagine 27" descr="A bar graph that shows opinions on mistrusting women's reports of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54686" name="Immagine 27" descr="A bar graph that shows opinions on mistrusting women's reports of violence. The data in this graph is in the table below."/>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7304405"/>
                    </a:xfrm>
                    <a:prstGeom prst="rect">
                      <a:avLst/>
                    </a:prstGeom>
                  </pic:spPr>
                </pic:pic>
              </a:graphicData>
            </a:graphic>
          </wp:inline>
        </w:drawing>
      </w:r>
    </w:p>
    <w:p w14:paraId="3E95ED63" w14:textId="77777777" w:rsidR="00931C8E" w:rsidRDefault="00931C8E">
      <w:pPr>
        <w:spacing w:before="0" w:after="0" w:line="240" w:lineRule="auto"/>
        <w:rPr>
          <w:lang w:val="en-GB"/>
        </w:rPr>
      </w:pPr>
      <w:r>
        <w:rPr>
          <w:lang w:val="en-GB"/>
        </w:rPr>
        <w:br w:type="page"/>
      </w:r>
    </w:p>
    <w:p w14:paraId="634B5F6C" w14:textId="4E9DD17F" w:rsidR="000222F0" w:rsidRDefault="000222F0" w:rsidP="002A2C0C">
      <w:pPr>
        <w:pStyle w:val="datatableheading"/>
        <w:rPr>
          <w:lang w:val="en-AU"/>
        </w:rPr>
      </w:pPr>
      <w:r>
        <w:rPr>
          <w:lang w:val="en-AU"/>
        </w:rPr>
        <w:lastRenderedPageBreak/>
        <w:t>Data table for figure 6-3</w:t>
      </w:r>
      <w:r w:rsidR="00FA4323">
        <w:rPr>
          <w:lang w:val="en-AU"/>
        </w:rPr>
        <w:t xml:space="preserve">: </w:t>
      </w:r>
      <w:r w:rsidR="008374AE">
        <w:t>Percentage of 16-24-year-old respondents</w:t>
      </w:r>
    </w:p>
    <w:tbl>
      <w:tblPr>
        <w:tblStyle w:val="Table-SingleHeaderRow"/>
        <w:tblW w:w="0" w:type="auto"/>
        <w:tblLayout w:type="fixed"/>
        <w:tblLook w:val="04A0" w:firstRow="1" w:lastRow="0" w:firstColumn="1" w:lastColumn="0" w:noHBand="0" w:noVBand="1"/>
      </w:tblPr>
      <w:tblGrid>
        <w:gridCol w:w="2552"/>
        <w:gridCol w:w="992"/>
        <w:gridCol w:w="1276"/>
        <w:gridCol w:w="1276"/>
        <w:gridCol w:w="992"/>
        <w:gridCol w:w="1200"/>
        <w:gridCol w:w="1350"/>
      </w:tblGrid>
      <w:tr w:rsidR="0074078B" w:rsidRPr="008E6594" w14:paraId="5A4D6699" w14:textId="77777777" w:rsidTr="00EE2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28609CA" w14:textId="77777777" w:rsidR="0074078B" w:rsidRPr="007E1C6F" w:rsidRDefault="0074078B" w:rsidP="00A3239A">
            <w:pPr>
              <w:pStyle w:val="Tablebody"/>
            </w:pPr>
          </w:p>
        </w:tc>
        <w:tc>
          <w:tcPr>
            <w:tcW w:w="992" w:type="dxa"/>
          </w:tcPr>
          <w:p w14:paraId="4B32668B"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276" w:type="dxa"/>
          </w:tcPr>
          <w:p w14:paraId="6794CC5E"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276" w:type="dxa"/>
          </w:tcPr>
          <w:p w14:paraId="5271253D"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992" w:type="dxa"/>
          </w:tcPr>
          <w:p w14:paraId="59AE6EFF"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200" w:type="dxa"/>
          </w:tcPr>
          <w:p w14:paraId="13E524AD"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58BCB3DF" w14:textId="77777777" w:rsidR="0074078B" w:rsidRPr="008E6594" w:rsidRDefault="0074078B"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74078B" w:rsidRPr="00AC30BB" w14:paraId="359EB5DF"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6665EDB2" w14:textId="3CA91D0C" w:rsidR="0074078B" w:rsidRPr="007E1C6F" w:rsidRDefault="00AC30BB" w:rsidP="00A3239A">
            <w:pPr>
              <w:pStyle w:val="Tablebody"/>
            </w:pPr>
            <w:r>
              <w:t>When lesbian or bisexual women claim to have been sexually assaulted by their partner, they probably shouldn’t be taken too seriously (S2) ~</w:t>
            </w:r>
            <w:r w:rsidR="00395283">
              <w:t xml:space="preserve"> </w:t>
            </w:r>
            <w:r w:rsidR="00395283" w:rsidRPr="008C29F3">
              <w:rPr>
                <w:kern w:val="2"/>
                <w:sz w:val="20"/>
                <w:vertAlign w:val="superscript"/>
              </w:rPr>
              <w:t>a</w:t>
            </w:r>
          </w:p>
        </w:tc>
        <w:tc>
          <w:tcPr>
            <w:tcW w:w="992" w:type="dxa"/>
          </w:tcPr>
          <w:p w14:paraId="6F5CB801" w14:textId="0BFB1271"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530BDF3F" w14:textId="5A7652B2"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0980487C" w14:textId="5A80D876" w:rsidR="0074078B" w:rsidRPr="00D621A7" w:rsidRDefault="009B3D87"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8%</w:t>
            </w:r>
          </w:p>
        </w:tc>
        <w:tc>
          <w:tcPr>
            <w:tcW w:w="992" w:type="dxa"/>
          </w:tcPr>
          <w:p w14:paraId="1969734C" w14:textId="0A5F5C21"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87%</w:t>
            </w:r>
          </w:p>
        </w:tc>
        <w:tc>
          <w:tcPr>
            <w:tcW w:w="1200" w:type="dxa"/>
          </w:tcPr>
          <w:p w14:paraId="7D78F190" w14:textId="5A3ADCFD" w:rsidR="0074078B"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23D8220B"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74078B" w:rsidRPr="00AC30BB" w14:paraId="25F5750E"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24B3F67E" w14:textId="607F18BB" w:rsidR="0074078B" w:rsidRPr="007E1C6F" w:rsidRDefault="00AC30BB" w:rsidP="00A3239A">
            <w:pPr>
              <w:pStyle w:val="Tablebody"/>
            </w:pPr>
            <w:r>
              <w:t>If a woman claims to have been sexually assaulted by</w:t>
            </w:r>
            <w:r w:rsidR="00937040">
              <w:t> </w:t>
            </w:r>
            <w:r>
              <w:t>has no other physical injuries she probably shouldn’t been taken too seriously (S22)</w:t>
            </w:r>
            <w:r w:rsidR="00395283">
              <w:t xml:space="preserve"> </w:t>
            </w:r>
            <w:r w:rsidR="00395283" w:rsidRPr="007D05B5">
              <w:rPr>
                <w:kern w:val="2"/>
                <w:sz w:val="20"/>
                <w:vertAlign w:val="superscript"/>
              </w:rPr>
              <w:t>ns</w:t>
            </w:r>
          </w:p>
        </w:tc>
        <w:tc>
          <w:tcPr>
            <w:tcW w:w="992" w:type="dxa"/>
          </w:tcPr>
          <w:p w14:paraId="27040861" w14:textId="1F674078"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60C24B73" w14:textId="49CD2E03"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18D56F4B" w14:textId="1F05C204" w:rsidR="0074078B" w:rsidRPr="00EE22DD" w:rsidRDefault="009B3D8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10%</w:t>
            </w:r>
          </w:p>
        </w:tc>
        <w:tc>
          <w:tcPr>
            <w:tcW w:w="992" w:type="dxa"/>
          </w:tcPr>
          <w:p w14:paraId="4F1B5508" w14:textId="0728488C"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83%</w:t>
            </w:r>
          </w:p>
        </w:tc>
        <w:tc>
          <w:tcPr>
            <w:tcW w:w="1200" w:type="dxa"/>
          </w:tcPr>
          <w:p w14:paraId="6699E401" w14:textId="3860F322" w:rsidR="0074078B"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38CCDADF"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74078B" w:rsidRPr="00AC30BB" w14:paraId="3553BC29"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54985DF8" w14:textId="0B6E4F4B" w:rsidR="0074078B" w:rsidRPr="007E1C6F" w:rsidRDefault="006C4570" w:rsidP="00A3239A">
            <w:pPr>
              <w:pStyle w:val="Tablebody"/>
            </w:pPr>
            <w:r>
              <w:t>Women who wait weeks or</w:t>
            </w:r>
            <w:r w:rsidR="00937040">
              <w:t> </w:t>
            </w:r>
            <w:r>
              <w:t>months to report sexual assault are probably lying (S25)</w:t>
            </w:r>
            <w:r w:rsidR="00395283">
              <w:t xml:space="preserve"> </w:t>
            </w:r>
            <w:r w:rsidR="00395283" w:rsidRPr="007D05B5">
              <w:rPr>
                <w:kern w:val="2"/>
                <w:sz w:val="20"/>
                <w:vertAlign w:val="superscript"/>
              </w:rPr>
              <w:t>ns</w:t>
            </w:r>
          </w:p>
        </w:tc>
        <w:tc>
          <w:tcPr>
            <w:tcW w:w="992" w:type="dxa"/>
          </w:tcPr>
          <w:p w14:paraId="7459E2A9" w14:textId="5C507523"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375958FE" w14:textId="0F40873D"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79B7DBD1" w14:textId="709CBC33" w:rsidR="0074078B" w:rsidRPr="00EE22DD" w:rsidRDefault="009B3D8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16%</w:t>
            </w:r>
          </w:p>
        </w:tc>
        <w:tc>
          <w:tcPr>
            <w:tcW w:w="992" w:type="dxa"/>
          </w:tcPr>
          <w:p w14:paraId="1D78CF13" w14:textId="2F04B66D" w:rsidR="0074078B" w:rsidRPr="007E1C6F"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76%</w:t>
            </w:r>
          </w:p>
        </w:tc>
        <w:tc>
          <w:tcPr>
            <w:tcW w:w="1200" w:type="dxa"/>
          </w:tcPr>
          <w:p w14:paraId="3EACBFFA" w14:textId="301BD6E4" w:rsidR="0074078B" w:rsidRDefault="009B3D87"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044DBCE1"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74078B" w:rsidRPr="00AC30BB" w14:paraId="3D59A4AC"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6866421D" w14:textId="5CDF7111" w:rsidR="0074078B" w:rsidRPr="007E1C6F" w:rsidRDefault="006C4570" w:rsidP="00A3239A">
            <w:pPr>
              <w:pStyle w:val="Tablebody"/>
            </w:pPr>
            <w:r>
              <w:t>Women who wait weeks or</w:t>
            </w:r>
            <w:r w:rsidR="00937040">
              <w:t> </w:t>
            </w:r>
            <w:r>
              <w:t>months to report sexual harassment are probably lying (S10)</w:t>
            </w:r>
            <w:r w:rsidR="00395283">
              <w:t xml:space="preserve"> </w:t>
            </w:r>
            <w:r w:rsidR="00395283" w:rsidRPr="007D05B5">
              <w:rPr>
                <w:kern w:val="2"/>
                <w:sz w:val="20"/>
                <w:vertAlign w:val="superscript"/>
              </w:rPr>
              <w:t>ns</w:t>
            </w:r>
          </w:p>
        </w:tc>
        <w:tc>
          <w:tcPr>
            <w:tcW w:w="992" w:type="dxa"/>
          </w:tcPr>
          <w:p w14:paraId="36034ED8" w14:textId="7A9AA40A" w:rsidR="0074078B" w:rsidRPr="007E1C6F" w:rsidRDefault="00C4453C"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37F4750F" w14:textId="2F662791" w:rsidR="0074078B" w:rsidRPr="007E1C6F" w:rsidRDefault="00C4453C"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383B89F4" w14:textId="2A7906A8" w:rsidR="0074078B" w:rsidRPr="008C29F3" w:rsidRDefault="00C4453C"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sidRPr="008C29F3">
              <w:rPr>
                <w:sz w:val="18"/>
                <w:szCs w:val="18"/>
                <w:lang w:val="en-AU" w:eastAsia="en-AU"/>
              </w:rPr>
              <w:t>16%</w:t>
            </w:r>
          </w:p>
        </w:tc>
        <w:tc>
          <w:tcPr>
            <w:tcW w:w="992" w:type="dxa"/>
          </w:tcPr>
          <w:p w14:paraId="5F2836BF" w14:textId="52D71A47" w:rsidR="0074078B" w:rsidRPr="007E1C6F" w:rsidRDefault="00C4453C" w:rsidP="00A3239A">
            <w:pPr>
              <w:pStyle w:val="Tablebody"/>
              <w:spacing w:line="360" w:lineRule="auto"/>
              <w:cnfStyle w:val="000000000000" w:firstRow="0" w:lastRow="0" w:firstColumn="0" w:lastColumn="0" w:oddVBand="0" w:evenVBand="0" w:oddHBand="0" w:evenHBand="0" w:firstRowFirstColumn="0" w:firstRowLastColumn="0" w:lastRowFirstColumn="0" w:lastRowLastColumn="0"/>
            </w:pPr>
            <w:r>
              <w:t>76%</w:t>
            </w:r>
          </w:p>
        </w:tc>
        <w:tc>
          <w:tcPr>
            <w:tcW w:w="1200" w:type="dxa"/>
          </w:tcPr>
          <w:p w14:paraId="24C926D0" w14:textId="6EF8F1D0" w:rsidR="0074078B"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53E2C2D7"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74078B" w:rsidRPr="00AC30BB" w14:paraId="5FE4EAFF"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330F29E9" w14:textId="69C8B092" w:rsidR="0074078B" w:rsidRPr="007E1C6F" w:rsidRDefault="006C4570" w:rsidP="00A3239A">
            <w:pPr>
              <w:pStyle w:val="Tablebody"/>
            </w:pPr>
            <w:r>
              <w:t>It’s easy for a woman to</w:t>
            </w:r>
            <w:r w:rsidR="00937040">
              <w:t> </w:t>
            </w:r>
            <w:r>
              <w:t>leave an abusive relationship (D28) ^</w:t>
            </w:r>
            <w:r w:rsidR="00395283">
              <w:t xml:space="preserve"> </w:t>
            </w:r>
            <w:r w:rsidR="00395283" w:rsidRPr="008C29F3">
              <w:rPr>
                <w:kern w:val="2"/>
                <w:sz w:val="20"/>
                <w:vertAlign w:val="superscript"/>
              </w:rPr>
              <w:t>a</w:t>
            </w:r>
          </w:p>
        </w:tc>
        <w:tc>
          <w:tcPr>
            <w:tcW w:w="992" w:type="dxa"/>
          </w:tcPr>
          <w:p w14:paraId="67C797CC" w14:textId="33E9C732"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276" w:type="dxa"/>
          </w:tcPr>
          <w:p w14:paraId="6F176A3D" w14:textId="6A6D97BF"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70538D09" w14:textId="52DFC6C6" w:rsidR="0074078B"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22%</w:t>
            </w:r>
          </w:p>
        </w:tc>
        <w:tc>
          <w:tcPr>
            <w:tcW w:w="992" w:type="dxa"/>
          </w:tcPr>
          <w:p w14:paraId="50567B3E" w14:textId="167FBBA5"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200" w:type="dxa"/>
          </w:tcPr>
          <w:p w14:paraId="20C2E5CC" w14:textId="3E685282" w:rsidR="0074078B"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6FF688A4"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74078B" w:rsidRPr="00AC30BB" w14:paraId="4339D499"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6C18165F" w14:textId="6603A98F" w:rsidR="0074078B" w:rsidRPr="007E1C6F" w:rsidRDefault="006C4570" w:rsidP="00A3239A">
            <w:pPr>
              <w:pStyle w:val="Tablebody"/>
            </w:pPr>
            <w:r>
              <w:t>Women with mental health issues who report being sexually assaulted are probably lying (S1) ~</w:t>
            </w:r>
            <w:r w:rsidR="00395283">
              <w:t xml:space="preserve"> </w:t>
            </w:r>
            <w:r w:rsidR="00395283" w:rsidRPr="007D05B5">
              <w:rPr>
                <w:kern w:val="2"/>
                <w:sz w:val="20"/>
                <w:vertAlign w:val="superscript"/>
              </w:rPr>
              <w:t>ns</w:t>
            </w:r>
          </w:p>
        </w:tc>
        <w:tc>
          <w:tcPr>
            <w:tcW w:w="992" w:type="dxa"/>
          </w:tcPr>
          <w:p w14:paraId="731F1D44" w14:textId="05854598"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276" w:type="dxa"/>
          </w:tcPr>
          <w:p w14:paraId="0BB2A321" w14:textId="54643561"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76" w:type="dxa"/>
          </w:tcPr>
          <w:p w14:paraId="5F28F257" w14:textId="26C6DA09" w:rsidR="0074078B"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21%</w:t>
            </w:r>
          </w:p>
        </w:tc>
        <w:tc>
          <w:tcPr>
            <w:tcW w:w="992" w:type="dxa"/>
          </w:tcPr>
          <w:p w14:paraId="40E5ED24" w14:textId="3F8292CA" w:rsidR="0074078B"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200" w:type="dxa"/>
          </w:tcPr>
          <w:p w14:paraId="4FC74961" w14:textId="4CB97BDC" w:rsidR="0074078B"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31%</w:t>
            </w:r>
          </w:p>
        </w:tc>
        <w:tc>
          <w:tcPr>
            <w:tcW w:w="1350" w:type="dxa"/>
          </w:tcPr>
          <w:p w14:paraId="2B56FD22" w14:textId="77777777" w:rsidR="0074078B" w:rsidRDefault="0074078B"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6C4570" w14:paraId="051FCA28"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0CCD598E" w14:textId="2AEF741E" w:rsidR="006C4570" w:rsidRPr="007E1C6F" w:rsidRDefault="006C4570" w:rsidP="00A3239A">
            <w:pPr>
              <w:pStyle w:val="Tablebody"/>
            </w:pPr>
            <w:r>
              <w:t>If a woman keeps going back to her abusive partner then the violence can’t be</w:t>
            </w:r>
            <w:r w:rsidR="00937040">
              <w:t> </w:t>
            </w:r>
            <w:r>
              <w:t>very serious (D27) ^</w:t>
            </w:r>
            <w:r w:rsidR="00395283">
              <w:t xml:space="preserve"> </w:t>
            </w:r>
            <w:r w:rsidR="00395283" w:rsidRPr="007D05B5">
              <w:rPr>
                <w:kern w:val="2"/>
                <w:sz w:val="20"/>
                <w:vertAlign w:val="superscript"/>
              </w:rPr>
              <w:t>ns</w:t>
            </w:r>
          </w:p>
        </w:tc>
        <w:tc>
          <w:tcPr>
            <w:tcW w:w="992" w:type="dxa"/>
          </w:tcPr>
          <w:p w14:paraId="3CF16784" w14:textId="65490CA2"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141CFF02" w14:textId="5ED55BCC"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276" w:type="dxa"/>
          </w:tcPr>
          <w:p w14:paraId="376FB137" w14:textId="1D25B677" w:rsidR="006C4570"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19%</w:t>
            </w:r>
          </w:p>
        </w:tc>
        <w:tc>
          <w:tcPr>
            <w:tcW w:w="992" w:type="dxa"/>
          </w:tcPr>
          <w:p w14:paraId="52EE5B61" w14:textId="35003EA3"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67%</w:t>
            </w:r>
          </w:p>
        </w:tc>
        <w:tc>
          <w:tcPr>
            <w:tcW w:w="1200" w:type="dxa"/>
          </w:tcPr>
          <w:p w14:paraId="1D346E42" w14:textId="0939303B" w:rsidR="006C4570"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7F76A188"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6C4570" w14:paraId="76FD1166"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4A9D3D45" w14:textId="16D4E3AD" w:rsidR="006C4570" w:rsidRPr="007E1C6F" w:rsidRDefault="006C4570" w:rsidP="00A3239A">
            <w:pPr>
              <w:pStyle w:val="Tablebody"/>
            </w:pPr>
            <w:r>
              <w:t>Many allegations of sexual assault made by women are false (S18) ~</w:t>
            </w:r>
            <w:r w:rsidR="00395283">
              <w:t xml:space="preserve"> </w:t>
            </w:r>
            <w:r w:rsidR="00395283" w:rsidRPr="007D05B5">
              <w:rPr>
                <w:kern w:val="2"/>
                <w:sz w:val="20"/>
                <w:vertAlign w:val="superscript"/>
              </w:rPr>
              <w:t>ns</w:t>
            </w:r>
          </w:p>
        </w:tc>
        <w:tc>
          <w:tcPr>
            <w:tcW w:w="992" w:type="dxa"/>
          </w:tcPr>
          <w:p w14:paraId="0D44635A" w14:textId="5A03A232"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276" w:type="dxa"/>
          </w:tcPr>
          <w:p w14:paraId="13A4290C" w14:textId="176B202A"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11%</w:t>
            </w:r>
          </w:p>
        </w:tc>
        <w:tc>
          <w:tcPr>
            <w:tcW w:w="1276" w:type="dxa"/>
          </w:tcPr>
          <w:p w14:paraId="1BC7716D" w14:textId="54BB752F" w:rsidR="006C4570"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30%</w:t>
            </w:r>
          </w:p>
        </w:tc>
        <w:tc>
          <w:tcPr>
            <w:tcW w:w="992" w:type="dxa"/>
          </w:tcPr>
          <w:p w14:paraId="4D5721B0" w14:textId="08E12344"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53%</w:t>
            </w:r>
          </w:p>
        </w:tc>
        <w:tc>
          <w:tcPr>
            <w:tcW w:w="1200" w:type="dxa"/>
          </w:tcPr>
          <w:p w14:paraId="22B43488" w14:textId="12979F45" w:rsidR="006C4570"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350" w:type="dxa"/>
          </w:tcPr>
          <w:p w14:paraId="765005D7"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6C4570" w14:paraId="4BE7F162"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58004424" w14:textId="1850DD51" w:rsidR="006C4570" w:rsidRPr="007E1C6F" w:rsidRDefault="006C4570" w:rsidP="00A3239A">
            <w:pPr>
              <w:pStyle w:val="Tablebody"/>
            </w:pPr>
            <w:r>
              <w:t>A female victim who does not leave an abusive partner is partly responsible for abuse continuing (D29)</w:t>
            </w:r>
            <w:r w:rsidR="00395283">
              <w:t xml:space="preserve"> </w:t>
            </w:r>
            <w:r w:rsidR="00395283" w:rsidRPr="007D05B5">
              <w:rPr>
                <w:kern w:val="2"/>
                <w:sz w:val="20"/>
                <w:vertAlign w:val="superscript"/>
              </w:rPr>
              <w:t>ns</w:t>
            </w:r>
          </w:p>
        </w:tc>
        <w:tc>
          <w:tcPr>
            <w:tcW w:w="992" w:type="dxa"/>
          </w:tcPr>
          <w:p w14:paraId="1D42ED73" w14:textId="78DEBD5E"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2B9C1C7C" w14:textId="09CC5EC4"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22%</w:t>
            </w:r>
          </w:p>
        </w:tc>
        <w:tc>
          <w:tcPr>
            <w:tcW w:w="1276" w:type="dxa"/>
          </w:tcPr>
          <w:p w14:paraId="1EFD945F" w14:textId="183884BB" w:rsidR="006C4570"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21%</w:t>
            </w:r>
          </w:p>
        </w:tc>
        <w:tc>
          <w:tcPr>
            <w:tcW w:w="992" w:type="dxa"/>
          </w:tcPr>
          <w:p w14:paraId="0131B364" w14:textId="7E3D5790"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50%</w:t>
            </w:r>
          </w:p>
        </w:tc>
        <w:tc>
          <w:tcPr>
            <w:tcW w:w="1200" w:type="dxa"/>
          </w:tcPr>
          <w:p w14:paraId="6ABBC39D" w14:textId="024B5D70" w:rsidR="006C4570"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404C5865"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6C4570" w14:paraId="32F5A288"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23CE5740" w14:textId="7572E05A" w:rsidR="006C4570" w:rsidRPr="007E1C6F" w:rsidRDefault="009B3D87" w:rsidP="00A3239A">
            <w:pPr>
              <w:pStyle w:val="Tablebody"/>
            </w:pPr>
            <w:r>
              <w:t>A lot of times, women who say they were raped had led the man on and then had regrets (S24)</w:t>
            </w:r>
            <w:r w:rsidR="00395283">
              <w:t xml:space="preserve"> </w:t>
            </w:r>
            <w:r w:rsidR="00395283" w:rsidRPr="007D05B5">
              <w:rPr>
                <w:kern w:val="2"/>
                <w:sz w:val="20"/>
                <w:vertAlign w:val="superscript"/>
              </w:rPr>
              <w:t>ns</w:t>
            </w:r>
          </w:p>
        </w:tc>
        <w:tc>
          <w:tcPr>
            <w:tcW w:w="992" w:type="dxa"/>
          </w:tcPr>
          <w:p w14:paraId="3DF5EB1F" w14:textId="58EB2262"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1E49D8EF" w14:textId="083C8F5A" w:rsidR="006C4570" w:rsidRPr="007E1C6F" w:rsidRDefault="00BA5115" w:rsidP="00A3239A">
            <w:pPr>
              <w:pStyle w:val="Tablebody"/>
              <w:cnfStyle w:val="000000000000" w:firstRow="0" w:lastRow="0" w:firstColumn="0" w:lastColumn="0" w:oddVBand="0" w:evenVBand="0" w:oddHBand="0" w:evenHBand="0" w:firstRowFirstColumn="0" w:firstRowLastColumn="0" w:lastRowFirstColumn="0" w:lastRowLastColumn="0"/>
            </w:pPr>
            <w:r>
              <w:t>17%</w:t>
            </w:r>
          </w:p>
        </w:tc>
        <w:tc>
          <w:tcPr>
            <w:tcW w:w="1276" w:type="dxa"/>
          </w:tcPr>
          <w:p w14:paraId="1214060B" w14:textId="718E0B2B" w:rsidR="006C4570" w:rsidRPr="00EE22DD" w:rsidRDefault="00BA5115"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25%</w:t>
            </w:r>
          </w:p>
        </w:tc>
        <w:tc>
          <w:tcPr>
            <w:tcW w:w="992" w:type="dxa"/>
          </w:tcPr>
          <w:p w14:paraId="253896D6" w14:textId="34B42CBB"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47%</w:t>
            </w:r>
          </w:p>
        </w:tc>
        <w:tc>
          <w:tcPr>
            <w:tcW w:w="1200" w:type="dxa"/>
          </w:tcPr>
          <w:p w14:paraId="06FF441F" w14:textId="4362BF45" w:rsidR="006C4570"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350" w:type="dxa"/>
          </w:tcPr>
          <w:p w14:paraId="09E50B78" w14:textId="427A9D00" w:rsidR="006C4570"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6C4570" w:rsidRPr="009B3D87" w14:paraId="27A0D0D6"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127DC565" w14:textId="7D90C795" w:rsidR="006C4570" w:rsidRPr="007E1C6F" w:rsidRDefault="009B3D87" w:rsidP="00A3239A">
            <w:pPr>
              <w:pStyle w:val="Tablebody"/>
            </w:pPr>
            <w:r>
              <w:t>Many women exaggerate the extent of men’s violence against women (V3) ^</w:t>
            </w:r>
            <w:r w:rsidR="00395283">
              <w:t xml:space="preserve"> </w:t>
            </w:r>
            <w:r w:rsidR="00395283" w:rsidRPr="007D05B5">
              <w:rPr>
                <w:kern w:val="2"/>
                <w:sz w:val="20"/>
                <w:vertAlign w:val="superscript"/>
              </w:rPr>
              <w:t>ns</w:t>
            </w:r>
          </w:p>
        </w:tc>
        <w:tc>
          <w:tcPr>
            <w:tcW w:w="992" w:type="dxa"/>
          </w:tcPr>
          <w:p w14:paraId="7E0A61EB" w14:textId="7DCC5B9E"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276" w:type="dxa"/>
          </w:tcPr>
          <w:p w14:paraId="6F5B7758" w14:textId="3FB220F4"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20%</w:t>
            </w:r>
          </w:p>
        </w:tc>
        <w:tc>
          <w:tcPr>
            <w:tcW w:w="1276" w:type="dxa"/>
          </w:tcPr>
          <w:p w14:paraId="22FE584B" w14:textId="5754B68E" w:rsidR="006C4570" w:rsidRPr="00EE22DD" w:rsidRDefault="001B663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27%</w:t>
            </w:r>
          </w:p>
        </w:tc>
        <w:tc>
          <w:tcPr>
            <w:tcW w:w="992" w:type="dxa"/>
          </w:tcPr>
          <w:p w14:paraId="128DE953" w14:textId="5895B0C5"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41%</w:t>
            </w:r>
          </w:p>
        </w:tc>
        <w:tc>
          <w:tcPr>
            <w:tcW w:w="1200" w:type="dxa"/>
          </w:tcPr>
          <w:p w14:paraId="693CD1D8" w14:textId="428F2EE8" w:rsidR="006C4570"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350" w:type="dxa"/>
          </w:tcPr>
          <w:p w14:paraId="5D4B2A40"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9B3D87" w14:paraId="78A240CE" w14:textId="77777777" w:rsidTr="00EE22DD">
        <w:tc>
          <w:tcPr>
            <w:cnfStyle w:val="001000000000" w:firstRow="0" w:lastRow="0" w:firstColumn="1" w:lastColumn="0" w:oddVBand="0" w:evenVBand="0" w:oddHBand="0" w:evenHBand="0" w:firstRowFirstColumn="0" w:firstRowLastColumn="0" w:lastRowFirstColumn="0" w:lastRowLastColumn="0"/>
            <w:tcW w:w="2552" w:type="dxa"/>
          </w:tcPr>
          <w:p w14:paraId="10813090" w14:textId="4443B636" w:rsidR="006C4570" w:rsidRPr="007E1C6F" w:rsidRDefault="009B3D87" w:rsidP="00A3239A">
            <w:pPr>
              <w:pStyle w:val="Tablebody"/>
            </w:pPr>
            <w:r>
              <w:t>It is common for sexual assault accusations to be used as a way of getting back at men (S23)</w:t>
            </w:r>
            <w:r w:rsidR="00395283">
              <w:t xml:space="preserve"> </w:t>
            </w:r>
            <w:r w:rsidR="00395283" w:rsidRPr="007D05B5">
              <w:rPr>
                <w:kern w:val="2"/>
                <w:sz w:val="20"/>
                <w:vertAlign w:val="superscript"/>
              </w:rPr>
              <w:t>ns</w:t>
            </w:r>
          </w:p>
        </w:tc>
        <w:tc>
          <w:tcPr>
            <w:tcW w:w="992" w:type="dxa"/>
          </w:tcPr>
          <w:p w14:paraId="4730CA12" w14:textId="18E294D3"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7%</w:t>
            </w:r>
          </w:p>
        </w:tc>
        <w:tc>
          <w:tcPr>
            <w:tcW w:w="1276" w:type="dxa"/>
          </w:tcPr>
          <w:p w14:paraId="35C4F280" w14:textId="0631F498"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26%</w:t>
            </w:r>
          </w:p>
        </w:tc>
        <w:tc>
          <w:tcPr>
            <w:tcW w:w="1276" w:type="dxa"/>
          </w:tcPr>
          <w:p w14:paraId="5F97E9CC" w14:textId="4239A7FD" w:rsidR="006C4570" w:rsidRPr="00EE22DD" w:rsidRDefault="001B663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25%</w:t>
            </w:r>
          </w:p>
        </w:tc>
        <w:tc>
          <w:tcPr>
            <w:tcW w:w="992" w:type="dxa"/>
          </w:tcPr>
          <w:p w14:paraId="61F11405" w14:textId="4377A8E8"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36%</w:t>
            </w:r>
          </w:p>
        </w:tc>
        <w:tc>
          <w:tcPr>
            <w:tcW w:w="1200" w:type="dxa"/>
          </w:tcPr>
          <w:p w14:paraId="7899E6A5" w14:textId="7EF3D14C" w:rsidR="006C4570"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350" w:type="dxa"/>
          </w:tcPr>
          <w:p w14:paraId="4332382F"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9B3D87" w14:paraId="0B87A78E" w14:textId="77777777" w:rsidTr="00931C8E">
        <w:trPr>
          <w:cantSplit/>
        </w:trPr>
        <w:tc>
          <w:tcPr>
            <w:cnfStyle w:val="001000000000" w:firstRow="0" w:lastRow="0" w:firstColumn="1" w:lastColumn="0" w:oddVBand="0" w:evenVBand="0" w:oddHBand="0" w:evenHBand="0" w:firstRowFirstColumn="0" w:firstRowLastColumn="0" w:lastRowFirstColumn="0" w:lastRowLastColumn="0"/>
            <w:tcW w:w="2552" w:type="dxa"/>
          </w:tcPr>
          <w:p w14:paraId="5B296C38" w14:textId="0A1E7F06" w:rsidR="006C4570" w:rsidRPr="007E1C6F" w:rsidRDefault="009B3D87" w:rsidP="00A3239A">
            <w:pPr>
              <w:pStyle w:val="Tablebody"/>
            </w:pPr>
            <w:r>
              <w:lastRenderedPageBreak/>
              <w:t>Women going through custody battles often make up or exaggerate claims of</w:t>
            </w:r>
            <w:r w:rsidR="00937040">
              <w:t> </w:t>
            </w:r>
            <w:r>
              <w:t>domestic violence in order to improve their case (D23) ^</w:t>
            </w:r>
            <w:r w:rsidR="00395283" w:rsidRPr="007D05B5">
              <w:rPr>
                <w:kern w:val="2"/>
                <w:sz w:val="20"/>
                <w:vertAlign w:val="superscript"/>
              </w:rPr>
              <w:t xml:space="preserve"> ns</w:t>
            </w:r>
          </w:p>
        </w:tc>
        <w:tc>
          <w:tcPr>
            <w:tcW w:w="992" w:type="dxa"/>
          </w:tcPr>
          <w:p w14:paraId="5F299993" w14:textId="1A55C246"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276" w:type="dxa"/>
          </w:tcPr>
          <w:p w14:paraId="59F5988F" w14:textId="12C3DB01"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25%</w:t>
            </w:r>
          </w:p>
        </w:tc>
        <w:tc>
          <w:tcPr>
            <w:tcW w:w="1276" w:type="dxa"/>
          </w:tcPr>
          <w:p w14:paraId="3DEA7EF7" w14:textId="200DCC48" w:rsidR="006C4570" w:rsidRPr="00EE22DD" w:rsidRDefault="001B6637"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33%</w:t>
            </w:r>
          </w:p>
        </w:tc>
        <w:tc>
          <w:tcPr>
            <w:tcW w:w="992" w:type="dxa"/>
          </w:tcPr>
          <w:p w14:paraId="68159B7A" w14:textId="0F7253A9" w:rsidR="006C4570" w:rsidRPr="007E1C6F"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23%</w:t>
            </w:r>
          </w:p>
        </w:tc>
        <w:tc>
          <w:tcPr>
            <w:tcW w:w="1200" w:type="dxa"/>
          </w:tcPr>
          <w:p w14:paraId="1FFA77AE" w14:textId="559642FC" w:rsidR="006C4570" w:rsidRDefault="001B6637" w:rsidP="00A3239A">
            <w:pPr>
              <w:pStyle w:val="Tablebody"/>
              <w:cnfStyle w:val="000000000000" w:firstRow="0" w:lastRow="0" w:firstColumn="0" w:lastColumn="0" w:oddVBand="0" w:evenVBand="0" w:oddHBand="0" w:evenHBand="0" w:firstRowFirstColumn="0" w:firstRowLastColumn="0" w:lastRowFirstColumn="0" w:lastRowLastColumn="0"/>
            </w:pPr>
            <w:r>
              <w:t>13%</w:t>
            </w:r>
          </w:p>
        </w:tc>
        <w:tc>
          <w:tcPr>
            <w:tcW w:w="1350" w:type="dxa"/>
          </w:tcPr>
          <w:p w14:paraId="66CE1850"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193946D2" w14:textId="292B3A18" w:rsidR="007D5CED" w:rsidRPr="00937040" w:rsidRDefault="007D5CED" w:rsidP="00A3239A">
      <w:pPr>
        <w:pStyle w:val="Normal8pt"/>
        <w:rPr>
          <w:spacing w:val="-2"/>
        </w:rPr>
      </w:pPr>
      <w:r w:rsidRPr="008C29F3">
        <w:rPr>
          <w:b/>
          <w:spacing w:val="-2"/>
        </w:rPr>
        <w:t>Note</w:t>
      </w:r>
      <w:r w:rsidRPr="00937040">
        <w:rPr>
          <w:bCs/>
          <w:spacing w:val="-2"/>
        </w:rPr>
        <w:t xml:space="preserve">: </w:t>
      </w:r>
      <w:r w:rsidRPr="00937040">
        <w:rPr>
          <w:rStyle w:val="Emphasis"/>
          <w:spacing w:val="-2"/>
        </w:rPr>
        <w:t xml:space="preserve">N </w:t>
      </w:r>
      <w:r w:rsidRPr="00937040">
        <w:rPr>
          <w:spacing w:val="-2"/>
        </w:rPr>
        <w:t>= 1,665 unless otherwise noted. Percentages in the figure do not always add to 100 due to rounding. Significant</w:t>
      </w:r>
      <w:r w:rsidR="00937040" w:rsidRPr="00937040">
        <w:rPr>
          <w:spacing w:val="-2"/>
        </w:rPr>
        <w:t> </w:t>
      </w:r>
      <w:r w:rsidRPr="00937040">
        <w:rPr>
          <w:spacing w:val="-2"/>
        </w:rPr>
        <w:t>differences over time are based on the percentage of respondents who answered “strongly disagree” or “somewhat disagree”.</w:t>
      </w:r>
    </w:p>
    <w:p w14:paraId="455EA647" w14:textId="77777777" w:rsidR="007D5CED" w:rsidRPr="00937040" w:rsidRDefault="007D5CED" w:rsidP="00A3239A">
      <w:pPr>
        <w:pStyle w:val="Normal8pt"/>
        <w:rPr>
          <w:spacing w:val="-2"/>
        </w:rPr>
      </w:pPr>
      <w:r w:rsidRPr="00937040">
        <w:rPr>
          <w:bCs/>
          <w:spacing w:val="-2"/>
        </w:rPr>
        <w:t>ns</w:t>
      </w:r>
      <w:r w:rsidRPr="00937040">
        <w:rPr>
          <w:spacing w:val="-2"/>
        </w:rPr>
        <w:t xml:space="preserve"> No significant difference between 2021 and 2017. Change over time results are discussed in Section 6.1.</w:t>
      </w:r>
    </w:p>
    <w:p w14:paraId="5B1DD047" w14:textId="77777777" w:rsidR="007D5CED" w:rsidRPr="00937040" w:rsidRDefault="007D5CED" w:rsidP="00A3239A">
      <w:pPr>
        <w:pStyle w:val="Normal8pt"/>
        <w:rPr>
          <w:spacing w:val="-2"/>
        </w:rPr>
      </w:pPr>
      <w:r w:rsidRPr="00937040">
        <w:rPr>
          <w:bCs/>
          <w:spacing w:val="-2"/>
        </w:rPr>
        <w:t>a</w:t>
      </w:r>
      <w:r w:rsidRPr="00937040">
        <w:rPr>
          <w:spacing w:val="-2"/>
        </w:rPr>
        <w:t xml:space="preserve"> New item in 2021. Thus, change over time could not be examined.</w:t>
      </w:r>
    </w:p>
    <w:p w14:paraId="21CC0F82" w14:textId="77777777" w:rsidR="007D5CED" w:rsidRPr="00937040" w:rsidRDefault="007D5CED" w:rsidP="00A3239A">
      <w:pPr>
        <w:pStyle w:val="Normal8pt"/>
        <w:rPr>
          <w:spacing w:val="-2"/>
        </w:rPr>
      </w:pPr>
      <w:r w:rsidRPr="00937040">
        <w:rPr>
          <w:rFonts w:ascii="Montserrat" w:hAnsi="Montserrat" w:cs="Montserrat"/>
          <w:bCs/>
          <w:spacing w:val="-2"/>
        </w:rPr>
        <w:t>~</w:t>
      </w:r>
      <w:r w:rsidRPr="00937040">
        <w:rPr>
          <w:spacing w:val="-2"/>
        </w:rPr>
        <w:t xml:space="preserve"> Asked of one quarter of the sample in 2021.</w:t>
      </w:r>
    </w:p>
    <w:p w14:paraId="2C7BAE4B" w14:textId="77777777" w:rsidR="007D5CED" w:rsidRPr="00937040" w:rsidRDefault="007D5CED" w:rsidP="00A3239A">
      <w:pPr>
        <w:pStyle w:val="Normal8pt"/>
        <w:rPr>
          <w:spacing w:val="-2"/>
        </w:rPr>
      </w:pPr>
      <w:r w:rsidRPr="00937040">
        <w:rPr>
          <w:bCs/>
          <w:spacing w:val="-2"/>
        </w:rPr>
        <w:t>^</w:t>
      </w:r>
      <w:r w:rsidRPr="00937040">
        <w:rPr>
          <w:spacing w:val="-2"/>
        </w:rPr>
        <w:t xml:space="preserve"> Asked of half the sample in 2021.</w:t>
      </w:r>
    </w:p>
    <w:p w14:paraId="1FDA3257" w14:textId="693463FA" w:rsidR="007D5CED" w:rsidRDefault="007D5CED" w:rsidP="00A3239A">
      <w:pPr>
        <w:rPr>
          <w:lang w:val="en-GB"/>
        </w:rPr>
      </w:pPr>
      <w:r w:rsidRPr="007D5CED">
        <w:rPr>
          <w:lang w:val="en-GB"/>
        </w:rPr>
        <w:t>Figure 6-4 presents young respondents’ rejection in 2021 of different attitudes that objectify women and disregard the need to gain women’s consent, according to the 11 standalone items in the Objectify</w:t>
      </w:r>
      <w:r w:rsidR="00937040">
        <w:rPr>
          <w:lang w:val="en-GB"/>
        </w:rPr>
        <w:t> </w:t>
      </w:r>
      <w:r w:rsidRPr="007D5CED">
        <w:rPr>
          <w:lang w:val="en-GB"/>
        </w:rPr>
        <w:t>Women Subscale.</w:t>
      </w:r>
      <w:r w:rsidRPr="007D5CED">
        <w:rPr>
          <w:vertAlign w:val="superscript"/>
          <w:lang w:val="en-GB"/>
        </w:rPr>
        <w:footnoteReference w:id="29"/>
      </w:r>
      <w:r w:rsidRPr="007D5CED">
        <w:rPr>
          <w:lang w:val="en-GB"/>
        </w:rPr>
        <w:t xml:space="preserve"> In 2021, most young respondents “strongly disagreed” (55–87%) with the attitudes described by each of the standalone items. In particular, the highest level of rejection was for attitudes that rape or forced sexual touching are understandable or partly due to the victim’s behaviour, with</w:t>
      </w:r>
      <w:r w:rsidR="00937040">
        <w:rPr>
          <w:lang w:val="en-GB"/>
        </w:rPr>
        <w:t> </w:t>
      </w:r>
      <w:r w:rsidRPr="007D5CED">
        <w:rPr>
          <w:lang w:val="en-GB"/>
        </w:rPr>
        <w:t>more than 8 in 10 young respondents (81–87%) “strongly” disagreeing with these attitudes (S4,</w:t>
      </w:r>
      <w:r w:rsidR="00937040">
        <w:rPr>
          <w:lang w:val="en-GB"/>
        </w:rPr>
        <w:t> </w:t>
      </w:r>
      <w:r w:rsidRPr="007D5CED">
        <w:rPr>
          <w:lang w:val="en-GB"/>
        </w:rPr>
        <w:t>S21, S7, S17, S20). However, 7 in 10 or fewer young respondents (55–70%) “strongly disagreed” with</w:t>
      </w:r>
      <w:r w:rsidR="00937040">
        <w:rPr>
          <w:lang w:val="en-GB"/>
        </w:rPr>
        <w:t> </w:t>
      </w:r>
      <w:r w:rsidRPr="007D5CED">
        <w:rPr>
          <w:lang w:val="en-GB"/>
        </w:rPr>
        <w:t>three items that describe disregarding the need for consent. These three items describe sharing a</w:t>
      </w:r>
      <w:r w:rsidR="00937040">
        <w:rPr>
          <w:lang w:val="en-GB"/>
        </w:rPr>
        <w:t> </w:t>
      </w:r>
      <w:r w:rsidRPr="007D5CED">
        <w:rPr>
          <w:lang w:val="en-GB"/>
        </w:rPr>
        <w:t>naked picture (S6) or persistently pursuing a woman (S11) without consent, and</w:t>
      </w:r>
      <w:r w:rsidR="00937040">
        <w:rPr>
          <w:lang w:val="en-GB"/>
        </w:rPr>
        <w:t> </w:t>
      </w:r>
      <w:r w:rsidRPr="007D5CED">
        <w:rPr>
          <w:lang w:val="en-GB"/>
        </w:rPr>
        <w:t>an</w:t>
      </w:r>
      <w:r w:rsidR="00937040">
        <w:rPr>
          <w:lang w:val="en-GB"/>
        </w:rPr>
        <w:t> </w:t>
      </w:r>
      <w:r w:rsidRPr="007D5CED">
        <w:rPr>
          <w:lang w:val="en-GB"/>
        </w:rPr>
        <w:t>aroused man not realising that the woman does not consent (S8). In fact, a sizeable minority of</w:t>
      </w:r>
      <w:r w:rsidR="00937040">
        <w:rPr>
          <w:lang w:val="en-GB"/>
        </w:rPr>
        <w:t> </w:t>
      </w:r>
      <w:r w:rsidRPr="007D5CED">
        <w:rPr>
          <w:lang w:val="en-GB"/>
        </w:rPr>
        <w:t>young respondents agreed (“somewhat” or “strongly”) with these three items (11–29%).</w:t>
      </w:r>
    </w:p>
    <w:p w14:paraId="10C9E4D6" w14:textId="1B17D8F5" w:rsidR="007D5CED" w:rsidRPr="007D5CED" w:rsidRDefault="005F31BF" w:rsidP="002A2C0C">
      <w:pPr>
        <w:pStyle w:val="figuretableheading"/>
      </w:pPr>
      <w:bookmarkStart w:id="157" w:name="_Toc187401255"/>
      <w:r>
        <w:lastRenderedPageBreak/>
        <w:t xml:space="preserve">Figure </w:t>
      </w:r>
      <w:r w:rsidR="005B3A89">
        <w:fldChar w:fldCharType="begin"/>
      </w:r>
      <w:r w:rsidR="005B3A89">
        <w:instrText xml:space="preserve"> STYLEREF 1 \s </w:instrText>
      </w:r>
      <w:r w:rsidR="005B3A89">
        <w:fldChar w:fldCharType="separate"/>
      </w:r>
      <w:r w:rsidR="005B3A89">
        <w:t>6</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4</w:t>
      </w:r>
      <w:r w:rsidR="005B3A89">
        <w:fldChar w:fldCharType="end"/>
      </w:r>
      <w:r w:rsidR="007D5CED" w:rsidRPr="007D5CED">
        <w:t>: Objectifying women and disregarding consent (AVAWS subscale items), 16- to 24-year-olds, 2021</w:t>
      </w:r>
      <w:bookmarkEnd w:id="157"/>
    </w:p>
    <w:p w14:paraId="2C5CA62F" w14:textId="76F553FF" w:rsidR="007D5CED" w:rsidRDefault="00F251D6" w:rsidP="00A3239A">
      <w:pPr>
        <w:spacing w:before="0" w:after="0"/>
        <w:rPr>
          <w:lang w:val="en-GB"/>
        </w:rPr>
      </w:pPr>
      <w:r>
        <w:rPr>
          <w:noProof/>
          <w:lang w:val="en-GB"/>
        </w:rPr>
        <w:drawing>
          <wp:inline distT="0" distB="0" distL="0" distR="0" wp14:anchorId="3CA456B9" wp14:editId="21952432">
            <wp:extent cx="6120130" cy="5145405"/>
            <wp:effectExtent l="0" t="0" r="0" b="635"/>
            <wp:docPr id="503166231" name="Immagine 29" descr="A bar graph that shows the 16 to 24 year old respondents' opinions on objectifying women and disregarding consent.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6231" name="Immagine 29" descr="A bar graph that shows the 16 to 24 year old respondents' opinions on objectifying women and disregarding consent. The data in this graph is in the table below."/>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5145405"/>
                    </a:xfrm>
                    <a:prstGeom prst="rect">
                      <a:avLst/>
                    </a:prstGeom>
                  </pic:spPr>
                </pic:pic>
              </a:graphicData>
            </a:graphic>
          </wp:inline>
        </w:drawing>
      </w:r>
    </w:p>
    <w:p w14:paraId="4BF604E2" w14:textId="346B6F38" w:rsidR="007C7437" w:rsidRPr="007D5CED" w:rsidRDefault="007C7437" w:rsidP="002A2C0C">
      <w:pPr>
        <w:pStyle w:val="datatableheading"/>
        <w:rPr>
          <w:lang w:val="en-GB"/>
        </w:rPr>
      </w:pPr>
      <w:r>
        <w:t>Data table for figure 6-4</w:t>
      </w:r>
      <w:r w:rsidR="00FA4323">
        <w:t xml:space="preserve">: </w:t>
      </w:r>
      <w:r w:rsidR="008374AE">
        <w:t>Percentage of 16-24-year-old respondents</w:t>
      </w:r>
    </w:p>
    <w:tbl>
      <w:tblPr>
        <w:tblStyle w:val="Table-SingleHeaderRow"/>
        <w:tblW w:w="9685" w:type="dxa"/>
        <w:tblLayout w:type="fixed"/>
        <w:tblLook w:val="04A0" w:firstRow="1" w:lastRow="0" w:firstColumn="1" w:lastColumn="0" w:noHBand="0" w:noVBand="1"/>
      </w:tblPr>
      <w:tblGrid>
        <w:gridCol w:w="2778"/>
        <w:gridCol w:w="992"/>
        <w:gridCol w:w="1191"/>
        <w:gridCol w:w="1191"/>
        <w:gridCol w:w="992"/>
        <w:gridCol w:w="1191"/>
        <w:gridCol w:w="1350"/>
      </w:tblGrid>
      <w:tr w:rsidR="006C4570" w:rsidRPr="008E6594" w14:paraId="69509D4B" w14:textId="77777777" w:rsidTr="009370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tcPr>
          <w:p w14:paraId="4F68E612" w14:textId="77777777" w:rsidR="006C4570" w:rsidRPr="007E1C6F" w:rsidRDefault="006C4570" w:rsidP="00A3239A">
            <w:pPr>
              <w:pStyle w:val="Tablebody"/>
            </w:pPr>
          </w:p>
        </w:tc>
        <w:tc>
          <w:tcPr>
            <w:tcW w:w="992" w:type="dxa"/>
          </w:tcPr>
          <w:p w14:paraId="064F325C"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191" w:type="dxa"/>
          </w:tcPr>
          <w:p w14:paraId="274BA387"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191" w:type="dxa"/>
          </w:tcPr>
          <w:p w14:paraId="1BCD3D0C"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992" w:type="dxa"/>
          </w:tcPr>
          <w:p w14:paraId="2BABC862"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191" w:type="dxa"/>
          </w:tcPr>
          <w:p w14:paraId="783314F7"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5AB83EDD" w14:textId="77777777" w:rsidR="006C4570" w:rsidRPr="008E6594" w:rsidRDefault="006C4570"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6C4570" w:rsidRPr="00513492" w14:paraId="642D6251"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54AF2D7F" w14:textId="138A25F7" w:rsidR="006C4570" w:rsidRPr="007E1C6F" w:rsidRDefault="003F299B" w:rsidP="00A3239A">
            <w:pPr>
              <w:pStyle w:val="Tablebody"/>
            </w:pPr>
            <w:r>
              <w:t xml:space="preserve">If a woman is drunk and starts having sex with a man, but then falls asleep, it is understandable if he continues having sex with her anyway (S4) ^ </w:t>
            </w:r>
            <w:r w:rsidR="00395283" w:rsidRPr="007D05B5">
              <w:rPr>
                <w:kern w:val="2"/>
                <w:sz w:val="20"/>
                <w:vertAlign w:val="superscript"/>
              </w:rPr>
              <w:t>ns</w:t>
            </w:r>
          </w:p>
        </w:tc>
        <w:tc>
          <w:tcPr>
            <w:tcW w:w="992" w:type="dxa"/>
          </w:tcPr>
          <w:p w14:paraId="5F714683" w14:textId="645C9090"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91" w:type="dxa"/>
          </w:tcPr>
          <w:p w14:paraId="17AB0694" w14:textId="32E92D96"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17282054" w14:textId="7D79D2AB" w:rsidR="006C4570" w:rsidRPr="00D621A7" w:rsidRDefault="0051349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8%</w:t>
            </w:r>
          </w:p>
        </w:tc>
        <w:tc>
          <w:tcPr>
            <w:tcW w:w="992" w:type="dxa"/>
          </w:tcPr>
          <w:p w14:paraId="796CF1B5" w14:textId="258FE9DA"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87%</w:t>
            </w:r>
          </w:p>
        </w:tc>
        <w:tc>
          <w:tcPr>
            <w:tcW w:w="1191" w:type="dxa"/>
          </w:tcPr>
          <w:p w14:paraId="6381999F" w14:textId="33E6FC12" w:rsidR="006C457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7DEF661D"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513492" w14:paraId="4134BA96"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3C2199F6" w14:textId="1C4604E0" w:rsidR="006C4570" w:rsidRPr="007E1C6F" w:rsidRDefault="003F299B" w:rsidP="00A3239A">
            <w:pPr>
              <w:pStyle w:val="Tablebody"/>
            </w:pPr>
            <w:r>
              <w:t>If a woman meets up with a</w:t>
            </w:r>
            <w:r w:rsidR="00937040">
              <w:t> </w:t>
            </w:r>
            <w:r>
              <w:t>man she met on a dating app, she’s partl</w:t>
            </w:r>
            <w:r w:rsidR="00776D5C">
              <w:t>y responsible if he forces sex on her (S21) ^</w:t>
            </w:r>
            <w:r w:rsidR="00395283">
              <w:t xml:space="preserve"> </w:t>
            </w:r>
            <w:r w:rsidR="00395283" w:rsidRPr="008C29F3">
              <w:rPr>
                <w:kern w:val="2"/>
                <w:sz w:val="20"/>
                <w:vertAlign w:val="superscript"/>
              </w:rPr>
              <w:t>a</w:t>
            </w:r>
          </w:p>
        </w:tc>
        <w:tc>
          <w:tcPr>
            <w:tcW w:w="992" w:type="dxa"/>
          </w:tcPr>
          <w:p w14:paraId="701C58B7" w14:textId="2CB0EC68"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0A846955" w14:textId="4679369D"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191" w:type="dxa"/>
          </w:tcPr>
          <w:p w14:paraId="14C9974E" w14:textId="1C9973EC" w:rsidR="006C457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7%</w:t>
            </w:r>
          </w:p>
        </w:tc>
        <w:tc>
          <w:tcPr>
            <w:tcW w:w="992" w:type="dxa"/>
          </w:tcPr>
          <w:p w14:paraId="14BE525F" w14:textId="585573EA"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87%</w:t>
            </w:r>
          </w:p>
        </w:tc>
        <w:tc>
          <w:tcPr>
            <w:tcW w:w="1191" w:type="dxa"/>
          </w:tcPr>
          <w:p w14:paraId="646AC17A"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c>
          <w:tcPr>
            <w:tcW w:w="1350" w:type="dxa"/>
          </w:tcPr>
          <w:p w14:paraId="6E8D63A6"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6C4570" w:rsidRPr="00513492" w14:paraId="28648256"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5190052C" w14:textId="29FF0B57" w:rsidR="006C4570" w:rsidRPr="007E1C6F" w:rsidRDefault="00776D5C" w:rsidP="00A3239A">
            <w:pPr>
              <w:pStyle w:val="Tablebody"/>
            </w:pPr>
            <w:r>
              <w:t>Since some women are so</w:t>
            </w:r>
            <w:r w:rsidR="00937040">
              <w:t> </w:t>
            </w:r>
            <w:r>
              <w:t xml:space="preserve">sexual </w:t>
            </w:r>
            <w:r w:rsidR="00937040">
              <w:t xml:space="preserve">in </w:t>
            </w:r>
            <w:r>
              <w:t>public, it’s understandable that some men think they can touch women without permission (S7)</w:t>
            </w:r>
            <w:r w:rsidR="00395283">
              <w:t xml:space="preserve"> </w:t>
            </w:r>
            <w:r w:rsidR="00395283" w:rsidRPr="008C29F3">
              <w:rPr>
                <w:kern w:val="2"/>
                <w:sz w:val="20"/>
                <w:vertAlign w:val="superscript"/>
              </w:rPr>
              <w:t>*</w:t>
            </w:r>
          </w:p>
        </w:tc>
        <w:tc>
          <w:tcPr>
            <w:tcW w:w="992" w:type="dxa"/>
          </w:tcPr>
          <w:p w14:paraId="1D235BB4" w14:textId="5B40AC8F"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7081BF63" w14:textId="5FFB7AA1"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191" w:type="dxa"/>
          </w:tcPr>
          <w:p w14:paraId="3C981F3E" w14:textId="757B2301" w:rsidR="006C457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6%</w:t>
            </w:r>
          </w:p>
        </w:tc>
        <w:tc>
          <w:tcPr>
            <w:tcW w:w="992" w:type="dxa"/>
          </w:tcPr>
          <w:p w14:paraId="32F3651E" w14:textId="788C8403" w:rsidR="006C457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86%</w:t>
            </w:r>
          </w:p>
        </w:tc>
        <w:tc>
          <w:tcPr>
            <w:tcW w:w="1191" w:type="dxa"/>
          </w:tcPr>
          <w:p w14:paraId="3E7AF056" w14:textId="58169A97" w:rsidR="006C457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0D62F52D" w14:textId="77777777" w:rsidR="006C4570" w:rsidRDefault="006C4570" w:rsidP="00A3239A">
            <w:pPr>
              <w:pStyle w:val="Tablebody"/>
              <w:cnfStyle w:val="000000000000" w:firstRow="0" w:lastRow="0" w:firstColumn="0" w:lastColumn="0" w:oddVBand="0" w:evenVBand="0" w:oddHBand="0" w:evenHBand="0" w:firstRowFirstColumn="0" w:firstRowLastColumn="0" w:lastRowFirstColumn="0" w:lastRowLastColumn="0"/>
            </w:pPr>
          </w:p>
        </w:tc>
      </w:tr>
      <w:tr w:rsidR="00CE2900" w:rsidRPr="00513492" w14:paraId="3339729E" w14:textId="77777777" w:rsidTr="00931C8E">
        <w:trPr>
          <w:cantSplit/>
        </w:trPr>
        <w:tc>
          <w:tcPr>
            <w:cnfStyle w:val="001000000000" w:firstRow="0" w:lastRow="0" w:firstColumn="1" w:lastColumn="0" w:oddVBand="0" w:evenVBand="0" w:oddHBand="0" w:evenHBand="0" w:firstRowFirstColumn="0" w:firstRowLastColumn="0" w:lastRowFirstColumn="0" w:lastRowLastColumn="0"/>
            <w:tcW w:w="2778" w:type="dxa"/>
          </w:tcPr>
          <w:p w14:paraId="237A70BD" w14:textId="66F81538" w:rsidR="00CE2900" w:rsidRPr="00395283" w:rsidRDefault="00435D57" w:rsidP="00A3239A">
            <w:pPr>
              <w:pStyle w:val="Tablebody"/>
            </w:pPr>
            <w:r>
              <w:lastRenderedPageBreak/>
              <w:t>If</w:t>
            </w:r>
            <w:r w:rsidR="00776D5C">
              <w:t xml:space="preserve"> a woman doesn’t physically resist – even if protesting verbally – then it isn’t really rape (S20)</w:t>
            </w:r>
            <w:r w:rsidR="00395283">
              <w:t xml:space="preserve"> </w:t>
            </w:r>
            <w:r w:rsidR="00395283" w:rsidRPr="007D05B5">
              <w:rPr>
                <w:kern w:val="2"/>
                <w:sz w:val="20"/>
                <w:vertAlign w:val="superscript"/>
              </w:rPr>
              <w:t>ns</w:t>
            </w:r>
          </w:p>
        </w:tc>
        <w:tc>
          <w:tcPr>
            <w:tcW w:w="992" w:type="dxa"/>
          </w:tcPr>
          <w:p w14:paraId="2B43C2BA" w14:textId="77FB7D62"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91" w:type="dxa"/>
          </w:tcPr>
          <w:p w14:paraId="619218A9" w14:textId="58770592"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191" w:type="dxa"/>
          </w:tcPr>
          <w:p w14:paraId="3CC8E2FC" w14:textId="630158CF" w:rsidR="00CE290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8%</w:t>
            </w:r>
          </w:p>
        </w:tc>
        <w:tc>
          <w:tcPr>
            <w:tcW w:w="992" w:type="dxa"/>
          </w:tcPr>
          <w:p w14:paraId="01B8C45A" w14:textId="2C893EB5"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85%</w:t>
            </w:r>
          </w:p>
        </w:tc>
        <w:tc>
          <w:tcPr>
            <w:tcW w:w="1191" w:type="dxa"/>
          </w:tcPr>
          <w:p w14:paraId="28516C44" w14:textId="00CD6D40"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56B32FB1" w14:textId="5587B5EE"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CE2900" w:rsidRPr="00513492" w14:paraId="1FF699D1"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52D06ED2" w14:textId="2CE5A074" w:rsidR="00CE2900" w:rsidRPr="007E1C6F" w:rsidRDefault="00BA2A32" w:rsidP="00A3239A">
            <w:pPr>
              <w:pStyle w:val="Tablebody"/>
            </w:pPr>
            <w:r>
              <w:t>If a woman is raped while drunk or affected by drugs she is a least partly responsible (S20)</w:t>
            </w:r>
            <w:r w:rsidR="00395283">
              <w:t xml:space="preserve"> </w:t>
            </w:r>
            <w:r w:rsidR="00395283" w:rsidRPr="007D05B5">
              <w:rPr>
                <w:kern w:val="2"/>
                <w:sz w:val="20"/>
                <w:vertAlign w:val="superscript"/>
              </w:rPr>
              <w:t>ns</w:t>
            </w:r>
          </w:p>
        </w:tc>
        <w:tc>
          <w:tcPr>
            <w:tcW w:w="992" w:type="dxa"/>
          </w:tcPr>
          <w:p w14:paraId="21384369" w14:textId="17E2A732"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067ED3D0" w14:textId="606FDC12"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5%</w:t>
            </w:r>
          </w:p>
        </w:tc>
        <w:tc>
          <w:tcPr>
            <w:tcW w:w="1191" w:type="dxa"/>
          </w:tcPr>
          <w:p w14:paraId="4A907CAC" w14:textId="191328B7" w:rsidR="00CE290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11%</w:t>
            </w:r>
          </w:p>
        </w:tc>
        <w:tc>
          <w:tcPr>
            <w:tcW w:w="992" w:type="dxa"/>
          </w:tcPr>
          <w:p w14:paraId="240BAF79" w14:textId="364422F1"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81%</w:t>
            </w:r>
          </w:p>
        </w:tc>
        <w:tc>
          <w:tcPr>
            <w:tcW w:w="1191" w:type="dxa"/>
          </w:tcPr>
          <w:p w14:paraId="6F577864" w14:textId="71C0C1A6"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09B28074" w14:textId="77777777" w:rsidR="00CE2900" w:rsidRDefault="00CE2900" w:rsidP="00A3239A">
            <w:pPr>
              <w:pStyle w:val="Tablebody"/>
              <w:cnfStyle w:val="000000000000" w:firstRow="0" w:lastRow="0" w:firstColumn="0" w:lastColumn="0" w:oddVBand="0" w:evenVBand="0" w:oddHBand="0" w:evenHBand="0" w:firstRowFirstColumn="0" w:firstRowLastColumn="0" w:lastRowFirstColumn="0" w:lastRowLastColumn="0"/>
            </w:pPr>
          </w:p>
        </w:tc>
      </w:tr>
      <w:tr w:rsidR="00CE2900" w:rsidRPr="00513492" w14:paraId="1F26629D"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2A210619" w14:textId="45EB2ED7" w:rsidR="00CE2900" w:rsidRPr="007E1C6F" w:rsidRDefault="00BA2A32" w:rsidP="00A3239A">
            <w:pPr>
              <w:pStyle w:val="Tablebody"/>
            </w:pPr>
            <w:r>
              <w:t>Women often say “no” when they mean “yes” (55) ^</w:t>
            </w:r>
            <w:r w:rsidR="00395283">
              <w:t xml:space="preserve"> </w:t>
            </w:r>
            <w:r w:rsidR="00395283" w:rsidRPr="007D05B5">
              <w:rPr>
                <w:kern w:val="2"/>
                <w:sz w:val="20"/>
                <w:vertAlign w:val="superscript"/>
              </w:rPr>
              <w:t>ns</w:t>
            </w:r>
          </w:p>
        </w:tc>
        <w:tc>
          <w:tcPr>
            <w:tcW w:w="992" w:type="dxa"/>
          </w:tcPr>
          <w:p w14:paraId="4FF3B430" w14:textId="0CB6F9FB"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53547DBD" w14:textId="02522616"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191" w:type="dxa"/>
          </w:tcPr>
          <w:p w14:paraId="6B688F81" w14:textId="5E4B8320" w:rsidR="00CE290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12%</w:t>
            </w:r>
          </w:p>
        </w:tc>
        <w:tc>
          <w:tcPr>
            <w:tcW w:w="992" w:type="dxa"/>
          </w:tcPr>
          <w:p w14:paraId="25562B85" w14:textId="54F82033"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75%</w:t>
            </w:r>
          </w:p>
        </w:tc>
        <w:tc>
          <w:tcPr>
            <w:tcW w:w="1191" w:type="dxa"/>
          </w:tcPr>
          <w:p w14:paraId="75D05745" w14:textId="3EE085AD"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50" w:type="dxa"/>
          </w:tcPr>
          <w:p w14:paraId="54B0D69F" w14:textId="77777777" w:rsidR="00CE2900" w:rsidRDefault="00CE2900" w:rsidP="00A3239A">
            <w:pPr>
              <w:pStyle w:val="Tablebody"/>
              <w:cnfStyle w:val="000000000000" w:firstRow="0" w:lastRow="0" w:firstColumn="0" w:lastColumn="0" w:oddVBand="0" w:evenVBand="0" w:oddHBand="0" w:evenHBand="0" w:firstRowFirstColumn="0" w:firstRowLastColumn="0" w:lastRowFirstColumn="0" w:lastRowLastColumn="0"/>
            </w:pPr>
          </w:p>
        </w:tc>
      </w:tr>
      <w:tr w:rsidR="00CE2900" w:rsidRPr="00513492" w14:paraId="2A767B31"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5F7C0867" w14:textId="3218CFC6" w:rsidR="00CE2900" w:rsidRPr="007E1C6F" w:rsidRDefault="00BA2A32" w:rsidP="00A3239A">
            <w:pPr>
              <w:pStyle w:val="Tablebody"/>
            </w:pPr>
            <w:r>
              <w:t>Women who flirt all the time are somewhat to blame if their partner gets jealous and hits them (D26) ^</w:t>
            </w:r>
            <w:r w:rsidR="00395283">
              <w:t xml:space="preserve"> </w:t>
            </w:r>
            <w:r w:rsidR="00395283" w:rsidRPr="007D05B5">
              <w:rPr>
                <w:kern w:val="2"/>
                <w:sz w:val="20"/>
                <w:vertAlign w:val="superscript"/>
              </w:rPr>
              <w:t>ns</w:t>
            </w:r>
          </w:p>
        </w:tc>
        <w:tc>
          <w:tcPr>
            <w:tcW w:w="992" w:type="dxa"/>
          </w:tcPr>
          <w:p w14:paraId="345B5200" w14:textId="6BF48C2D"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2E65AA22" w14:textId="074E18C4"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191" w:type="dxa"/>
          </w:tcPr>
          <w:p w14:paraId="0D3CB5EB" w14:textId="4E405359" w:rsidR="00CE290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15%</w:t>
            </w:r>
          </w:p>
        </w:tc>
        <w:tc>
          <w:tcPr>
            <w:tcW w:w="992" w:type="dxa"/>
          </w:tcPr>
          <w:p w14:paraId="6D1BAA7F" w14:textId="5587220A"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73%</w:t>
            </w:r>
          </w:p>
        </w:tc>
        <w:tc>
          <w:tcPr>
            <w:tcW w:w="1191" w:type="dxa"/>
          </w:tcPr>
          <w:p w14:paraId="5968B7D5" w14:textId="4260D0F2"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21613D39" w14:textId="77777777" w:rsidR="00CE2900" w:rsidRDefault="00CE2900" w:rsidP="00A3239A">
            <w:pPr>
              <w:pStyle w:val="Tablebody"/>
              <w:cnfStyle w:val="000000000000" w:firstRow="0" w:lastRow="0" w:firstColumn="0" w:lastColumn="0" w:oddVBand="0" w:evenVBand="0" w:oddHBand="0" w:evenHBand="0" w:firstRowFirstColumn="0" w:firstRowLastColumn="0" w:lastRowFirstColumn="0" w:lastRowLastColumn="0"/>
            </w:pPr>
          </w:p>
        </w:tc>
      </w:tr>
      <w:tr w:rsidR="00CE2900" w:rsidRPr="00513492" w14:paraId="4133FE7A"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7A4FF30C" w14:textId="3159FAB8" w:rsidR="00CE2900" w:rsidRPr="007E1C6F" w:rsidRDefault="00E94389" w:rsidP="00A3239A">
            <w:pPr>
              <w:pStyle w:val="Tablebody"/>
            </w:pPr>
            <w:r>
              <w:t>A woman should be flattered if she get wolf-whistles or cat-calls when walking past a group of men in public (S3) ^</w:t>
            </w:r>
            <w:r w:rsidR="00395283">
              <w:t xml:space="preserve"> </w:t>
            </w:r>
            <w:r w:rsidR="00395283" w:rsidRPr="008C29F3">
              <w:rPr>
                <w:kern w:val="2"/>
                <w:sz w:val="20"/>
                <w:vertAlign w:val="superscript"/>
              </w:rPr>
              <w:t>a</w:t>
            </w:r>
          </w:p>
        </w:tc>
        <w:tc>
          <w:tcPr>
            <w:tcW w:w="992" w:type="dxa"/>
          </w:tcPr>
          <w:p w14:paraId="682C077F" w14:textId="4B0AFAA0"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7C2881F4" w14:textId="3A9BC689"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191" w:type="dxa"/>
          </w:tcPr>
          <w:p w14:paraId="390E6048" w14:textId="0B9A2444" w:rsidR="00CE2900"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20%</w:t>
            </w:r>
          </w:p>
        </w:tc>
        <w:tc>
          <w:tcPr>
            <w:tcW w:w="992" w:type="dxa"/>
          </w:tcPr>
          <w:p w14:paraId="779080B2" w14:textId="35D9126B" w:rsidR="00CE2900"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71%</w:t>
            </w:r>
          </w:p>
        </w:tc>
        <w:tc>
          <w:tcPr>
            <w:tcW w:w="1191" w:type="dxa"/>
          </w:tcPr>
          <w:p w14:paraId="7DA624FF" w14:textId="1AA42FE5" w:rsidR="00CE2900"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350" w:type="dxa"/>
          </w:tcPr>
          <w:p w14:paraId="69E6400C" w14:textId="77777777" w:rsidR="00CE2900" w:rsidRDefault="00CE2900" w:rsidP="00A3239A">
            <w:pPr>
              <w:pStyle w:val="Tablebody"/>
              <w:cnfStyle w:val="000000000000" w:firstRow="0" w:lastRow="0" w:firstColumn="0" w:lastColumn="0" w:oddVBand="0" w:evenVBand="0" w:oddHBand="0" w:evenHBand="0" w:firstRowFirstColumn="0" w:firstRowLastColumn="0" w:lastRowFirstColumn="0" w:lastRowLastColumn="0"/>
            </w:pPr>
          </w:p>
        </w:tc>
      </w:tr>
      <w:tr w:rsidR="00E94389" w:rsidRPr="00513492" w14:paraId="245A4622"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3E54B4EB" w14:textId="5110BC15" w:rsidR="00E94389" w:rsidRPr="007E1C6F" w:rsidRDefault="00E94389" w:rsidP="00A3239A">
            <w:pPr>
              <w:pStyle w:val="Tablebody"/>
            </w:pPr>
            <w:r>
              <w:t>If a wom</w:t>
            </w:r>
            <w:r w:rsidR="00395283">
              <w:t>a</w:t>
            </w:r>
            <w:r>
              <w:t>n sends a naked picture to her partner, then she is partly responsible if he shares it without her permission (S6)</w:t>
            </w:r>
            <w:r w:rsidR="00395283">
              <w:t xml:space="preserve"> </w:t>
            </w:r>
            <w:r w:rsidR="00395283" w:rsidRPr="008C29F3">
              <w:rPr>
                <w:kern w:val="2"/>
                <w:sz w:val="20"/>
                <w:vertAlign w:val="superscript"/>
              </w:rPr>
              <w:t>*</w:t>
            </w:r>
          </w:p>
        </w:tc>
        <w:tc>
          <w:tcPr>
            <w:tcW w:w="992" w:type="dxa"/>
          </w:tcPr>
          <w:p w14:paraId="52AD6B52" w14:textId="492885BB"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6%</w:t>
            </w:r>
          </w:p>
        </w:tc>
        <w:tc>
          <w:tcPr>
            <w:tcW w:w="1191" w:type="dxa"/>
          </w:tcPr>
          <w:p w14:paraId="61FAFB5C" w14:textId="695B1BCF"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12%</w:t>
            </w:r>
          </w:p>
        </w:tc>
        <w:tc>
          <w:tcPr>
            <w:tcW w:w="1191" w:type="dxa"/>
          </w:tcPr>
          <w:p w14:paraId="7489D8B4" w14:textId="50DAB2B2" w:rsidR="00E94389"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11%</w:t>
            </w:r>
          </w:p>
        </w:tc>
        <w:tc>
          <w:tcPr>
            <w:tcW w:w="992" w:type="dxa"/>
          </w:tcPr>
          <w:p w14:paraId="674B5AE3" w14:textId="17D5E03E"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1191" w:type="dxa"/>
          </w:tcPr>
          <w:p w14:paraId="50EAAD13" w14:textId="23935679" w:rsidR="00E94389"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55FEA058" w14:textId="77777777" w:rsidR="00E94389" w:rsidRDefault="00E94389" w:rsidP="00A3239A">
            <w:pPr>
              <w:pStyle w:val="Tablebody"/>
              <w:cnfStyle w:val="000000000000" w:firstRow="0" w:lastRow="0" w:firstColumn="0" w:lastColumn="0" w:oddVBand="0" w:evenVBand="0" w:oddHBand="0" w:evenHBand="0" w:firstRowFirstColumn="0" w:firstRowLastColumn="0" w:lastRowFirstColumn="0" w:lastRowLastColumn="0"/>
            </w:pPr>
          </w:p>
        </w:tc>
      </w:tr>
      <w:tr w:rsidR="00E94389" w:rsidRPr="00513492" w14:paraId="444E8214"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028C7D6C" w14:textId="30BEE978" w:rsidR="00E94389" w:rsidRPr="007E1C6F" w:rsidRDefault="00E94389" w:rsidP="00A3239A">
            <w:pPr>
              <w:pStyle w:val="Tablebody"/>
            </w:pPr>
            <w:r>
              <w:t>Women find it flattering to be persistently pursued, even if they are not interested (S11) ^</w:t>
            </w:r>
            <w:r w:rsidR="00395283">
              <w:t xml:space="preserve"> </w:t>
            </w:r>
            <w:r w:rsidR="00395283" w:rsidRPr="008C29F3">
              <w:rPr>
                <w:kern w:val="2"/>
                <w:sz w:val="20"/>
                <w:vertAlign w:val="superscript"/>
              </w:rPr>
              <w:t>*</w:t>
            </w:r>
          </w:p>
        </w:tc>
        <w:tc>
          <w:tcPr>
            <w:tcW w:w="992" w:type="dxa"/>
          </w:tcPr>
          <w:p w14:paraId="62B44351" w14:textId="1752BB8F"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38876547" w14:textId="525D795B"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10%</w:t>
            </w:r>
          </w:p>
        </w:tc>
        <w:tc>
          <w:tcPr>
            <w:tcW w:w="1191" w:type="dxa"/>
          </w:tcPr>
          <w:p w14:paraId="3D452005" w14:textId="7602591D" w:rsidR="00E94389"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20%</w:t>
            </w:r>
          </w:p>
        </w:tc>
        <w:tc>
          <w:tcPr>
            <w:tcW w:w="992" w:type="dxa"/>
          </w:tcPr>
          <w:p w14:paraId="1FEA47BF" w14:textId="7ECED05F"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191" w:type="dxa"/>
          </w:tcPr>
          <w:p w14:paraId="79CF1B63" w14:textId="06D8539D" w:rsidR="00E94389"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50" w:type="dxa"/>
          </w:tcPr>
          <w:p w14:paraId="195A9D3A" w14:textId="77777777" w:rsidR="00E94389" w:rsidRDefault="00E94389" w:rsidP="00A3239A">
            <w:pPr>
              <w:pStyle w:val="Tablebody"/>
              <w:cnfStyle w:val="000000000000" w:firstRow="0" w:lastRow="0" w:firstColumn="0" w:lastColumn="0" w:oddVBand="0" w:evenVBand="0" w:oddHBand="0" w:evenHBand="0" w:firstRowFirstColumn="0" w:firstRowLastColumn="0" w:lastRowFirstColumn="0" w:lastRowLastColumn="0"/>
            </w:pPr>
          </w:p>
        </w:tc>
      </w:tr>
      <w:tr w:rsidR="00E94389" w:rsidRPr="00513492" w14:paraId="1B8C8548" w14:textId="77777777" w:rsidTr="00937040">
        <w:tc>
          <w:tcPr>
            <w:cnfStyle w:val="001000000000" w:firstRow="0" w:lastRow="0" w:firstColumn="1" w:lastColumn="0" w:oddVBand="0" w:evenVBand="0" w:oddHBand="0" w:evenHBand="0" w:firstRowFirstColumn="0" w:firstRowLastColumn="0" w:lastRowFirstColumn="0" w:lastRowLastColumn="0"/>
            <w:tcW w:w="2778" w:type="dxa"/>
          </w:tcPr>
          <w:p w14:paraId="26325AC6" w14:textId="454DB8F5" w:rsidR="00E94389" w:rsidRPr="007E1C6F" w:rsidRDefault="00E94389" w:rsidP="00A3239A">
            <w:pPr>
              <w:pStyle w:val="Tablebody"/>
            </w:pPr>
            <w:r>
              <w:t>When a man is very sexually aroused, he may not even realise that the woman doesn’t want to have sex (S8)</w:t>
            </w:r>
            <w:r w:rsidR="00395283">
              <w:t xml:space="preserve"> </w:t>
            </w:r>
            <w:r w:rsidR="00395283" w:rsidRPr="007D05B5">
              <w:rPr>
                <w:kern w:val="2"/>
                <w:sz w:val="20"/>
                <w:vertAlign w:val="superscript"/>
              </w:rPr>
              <w:t>ns</w:t>
            </w:r>
          </w:p>
        </w:tc>
        <w:tc>
          <w:tcPr>
            <w:tcW w:w="992" w:type="dxa"/>
          </w:tcPr>
          <w:p w14:paraId="74D129E7" w14:textId="382184F3"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191" w:type="dxa"/>
          </w:tcPr>
          <w:p w14:paraId="17418A2B" w14:textId="601A5D83"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19%</w:t>
            </w:r>
          </w:p>
        </w:tc>
        <w:tc>
          <w:tcPr>
            <w:tcW w:w="1191" w:type="dxa"/>
          </w:tcPr>
          <w:p w14:paraId="485E41DA" w14:textId="391C2ADC" w:rsidR="00E94389" w:rsidRPr="00EE22DD" w:rsidRDefault="00513492" w:rsidP="00A3239A">
            <w:pPr>
              <w:cnfStyle w:val="000000000000" w:firstRow="0" w:lastRow="0" w:firstColumn="0" w:lastColumn="0" w:oddVBand="0" w:evenVBand="0" w:oddHBand="0" w:evenHBand="0" w:firstRowFirstColumn="0" w:firstRowLastColumn="0" w:lastRowFirstColumn="0" w:lastRowLastColumn="0"/>
              <w:rPr>
                <w:sz w:val="18"/>
                <w:szCs w:val="18"/>
                <w:lang w:val="en-AU" w:eastAsia="en-AU"/>
              </w:rPr>
            </w:pPr>
            <w:r>
              <w:rPr>
                <w:sz w:val="18"/>
                <w:szCs w:val="18"/>
                <w:lang w:val="en-AU" w:eastAsia="en-AU"/>
              </w:rPr>
              <w:t>12%</w:t>
            </w:r>
          </w:p>
        </w:tc>
        <w:tc>
          <w:tcPr>
            <w:tcW w:w="992" w:type="dxa"/>
          </w:tcPr>
          <w:p w14:paraId="631124CE" w14:textId="0834EC60"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55%</w:t>
            </w:r>
          </w:p>
        </w:tc>
        <w:tc>
          <w:tcPr>
            <w:tcW w:w="1191" w:type="dxa"/>
          </w:tcPr>
          <w:p w14:paraId="23BDE029" w14:textId="35083617" w:rsidR="00E94389"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350" w:type="dxa"/>
          </w:tcPr>
          <w:p w14:paraId="464D38E5" w14:textId="77777777" w:rsidR="00E94389" w:rsidRDefault="00E94389"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796014A4" w14:textId="20827601" w:rsidR="007D5CED" w:rsidRPr="002D73FE" w:rsidRDefault="007D5CED" w:rsidP="00A3239A">
      <w:pPr>
        <w:pStyle w:val="TablefigurenoteTABLESFIGURESSTYLES"/>
      </w:pPr>
      <w:r w:rsidRPr="008C29F3">
        <w:rPr>
          <w:b/>
          <w:bCs/>
        </w:rPr>
        <w:t>Note:</w:t>
      </w:r>
      <w:r w:rsidRPr="002D73FE">
        <w:t xml:space="preserve"> </w:t>
      </w:r>
      <w:r w:rsidRPr="008C29F3">
        <w:rPr>
          <w:rStyle w:val="Emphasis"/>
          <w:b/>
          <w:bCs/>
          <w:i w:val="0"/>
          <w:iCs w:val="0"/>
          <w:sz w:val="16"/>
        </w:rPr>
        <w:t xml:space="preserve">N </w:t>
      </w:r>
      <w:r w:rsidRPr="002D73FE">
        <w:t>= 1,654 unless otherwise noted. Percentages in the figure do not always add to 100 or exactly correspond to percentages in the text due to rounding. Significant differences over time are based on the percentage of respondents who answered “strongly disagree” or “somewhat disagree”.</w:t>
      </w:r>
    </w:p>
    <w:p w14:paraId="7604C0ED" w14:textId="77777777" w:rsidR="007D5CED" w:rsidRPr="007D5CED" w:rsidRDefault="007D5CED" w:rsidP="00A3239A">
      <w:pPr>
        <w:pStyle w:val="Normal8pt"/>
      </w:pPr>
      <w:r w:rsidRPr="007D5CED">
        <w:rPr>
          <w:bCs/>
        </w:rPr>
        <w:t>*</w:t>
      </w:r>
      <w:r w:rsidRPr="007D5CED">
        <w:t xml:space="preserve"> Significantly higher understanding in 2021 than 2017. Change over time results are discussed in Section 6.1.</w:t>
      </w:r>
    </w:p>
    <w:p w14:paraId="2F6A2CEC" w14:textId="77777777" w:rsidR="007D5CED" w:rsidRPr="007D5CED" w:rsidRDefault="007D5CED" w:rsidP="00A3239A">
      <w:pPr>
        <w:pStyle w:val="Normal8pt"/>
      </w:pPr>
      <w:r w:rsidRPr="007D5CED">
        <w:rPr>
          <w:bCs/>
        </w:rPr>
        <w:t>ns</w:t>
      </w:r>
      <w:r w:rsidRPr="007D5CED">
        <w:t xml:space="preserve"> No significant difference between 2021 and 2017.</w:t>
      </w:r>
    </w:p>
    <w:p w14:paraId="174A3812" w14:textId="77777777" w:rsidR="007D5CED" w:rsidRPr="007D5CED" w:rsidRDefault="007D5CED" w:rsidP="00A3239A">
      <w:pPr>
        <w:pStyle w:val="Normal8pt"/>
      </w:pPr>
      <w:r w:rsidRPr="007D5CED">
        <w:rPr>
          <w:bCs/>
        </w:rPr>
        <w:t>a</w:t>
      </w:r>
      <w:r w:rsidRPr="007D5CED">
        <w:t xml:space="preserve"> New item in 2021. Thus, change over time could not be examined.</w:t>
      </w:r>
    </w:p>
    <w:p w14:paraId="1555D851" w14:textId="77777777" w:rsidR="007D5CED" w:rsidRPr="007D5CED" w:rsidRDefault="007D5CED" w:rsidP="00A3239A">
      <w:pPr>
        <w:pStyle w:val="Normal8pt"/>
      </w:pPr>
      <w:r w:rsidRPr="007D5CED">
        <w:rPr>
          <w:rFonts w:ascii="Montserrat" w:hAnsi="Montserrat" w:cs="Montserrat"/>
          <w:bCs/>
        </w:rPr>
        <w:t>~</w:t>
      </w:r>
      <w:r w:rsidRPr="007D5CED">
        <w:t xml:space="preserve"> Asked of one quarter of the sample in 2021.</w:t>
      </w:r>
    </w:p>
    <w:p w14:paraId="54EA911E" w14:textId="77777777" w:rsidR="006C5088" w:rsidRDefault="007D5CED" w:rsidP="006C5088">
      <w:pPr>
        <w:pStyle w:val="Normal8pt"/>
      </w:pPr>
      <w:r w:rsidRPr="007D5CED">
        <w:rPr>
          <w:bCs/>
        </w:rPr>
        <w:t>^</w:t>
      </w:r>
      <w:r w:rsidRPr="007D5CED">
        <w:t xml:space="preserve"> Asked of half the sample in 2021. </w:t>
      </w:r>
      <w:bookmarkStart w:id="158" w:name="_Toc152532402"/>
    </w:p>
    <w:p w14:paraId="6EF6E1A2" w14:textId="151154B0" w:rsidR="007D5CED" w:rsidRPr="007D5CED" w:rsidRDefault="007D5CED" w:rsidP="00DC3FE8">
      <w:pPr>
        <w:pStyle w:val="Heading3"/>
      </w:pPr>
      <w:bookmarkStart w:id="159" w:name="_Toc190941688"/>
      <w:bookmarkStart w:id="160" w:name="_Toc190942388"/>
      <w:r w:rsidRPr="007D5CED">
        <w:t>6.3</w:t>
      </w:r>
      <w:r w:rsidR="006C5088">
        <w:t xml:space="preserve"> </w:t>
      </w:r>
      <w:r w:rsidRPr="007D5CED">
        <w:t>Comparing by gender: Young people’s attitudes towards violence against women</w:t>
      </w:r>
      <w:bookmarkEnd w:id="158"/>
      <w:bookmarkEnd w:id="159"/>
      <w:bookmarkEnd w:id="160"/>
      <w:r w:rsidRPr="007D5CED">
        <w:t xml:space="preserve"> </w:t>
      </w:r>
    </w:p>
    <w:p w14:paraId="103B08DA" w14:textId="3554F5E3" w:rsidR="007D5CED" w:rsidRPr="007D5CED" w:rsidRDefault="007D5CED" w:rsidP="00A3239A">
      <w:pPr>
        <w:rPr>
          <w:lang w:val="en-GB"/>
        </w:rPr>
      </w:pPr>
      <w:r w:rsidRPr="007D5CED">
        <w:rPr>
          <w:lang w:val="en-GB"/>
        </w:rPr>
        <w:t>Like the results for all NCAS respondents (Main report), the results for young respondents demonstrate a gender difference indicating that young women are more likely than young men to reject violence against women. In 2021, young women respondents had significantly higher rejection of violence against women than young men respondents, according to mean scores on the AVAWS and all three of</w:t>
      </w:r>
      <w:r w:rsidR="00937040">
        <w:rPr>
          <w:lang w:val="en-GB"/>
        </w:rPr>
        <w:t> </w:t>
      </w:r>
      <w:r w:rsidRPr="007D5CED">
        <w:rPr>
          <w:lang w:val="en-GB"/>
        </w:rPr>
        <w:t xml:space="preserve">its subscales. These differences indicate that compared to young men, young women demonstrated significantly higher rejection of attitudes that minimise violence, mistrust women’s reports of violence, and objectify women and disregard consent (Figure 6-5). </w:t>
      </w:r>
    </w:p>
    <w:p w14:paraId="4E7D4888" w14:textId="04E83D7E" w:rsidR="00B74E21" w:rsidRDefault="007D5CED" w:rsidP="00A3239A">
      <w:pPr>
        <w:suppressAutoHyphens/>
        <w:autoSpaceDE w:val="0"/>
        <w:autoSpaceDN w:val="0"/>
        <w:adjustRightInd w:val="0"/>
        <w:spacing w:before="57" w:after="227" w:line="240" w:lineRule="atLeast"/>
        <w:jc w:val="both"/>
        <w:textAlignment w:val="center"/>
        <w:rPr>
          <w:rFonts w:ascii="Hind SemiBold" w:hAnsi="Hind SemiBold" w:cs="Open Sans"/>
          <w:kern w:val="0"/>
          <w:sz w:val="18"/>
          <w:szCs w:val="14"/>
          <w:lang w:val="en-US"/>
        </w:rPr>
      </w:pPr>
      <w:r w:rsidRPr="007D5CED">
        <w:rPr>
          <w:rFonts w:cs="Open Sans"/>
          <w:color w:val="000000"/>
          <w:kern w:val="0"/>
          <w:szCs w:val="18"/>
          <w:lang w:val="en-GB"/>
        </w:rPr>
        <w:t xml:space="preserve">Young non-binary respondents were also compared with both young men and young women on the AVAWS and its three subscales. Only one significant difference was found, showing that young non-binary respondents </w:t>
      </w:r>
      <w:r w:rsidRPr="007D5CED">
        <w:rPr>
          <w:rFonts w:cs="Open Sans"/>
          <w:color w:val="000000"/>
          <w:kern w:val="0"/>
          <w:szCs w:val="18"/>
          <w:lang w:val="en-GB"/>
        </w:rPr>
        <w:lastRenderedPageBreak/>
        <w:t>were significantly more likely than young men to reject attitudes that mistrust women’s reports of violence, according to mean scores on the Mistrust Women Subscale.</w:t>
      </w:r>
      <w:r w:rsidRPr="007D5CED">
        <w:rPr>
          <w:rFonts w:cs="Open Sans"/>
          <w:color w:val="000000"/>
          <w:kern w:val="0"/>
          <w:szCs w:val="18"/>
          <w:vertAlign w:val="superscript"/>
          <w:lang w:val="en-GB"/>
        </w:rPr>
        <w:footnoteReference w:id="30"/>
      </w:r>
    </w:p>
    <w:p w14:paraId="7B145035" w14:textId="6B595634" w:rsidR="006C5088" w:rsidRDefault="00F251D6" w:rsidP="006C5088">
      <w:pPr>
        <w:pStyle w:val="figuretableheading"/>
      </w:pPr>
      <w:bookmarkStart w:id="161" w:name="_Toc187401256"/>
      <w:r>
        <w:t xml:space="preserve">Figure </w:t>
      </w:r>
      <w:r w:rsidR="005B3A89">
        <w:fldChar w:fldCharType="begin"/>
      </w:r>
      <w:r w:rsidR="005B3A89">
        <w:instrText xml:space="preserve"> STYLEREF 1 \s </w:instrText>
      </w:r>
      <w:r w:rsidR="005B3A89">
        <w:fldChar w:fldCharType="separate"/>
      </w:r>
      <w:r w:rsidR="005B3A89">
        <w:t>6</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5</w:t>
      </w:r>
      <w:r w:rsidR="005B3A89">
        <w:fldChar w:fldCharType="end"/>
      </w:r>
      <w:r w:rsidR="007D5CED" w:rsidRPr="007D5CED">
        <w:t>: Rejection of different aspects of violence against women (AVAWS and subscales) by gender, 16</w:t>
      </w:r>
      <w:r w:rsidR="00C84D75">
        <w:noBreakHyphen/>
      </w:r>
      <w:r w:rsidR="007D5CED" w:rsidRPr="007D5CED">
        <w:t>to</w:t>
      </w:r>
      <w:r w:rsidR="00C84D75">
        <w:t> </w:t>
      </w:r>
      <w:r w:rsidR="007D5CED" w:rsidRPr="007D5CED">
        <w:t>24</w:t>
      </w:r>
      <w:r w:rsidR="00C84D75">
        <w:noBreakHyphen/>
      </w:r>
      <w:r w:rsidR="007D5CED" w:rsidRPr="007D5CED">
        <w:t>year</w:t>
      </w:r>
      <w:r w:rsidR="00C84D75">
        <w:noBreakHyphen/>
      </w:r>
      <w:r w:rsidR="007D5CED" w:rsidRPr="007D5CED">
        <w:t>olds, 2021</w:t>
      </w:r>
    </w:p>
    <w:p w14:paraId="0363B6BF" w14:textId="24F8E274" w:rsidR="007D5CED" w:rsidRDefault="00B74E21" w:rsidP="006C5088">
      <w:r w:rsidRPr="006C5088">
        <w:rPr>
          <w:noProof/>
        </w:rPr>
        <w:drawing>
          <wp:inline distT="0" distB="0" distL="0" distR="0" wp14:anchorId="35234DBB" wp14:editId="7697333A">
            <wp:extent cx="6120130" cy="3566160"/>
            <wp:effectExtent l="0" t="0" r="0" b="0"/>
            <wp:docPr id="1908744564" name="Immagine 30" descr="A bar graph that shows the 16 to 24 year old respondents' opinions on the rejection of different aspects of violence against women.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44564" name="Immagine 30" descr="A bar graph that shows the 16 to 24 year old respondents' opinions on the rejection of different aspects of violence against women. The data in this graph is in the table below."/>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3566160"/>
                    </a:xfrm>
                    <a:prstGeom prst="rect">
                      <a:avLst/>
                    </a:prstGeom>
                  </pic:spPr>
                </pic:pic>
              </a:graphicData>
            </a:graphic>
          </wp:inline>
        </w:drawing>
      </w:r>
      <w:bookmarkEnd w:id="161"/>
    </w:p>
    <w:p w14:paraId="0052F05C" w14:textId="6EEFDC44" w:rsidR="007C7437" w:rsidRPr="007D5CED" w:rsidRDefault="007C7437" w:rsidP="002A2C0C">
      <w:pPr>
        <w:pStyle w:val="datatableheading"/>
        <w:rPr>
          <w:lang w:val="en-GB"/>
        </w:rPr>
      </w:pPr>
      <w:r>
        <w:t>Data table for figure 6-5</w:t>
      </w:r>
      <w:r w:rsidR="00435D57">
        <w:t xml:space="preserve">: </w:t>
      </w:r>
      <w:r w:rsidR="00435D57" w:rsidRPr="007D5CED">
        <w:t>Rejection of violence against women (</w:t>
      </w:r>
      <w:r w:rsidR="008374AE">
        <w:t>mean score</w:t>
      </w:r>
      <w:r w:rsidR="00435D57" w:rsidRPr="007D5CED">
        <w:t>)</w:t>
      </w:r>
    </w:p>
    <w:tbl>
      <w:tblPr>
        <w:tblStyle w:val="Table-SingleHeaderRow"/>
        <w:tblW w:w="0" w:type="auto"/>
        <w:tblLook w:val="04A0" w:firstRow="1" w:lastRow="0" w:firstColumn="1" w:lastColumn="0" w:noHBand="0" w:noVBand="1"/>
      </w:tblPr>
      <w:tblGrid>
        <w:gridCol w:w="2012"/>
        <w:gridCol w:w="1813"/>
        <w:gridCol w:w="1704"/>
        <w:gridCol w:w="1417"/>
        <w:gridCol w:w="2410"/>
      </w:tblGrid>
      <w:tr w:rsidR="00E94389" w:rsidRPr="005E68EB" w14:paraId="56FB40DD" w14:textId="77777777" w:rsidTr="00EE2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2" w:type="dxa"/>
          </w:tcPr>
          <w:p w14:paraId="7000CB32" w14:textId="77777777" w:rsidR="00E94389" w:rsidRPr="008E6594" w:rsidRDefault="00E94389" w:rsidP="00A3239A">
            <w:pPr>
              <w:pStyle w:val="Tablebody"/>
              <w:rPr>
                <w:b w:val="0"/>
                <w:bCs/>
              </w:rPr>
            </w:pPr>
          </w:p>
        </w:tc>
        <w:tc>
          <w:tcPr>
            <w:tcW w:w="1813" w:type="dxa"/>
          </w:tcPr>
          <w:p w14:paraId="6980313A" w14:textId="77777777" w:rsidR="00E94389" w:rsidRPr="005E68EB" w:rsidRDefault="00E9438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All young respondents</w:t>
            </w:r>
          </w:p>
        </w:tc>
        <w:tc>
          <w:tcPr>
            <w:tcW w:w="1704" w:type="dxa"/>
          </w:tcPr>
          <w:p w14:paraId="75ED65D8" w14:textId="77777777" w:rsidR="00E94389" w:rsidRDefault="00E9438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men</w:t>
            </w:r>
          </w:p>
        </w:tc>
        <w:tc>
          <w:tcPr>
            <w:tcW w:w="1417" w:type="dxa"/>
          </w:tcPr>
          <w:p w14:paraId="2F68FF43" w14:textId="77777777" w:rsidR="00E94389" w:rsidRPr="005E68EB" w:rsidRDefault="00E9438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women</w:t>
            </w:r>
          </w:p>
        </w:tc>
        <w:tc>
          <w:tcPr>
            <w:tcW w:w="2410" w:type="dxa"/>
          </w:tcPr>
          <w:p w14:paraId="6A15877A" w14:textId="77777777" w:rsidR="00E94389" w:rsidRPr="005E68EB" w:rsidRDefault="00E94389"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Young non-binary respondents</w:t>
            </w:r>
          </w:p>
        </w:tc>
      </w:tr>
      <w:tr w:rsidR="00E94389" w:rsidRPr="007E1C6F" w14:paraId="53AA29DF"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7FF44D8D" w14:textId="7F4CDED5" w:rsidR="00E94389" w:rsidRPr="008E6594" w:rsidRDefault="00E94389" w:rsidP="00A3239A">
            <w:pPr>
              <w:pStyle w:val="Tablebody"/>
            </w:pPr>
            <w:r>
              <w:t>Total AVAWS</w:t>
            </w:r>
          </w:p>
        </w:tc>
        <w:tc>
          <w:tcPr>
            <w:tcW w:w="1813" w:type="dxa"/>
          </w:tcPr>
          <w:p w14:paraId="5A50104F" w14:textId="5AB51BA5" w:rsidR="00E94389" w:rsidRPr="007E1C6F" w:rsidRDefault="00513492"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67</w:t>
            </w:r>
          </w:p>
        </w:tc>
        <w:tc>
          <w:tcPr>
            <w:tcW w:w="1704" w:type="dxa"/>
          </w:tcPr>
          <w:p w14:paraId="4C8E8ABA" w14:textId="70F2688C" w:rsidR="00E94389"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417" w:type="dxa"/>
          </w:tcPr>
          <w:p w14:paraId="136CEE38" w14:textId="1EA1BA5F"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2410" w:type="dxa"/>
          </w:tcPr>
          <w:p w14:paraId="54FB9C5B" w14:textId="3D779D90" w:rsidR="00E94389" w:rsidRPr="007E1C6F" w:rsidRDefault="00513492" w:rsidP="00A3239A">
            <w:pPr>
              <w:pStyle w:val="Tablebody"/>
              <w:cnfStyle w:val="000000000000" w:firstRow="0" w:lastRow="0" w:firstColumn="0" w:lastColumn="0" w:oddVBand="0" w:evenVBand="0" w:oddHBand="0" w:evenHBand="0" w:firstRowFirstColumn="0" w:firstRowLastColumn="0" w:lastRowFirstColumn="0" w:lastRowLastColumn="0"/>
            </w:pPr>
            <w:r>
              <w:t>68</w:t>
            </w:r>
          </w:p>
        </w:tc>
      </w:tr>
      <w:tr w:rsidR="00E94389" w14:paraId="6037A8B6"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42152F8C" w14:textId="30E468FE" w:rsidR="00E94389" w:rsidRDefault="00E94389" w:rsidP="00A3239A">
            <w:pPr>
              <w:pStyle w:val="Tablebody"/>
            </w:pPr>
            <w:r>
              <w:t>Minimise Violence Subscale</w:t>
            </w:r>
          </w:p>
        </w:tc>
        <w:tc>
          <w:tcPr>
            <w:tcW w:w="1813" w:type="dxa"/>
          </w:tcPr>
          <w:p w14:paraId="41CDD80A" w14:textId="459C9D48" w:rsidR="00E94389" w:rsidRDefault="00C5275D"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67</w:t>
            </w:r>
          </w:p>
        </w:tc>
        <w:tc>
          <w:tcPr>
            <w:tcW w:w="1704" w:type="dxa"/>
          </w:tcPr>
          <w:p w14:paraId="10E5CABB" w14:textId="244AB829"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66</w:t>
            </w:r>
          </w:p>
        </w:tc>
        <w:tc>
          <w:tcPr>
            <w:tcW w:w="1417" w:type="dxa"/>
          </w:tcPr>
          <w:p w14:paraId="5A9F2C44" w14:textId="6187D10A"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69*</w:t>
            </w:r>
          </w:p>
        </w:tc>
        <w:tc>
          <w:tcPr>
            <w:tcW w:w="2410" w:type="dxa"/>
          </w:tcPr>
          <w:p w14:paraId="27721FB8" w14:textId="21519821"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67</w:t>
            </w:r>
          </w:p>
        </w:tc>
      </w:tr>
      <w:tr w:rsidR="00E94389" w14:paraId="41A8FBDD"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52504A46" w14:textId="29D354FD" w:rsidR="00E94389" w:rsidRDefault="00E94389" w:rsidP="00A3239A">
            <w:pPr>
              <w:pStyle w:val="Tablebody"/>
            </w:pPr>
            <w:r>
              <w:t>Mistrust Women Subscale</w:t>
            </w:r>
          </w:p>
        </w:tc>
        <w:tc>
          <w:tcPr>
            <w:tcW w:w="1813" w:type="dxa"/>
          </w:tcPr>
          <w:p w14:paraId="6D3E3871" w14:textId="326B45CC" w:rsidR="00E94389" w:rsidRDefault="00C5275D"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68</w:t>
            </w:r>
          </w:p>
        </w:tc>
        <w:tc>
          <w:tcPr>
            <w:tcW w:w="1704" w:type="dxa"/>
          </w:tcPr>
          <w:p w14:paraId="07083F2A" w14:textId="586182CB"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65</w:t>
            </w:r>
          </w:p>
        </w:tc>
        <w:tc>
          <w:tcPr>
            <w:tcW w:w="1417" w:type="dxa"/>
          </w:tcPr>
          <w:p w14:paraId="626BE853" w14:textId="2FE37DDD"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71*</w:t>
            </w:r>
          </w:p>
        </w:tc>
        <w:tc>
          <w:tcPr>
            <w:tcW w:w="2410" w:type="dxa"/>
          </w:tcPr>
          <w:p w14:paraId="60BCAF96" w14:textId="45605223"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71*</w:t>
            </w:r>
          </w:p>
        </w:tc>
      </w:tr>
      <w:tr w:rsidR="00E94389" w14:paraId="7F6B3891" w14:textId="77777777" w:rsidTr="00EE22DD">
        <w:tc>
          <w:tcPr>
            <w:cnfStyle w:val="001000000000" w:firstRow="0" w:lastRow="0" w:firstColumn="1" w:lastColumn="0" w:oddVBand="0" w:evenVBand="0" w:oddHBand="0" w:evenHBand="0" w:firstRowFirstColumn="0" w:firstRowLastColumn="0" w:lastRowFirstColumn="0" w:lastRowLastColumn="0"/>
            <w:tcW w:w="2012" w:type="dxa"/>
          </w:tcPr>
          <w:p w14:paraId="414D5EF1" w14:textId="7DFC8840" w:rsidR="00E94389" w:rsidRDefault="00E94389" w:rsidP="00A3239A">
            <w:pPr>
              <w:pStyle w:val="Tablebody"/>
            </w:pPr>
            <w:r>
              <w:t>Objectify Women Subscale</w:t>
            </w:r>
          </w:p>
        </w:tc>
        <w:tc>
          <w:tcPr>
            <w:tcW w:w="1813" w:type="dxa"/>
          </w:tcPr>
          <w:p w14:paraId="504026FB" w14:textId="49DFA985" w:rsidR="00E94389" w:rsidRDefault="00C5275D" w:rsidP="00A3239A">
            <w:pPr>
              <w:pStyle w:val="Tablebody"/>
              <w:tabs>
                <w:tab w:val="left" w:pos="603"/>
              </w:tabs>
              <w:cnfStyle w:val="000000000000" w:firstRow="0" w:lastRow="0" w:firstColumn="0" w:lastColumn="0" w:oddVBand="0" w:evenVBand="0" w:oddHBand="0" w:evenHBand="0" w:firstRowFirstColumn="0" w:firstRowLastColumn="0" w:lastRowFirstColumn="0" w:lastRowLastColumn="0"/>
            </w:pPr>
            <w:r>
              <w:t>69</w:t>
            </w:r>
          </w:p>
        </w:tc>
        <w:tc>
          <w:tcPr>
            <w:tcW w:w="1704" w:type="dxa"/>
          </w:tcPr>
          <w:p w14:paraId="48244672" w14:textId="48149590"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68</w:t>
            </w:r>
          </w:p>
        </w:tc>
        <w:tc>
          <w:tcPr>
            <w:tcW w:w="1417" w:type="dxa"/>
          </w:tcPr>
          <w:p w14:paraId="32AF6665" w14:textId="2B22BC6C"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71*</w:t>
            </w:r>
          </w:p>
        </w:tc>
        <w:tc>
          <w:tcPr>
            <w:tcW w:w="2410" w:type="dxa"/>
          </w:tcPr>
          <w:p w14:paraId="0DF80883" w14:textId="60F4A6BF" w:rsidR="00E94389" w:rsidRDefault="00C5275D" w:rsidP="00A3239A">
            <w:pPr>
              <w:pStyle w:val="Tablebody"/>
              <w:cnfStyle w:val="000000000000" w:firstRow="0" w:lastRow="0" w:firstColumn="0" w:lastColumn="0" w:oddVBand="0" w:evenVBand="0" w:oddHBand="0" w:evenHBand="0" w:firstRowFirstColumn="0" w:firstRowLastColumn="0" w:lastRowFirstColumn="0" w:lastRowLastColumn="0"/>
            </w:pPr>
            <w:r>
              <w:t>71</w:t>
            </w:r>
          </w:p>
        </w:tc>
      </w:tr>
    </w:tbl>
    <w:p w14:paraId="236667F3" w14:textId="14694825" w:rsidR="007D5CED" w:rsidRPr="007D5CED" w:rsidRDefault="007D5CED" w:rsidP="00A3239A">
      <w:pPr>
        <w:pStyle w:val="Normal8pt"/>
      </w:pPr>
      <w:r w:rsidRPr="008C29F3">
        <w:rPr>
          <w:b/>
        </w:rPr>
        <w:t>Note</w:t>
      </w:r>
      <w:r w:rsidRPr="007D5CED">
        <w:rPr>
          <w:bCs/>
        </w:rPr>
        <w:t xml:space="preserve">: </w:t>
      </w:r>
      <w:r w:rsidRPr="0073256E">
        <w:rPr>
          <w:rStyle w:val="Emphasis"/>
        </w:rPr>
        <w:t xml:space="preserve">N </w:t>
      </w:r>
      <w:r w:rsidRPr="007D5CED">
        <w:t xml:space="preserve">= 1,664. </w:t>
      </w:r>
    </w:p>
    <w:p w14:paraId="2AAE8F59" w14:textId="77777777" w:rsidR="007D5CED" w:rsidRPr="007D5CED" w:rsidRDefault="007D5CED" w:rsidP="00A3239A">
      <w:pPr>
        <w:pStyle w:val="Normal8pt"/>
      </w:pPr>
      <w:r w:rsidRPr="007D5CED">
        <w:rPr>
          <w:bCs/>
        </w:rPr>
        <w:t>*</w:t>
      </w:r>
      <w:r w:rsidRPr="007D5CED">
        <w:t xml:space="preserve"> Statistically significant difference compared to young men on the AVAWS or subscale indicated in 2021.</w:t>
      </w:r>
    </w:p>
    <w:p w14:paraId="6907CFC9" w14:textId="54318663" w:rsidR="007D5CED" w:rsidRPr="007D5CED" w:rsidRDefault="007D5CED" w:rsidP="00A3239A">
      <w:pPr>
        <w:rPr>
          <w:lang w:val="en-GB"/>
        </w:rPr>
      </w:pPr>
      <w:r w:rsidRPr="007D5CED">
        <w:rPr>
          <w:lang w:val="en-GB"/>
        </w:rPr>
        <w:t>Table 15-7 in Appendix C presents differences between young women and young men respondents on</w:t>
      </w:r>
      <w:r w:rsidR="00937040">
        <w:rPr>
          <w:lang w:val="en-GB"/>
        </w:rPr>
        <w:t> </w:t>
      </w:r>
      <w:r w:rsidRPr="007D5CED">
        <w:rPr>
          <w:lang w:val="en-GB"/>
        </w:rPr>
        <w:t>the AVAWS items.</w:t>
      </w:r>
      <w:r w:rsidRPr="007D5CED">
        <w:rPr>
          <w:vertAlign w:val="superscript"/>
          <w:lang w:val="en-GB"/>
        </w:rPr>
        <w:footnoteReference w:id="31"/>
      </w:r>
      <w:r w:rsidRPr="007D5CED">
        <w:rPr>
          <w:lang w:val="en-GB"/>
        </w:rPr>
        <w:t xml:space="preserve"> The gender difference between young women and young men in attitudes towards violence against women at the scale and subscale level was also evident at the item level. In</w:t>
      </w:r>
      <w:r w:rsidR="00937040">
        <w:rPr>
          <w:lang w:val="en-GB"/>
        </w:rPr>
        <w:t> </w:t>
      </w:r>
      <w:r w:rsidRPr="007D5CED">
        <w:rPr>
          <w:lang w:val="en-GB"/>
        </w:rPr>
        <w:t xml:space="preserve">2021, young women respondents (62–92%) were significantly more likely than young men respondents (49–85%) to “strongly disagree” with six of the 15 items in the Minimise Violence Subscale that play down the seriousness of violence and shift blame from perpetrators to victims and survivors. These items describe attitudes that minimise the seriousness of domestic violence as a normal reaction to day-to-day stress (D17) or excuse violence if the perpetrator was angry (D25) or remorseful (D19). These items also describe attitudes that minimise the seriousness of violence based on the victim’s circumstances, including attitudes that some </w:t>
      </w:r>
      <w:r w:rsidRPr="007D5CED">
        <w:rPr>
          <w:lang w:val="en-GB"/>
        </w:rPr>
        <w:lastRenderedPageBreak/>
        <w:t>victims and survivors are less deserving of assistance because they stay in the abusive relationship (D31), because the police have attended the case many times previously (D32) or because they were sexually harassed (S9).</w:t>
      </w:r>
      <w:r w:rsidRPr="007D5CED">
        <w:rPr>
          <w:vertAlign w:val="superscript"/>
          <w:lang w:val="en-GB"/>
        </w:rPr>
        <w:footnoteReference w:id="32"/>
      </w:r>
      <w:r w:rsidRPr="007D5CED">
        <w:rPr>
          <w:lang w:val="en-GB"/>
        </w:rPr>
        <w:t xml:space="preserve"> </w:t>
      </w:r>
    </w:p>
    <w:p w14:paraId="6BBB4136" w14:textId="77777777" w:rsidR="007D5CED" w:rsidRPr="007D5CED" w:rsidRDefault="007D5CED" w:rsidP="00A3239A">
      <w:pPr>
        <w:rPr>
          <w:vertAlign w:val="superscript"/>
          <w:lang w:val="en-GB"/>
        </w:rPr>
      </w:pPr>
      <w:r w:rsidRPr="007D5CED">
        <w:rPr>
          <w:lang w:val="en-GB"/>
        </w:rPr>
        <w:t>Consistent with the result for the Mistrust Women Subscale as a whole, young women respondents (32–91%) were also significantly more likely than young men respondents (15–77%) to “strongly disagree” with 11 of the 13 problematic attitudes measured by this subscale (Appendix C, Table 15-7). These items describe attitudes that women lie or exaggerate experiences of violence, including for reasons such as vindictiveness and personal gain (S18, S24, V3, S23, D23), and attitudes that mistrust women’s reports of violence if they delay reporting or stay in the abusive relationship (S25, S10, D28, D29), do not present with physical injuries (S22) or have mental health issues (S1).</w:t>
      </w:r>
      <w:r w:rsidRPr="007D5CED">
        <w:rPr>
          <w:vertAlign w:val="superscript"/>
          <w:lang w:val="en-GB"/>
        </w:rPr>
        <w:footnoteReference w:id="33"/>
      </w:r>
    </w:p>
    <w:p w14:paraId="09C1A3BD" w14:textId="77777777" w:rsidR="007D5CED" w:rsidRPr="007D5CED" w:rsidRDefault="007D5CED" w:rsidP="00A3239A">
      <w:pPr>
        <w:rPr>
          <w:vertAlign w:val="superscript"/>
          <w:lang w:val="en-GB"/>
        </w:rPr>
      </w:pPr>
      <w:r w:rsidRPr="007D5CED">
        <w:rPr>
          <w:lang w:val="en-GB"/>
        </w:rPr>
        <w:t>Consistent with the gender difference on the Objectify Women Subscale, young women respondents (64–92%) were significantly more likely than young men respondents (48–83%) to “strongly disagree” with eight of the 15 items in the subscale which describe problematic attitudes (Appendix C, Table 15-7). These items present attitudes that women should be flattered by persistent or unwanted attention (S3, S11), attitudes that women are at least partially responsible for violence directed at them if they are flirtatious or sexual in public (S7, D26) or under the influence of alcohol or drugs (S4, S20), and attitudes that disregard the need to actively gain consent (S5, S8).</w:t>
      </w:r>
      <w:r w:rsidRPr="007D5CED">
        <w:rPr>
          <w:vertAlign w:val="superscript"/>
          <w:lang w:val="en-GB"/>
        </w:rPr>
        <w:footnoteReference w:id="34"/>
      </w:r>
    </w:p>
    <w:p w14:paraId="64B34B85" w14:textId="16F8DD05" w:rsidR="007D5CED" w:rsidRPr="007D5CED" w:rsidRDefault="007D5CED" w:rsidP="00DC3FE8">
      <w:pPr>
        <w:pStyle w:val="Heading3"/>
      </w:pPr>
      <w:bookmarkStart w:id="162" w:name="_Toc152532403"/>
      <w:bookmarkStart w:id="163" w:name="_Toc190941689"/>
      <w:bookmarkStart w:id="164" w:name="_Toc190942389"/>
      <w:r w:rsidRPr="007D5CED">
        <w:t>6.4</w:t>
      </w:r>
      <w:r w:rsidR="006C5088">
        <w:t xml:space="preserve"> </w:t>
      </w:r>
      <w:r w:rsidRPr="007D5CED">
        <w:t>Comparing by age: Attitudes towards violence against women</w:t>
      </w:r>
      <w:bookmarkEnd w:id="162"/>
      <w:bookmarkEnd w:id="163"/>
      <w:bookmarkEnd w:id="164"/>
    </w:p>
    <w:p w14:paraId="4D65208E" w14:textId="0B625B28" w:rsidR="007D5CED" w:rsidRPr="007D5CED" w:rsidRDefault="007D5CED" w:rsidP="0084332B">
      <w:pPr>
        <w:pStyle w:val="Heading4"/>
      </w:pPr>
      <w:r w:rsidRPr="007D5CED">
        <w:t>Comparing attitudes towards violence against women of 16- to 17-year-olds and 18</w:t>
      </w:r>
      <w:r w:rsidRPr="007D5CED">
        <w:rPr>
          <w:rFonts w:ascii="Cambria Math" w:hAnsi="Cambria Math" w:cs="Cambria Math"/>
        </w:rPr>
        <w:t>‑</w:t>
      </w:r>
      <w:r w:rsidR="00937040">
        <w:t> </w:t>
      </w:r>
      <w:r w:rsidRPr="007D5CED">
        <w:t>to</w:t>
      </w:r>
      <w:r w:rsidR="00937040">
        <w:t> </w:t>
      </w:r>
      <w:r w:rsidRPr="007D5CED">
        <w:t>24</w:t>
      </w:r>
      <w:r w:rsidR="00937040">
        <w:noBreakHyphen/>
      </w:r>
      <w:r w:rsidRPr="007D5CED">
        <w:t>year-olds</w:t>
      </w:r>
    </w:p>
    <w:p w14:paraId="169E625A" w14:textId="6612B4DD" w:rsidR="000957CE" w:rsidRPr="0055168E" w:rsidRDefault="007D5CED" w:rsidP="00A3239A">
      <w:pPr>
        <w:rPr>
          <w:lang w:val="en-US"/>
        </w:rPr>
      </w:pPr>
      <w:r w:rsidRPr="00937040">
        <w:rPr>
          <w:spacing w:val="-2"/>
          <w:lang w:val="en-GB"/>
        </w:rPr>
        <w:t>The NCAS results generally indicate that 18- to 24-year-olds are more likely than 16- to 17-year-olds to</w:t>
      </w:r>
      <w:r w:rsidR="00937040" w:rsidRPr="00937040">
        <w:rPr>
          <w:spacing w:val="-2"/>
          <w:lang w:val="en-GB"/>
        </w:rPr>
        <w:t> </w:t>
      </w:r>
      <w:r w:rsidRPr="00937040">
        <w:rPr>
          <w:spacing w:val="-2"/>
          <w:lang w:val="en-GB"/>
        </w:rPr>
        <w:t>reject violence against women. In 2021, 18- to 24-year-olds had significantly higher rejection of</w:t>
      </w:r>
      <w:r w:rsidR="00937040" w:rsidRPr="00937040">
        <w:rPr>
          <w:spacing w:val="-2"/>
          <w:lang w:val="en-GB"/>
        </w:rPr>
        <w:t> </w:t>
      </w:r>
      <w:r w:rsidRPr="00937040">
        <w:rPr>
          <w:spacing w:val="-2"/>
          <w:lang w:val="en-GB"/>
        </w:rPr>
        <w:t>violence against women according to the mean scores on AVAWS and each of the three AVAWS subscales. These</w:t>
      </w:r>
      <w:r w:rsidR="00937040">
        <w:rPr>
          <w:spacing w:val="-2"/>
          <w:lang w:val="en-GB"/>
        </w:rPr>
        <w:t> </w:t>
      </w:r>
      <w:r w:rsidRPr="00937040">
        <w:rPr>
          <w:spacing w:val="-2"/>
          <w:lang w:val="en-GB"/>
        </w:rPr>
        <w:t>findings indicate that, compared to 16- to 17-year-olds, 18- to 24-year-olds are more likely to reject attitudes that minimise violence against women and shift blame to victims and survivors, attitudes that mistrust women’s reports of violence and attitudes that objectify women or</w:t>
      </w:r>
      <w:r w:rsidR="00937040" w:rsidRPr="00937040">
        <w:rPr>
          <w:spacing w:val="-2"/>
          <w:lang w:val="en-GB"/>
        </w:rPr>
        <w:t> </w:t>
      </w:r>
      <w:r w:rsidRPr="00937040">
        <w:rPr>
          <w:spacing w:val="-2"/>
          <w:lang w:val="en-GB"/>
        </w:rPr>
        <w:t>disregard</w:t>
      </w:r>
      <w:r w:rsidR="00937040" w:rsidRPr="00937040">
        <w:rPr>
          <w:spacing w:val="-2"/>
          <w:lang w:val="en-GB"/>
        </w:rPr>
        <w:t> </w:t>
      </w:r>
      <w:r w:rsidRPr="00937040">
        <w:rPr>
          <w:spacing w:val="-2"/>
          <w:lang w:val="en-GB"/>
        </w:rPr>
        <w:t xml:space="preserve">consent. </w:t>
      </w:r>
    </w:p>
    <w:p w14:paraId="5685EC37" w14:textId="15B280CF" w:rsidR="00B74E21" w:rsidRDefault="007D5CED" w:rsidP="00A3239A">
      <w:pPr>
        <w:rPr>
          <w:lang w:val="en-GB"/>
        </w:rPr>
      </w:pPr>
      <w:r w:rsidRPr="007D5CED">
        <w:rPr>
          <w:lang w:val="en-GB"/>
        </w:rPr>
        <w:t>The greater rejection of violence against women at the scale and subscale level was also evident for a</w:t>
      </w:r>
      <w:r w:rsidR="00937040">
        <w:rPr>
          <w:lang w:val="en-GB"/>
        </w:rPr>
        <w:t> </w:t>
      </w:r>
      <w:r w:rsidRPr="007D5CED">
        <w:rPr>
          <w:lang w:val="en-GB"/>
        </w:rPr>
        <w:t>number of individual AVAWS items. Respondents aged 18 to 24 years were significantly more likely than those aged 16 to 17 years to “strongly disagree” with the problematic attitudes described by five of</w:t>
      </w:r>
      <w:r w:rsidR="00937040">
        <w:rPr>
          <w:lang w:val="en-GB"/>
        </w:rPr>
        <w:t> </w:t>
      </w:r>
      <w:r w:rsidRPr="007D5CED">
        <w:rPr>
          <w:lang w:val="en-GB"/>
        </w:rPr>
        <w:t>the 13 items in the Minimise Violence Subscale. These five items describe attitudes that excuse or</w:t>
      </w:r>
      <w:r w:rsidR="00937040">
        <w:rPr>
          <w:lang w:val="en-GB"/>
        </w:rPr>
        <w:t> </w:t>
      </w:r>
      <w:r w:rsidRPr="007D5CED">
        <w:rPr>
          <w:lang w:val="en-GB"/>
        </w:rPr>
        <w:t>tolerate domestic or sexual violence if the offender or victim was affected by alcohol or drugs (D20,</w:t>
      </w:r>
      <w:r w:rsidR="00937040">
        <w:rPr>
          <w:lang w:val="en-GB"/>
        </w:rPr>
        <w:t> </w:t>
      </w:r>
      <w:r w:rsidRPr="007D5CED">
        <w:rPr>
          <w:lang w:val="en-GB"/>
        </w:rPr>
        <w:t>S19, D21), if the perpetrator had been abused as child (D22) or if the perpetrator later genuinely regretted their violent behaviour (D19). Thus, 16- to 17-year-olds are less likely than 18- to 24-year-olds to attribute culpability to the perpetrator in instances of violence where factors such as alcohol, drugs</w:t>
      </w:r>
      <w:r w:rsidR="00937040">
        <w:rPr>
          <w:lang w:val="en-GB"/>
        </w:rPr>
        <w:t> </w:t>
      </w:r>
      <w:r w:rsidRPr="007D5CED">
        <w:rPr>
          <w:lang w:val="en-GB"/>
        </w:rPr>
        <w:t xml:space="preserve">and historical child abuse are involved. </w:t>
      </w:r>
    </w:p>
    <w:p w14:paraId="6AC3D41E" w14:textId="498ED00E" w:rsidR="007D5CED" w:rsidRPr="00F43662" w:rsidRDefault="007D5CED" w:rsidP="00A3239A">
      <w:pPr>
        <w:rPr>
          <w:lang w:val="en-GB"/>
        </w:rPr>
      </w:pPr>
      <w:r w:rsidRPr="007D5CED">
        <w:rPr>
          <w:lang w:val="en-GB"/>
        </w:rPr>
        <w:t>There were no significant differences between the two youth age groups on any of the individual items in the Mistrust Women and Objectify Women Subscales, despite the significantly higher rejection of</w:t>
      </w:r>
      <w:r w:rsidR="00937040">
        <w:rPr>
          <w:lang w:val="en-GB"/>
        </w:rPr>
        <w:t> </w:t>
      </w:r>
      <w:r w:rsidRPr="007D5CED">
        <w:rPr>
          <w:lang w:val="en-GB"/>
        </w:rPr>
        <w:t>violence against women by 18- to 24-year-olds than 16- to 17-year-olds according to mean subscale scores. Although the differences on these individual items were not large enough to reach statistical significance, in keeping with the subscale-level finding, they were usually in the direction of a higher percentage of 18- to 24-year-olds than 16- to 17-year-olds “strongly” disagreeing with the problematic attitudes (Appendix A, Table 13-7).</w:t>
      </w:r>
      <w:r w:rsidRPr="007D5CED">
        <w:rPr>
          <w:vertAlign w:val="superscript"/>
          <w:lang w:val="en-GB"/>
        </w:rPr>
        <w:footnoteReference w:id="35"/>
      </w:r>
    </w:p>
    <w:p w14:paraId="75AD7071" w14:textId="45C36B64" w:rsidR="007D5CED" w:rsidRPr="007D5CED" w:rsidRDefault="007D5CED" w:rsidP="0084332B">
      <w:pPr>
        <w:pStyle w:val="Heading4"/>
      </w:pPr>
      <w:r w:rsidRPr="007D5CED">
        <w:lastRenderedPageBreak/>
        <w:t>Comparing attitudes towards violence against women of 16- to 24-year-olds and people aged 25 years or older</w:t>
      </w:r>
    </w:p>
    <w:p w14:paraId="19BF8E52" w14:textId="07099E24" w:rsidR="007D5CED" w:rsidRPr="007D5CED" w:rsidRDefault="007D5CED" w:rsidP="00A3239A">
      <w:pPr>
        <w:rPr>
          <w:lang w:val="en-GB"/>
        </w:rPr>
      </w:pPr>
      <w:r w:rsidRPr="007D5CED">
        <w:rPr>
          <w:lang w:val="en-GB"/>
        </w:rPr>
        <w:t>The NCAS findings indicate that young people’s attitudes towards violence against women are similar in</w:t>
      </w:r>
      <w:r w:rsidR="00E35913">
        <w:rPr>
          <w:lang w:val="en-GB"/>
        </w:rPr>
        <w:t> </w:t>
      </w:r>
      <w:r w:rsidRPr="007D5CED">
        <w:rPr>
          <w:lang w:val="en-GB"/>
        </w:rPr>
        <w:t>many ways to those of Australians aged 25 years or older. There was no significant difference between young respondents and those aged 25 years or older on the AVAWS and two of its three subscales. Accordingly, similar proportions of young respondents (35%) and respondents aged 25 years or older (34%) demonstrated “advanced” rejection of violence against women (AVAWS). These findings indicate that there is room to improve attitudes towards violence against women across all age groups in the Australian population. The findings for young respondents were also similar to those for all respondents (Main report) in showing:</w:t>
      </w:r>
    </w:p>
    <w:p w14:paraId="64C3AF96" w14:textId="77777777" w:rsidR="007D5CED" w:rsidRPr="00937040" w:rsidRDefault="007D5CED" w:rsidP="00A3239A">
      <w:pPr>
        <w:pStyle w:val="ListBullet"/>
        <w:rPr>
          <w:spacing w:val="-2"/>
          <w:lang w:val="en-GB"/>
        </w:rPr>
      </w:pPr>
      <w:r w:rsidRPr="00937040">
        <w:rPr>
          <w:spacing w:val="-2"/>
          <w:lang w:val="en-GB"/>
        </w:rPr>
        <w:t>a significant increase in rejection of attitudes that minimise violence in 2021 compared to 2009 and 2013, but not between 2017 and 2021, according to scores on this subscale</w:t>
      </w:r>
    </w:p>
    <w:p w14:paraId="4233F87D" w14:textId="77777777" w:rsidR="007D5CED" w:rsidRPr="00937040" w:rsidRDefault="007D5CED" w:rsidP="00A3239A">
      <w:pPr>
        <w:pStyle w:val="ListBullet"/>
        <w:rPr>
          <w:spacing w:val="-2"/>
          <w:lang w:val="en-GB"/>
        </w:rPr>
      </w:pPr>
      <w:r w:rsidRPr="00937040">
        <w:rPr>
          <w:spacing w:val="-2"/>
          <w:lang w:val="en-GB"/>
        </w:rPr>
        <w:t>a significant increase in rejection of attitudes that mistrust women’s reports of violence and attitudes that objectify women and disregard consent in 2021 compared to 2017, according to subscale scores.</w:t>
      </w:r>
    </w:p>
    <w:p w14:paraId="5ED0BBEF" w14:textId="4C0F956F" w:rsidR="007D5CED" w:rsidRPr="007D5CED" w:rsidRDefault="007D5CED" w:rsidP="00A3239A">
      <w:pPr>
        <w:rPr>
          <w:lang w:val="en-GB"/>
        </w:rPr>
      </w:pPr>
      <w:r w:rsidRPr="007D5CED">
        <w:rPr>
          <w:lang w:val="en-GB"/>
        </w:rPr>
        <w:t>There were also some differences in attitudes towards violence between young and other respondents. Compared to respondents aged 25 years or older, young respondents were significantly less likely to</w:t>
      </w:r>
      <w:r w:rsidR="00E35913">
        <w:rPr>
          <w:lang w:val="en-GB"/>
        </w:rPr>
        <w:t> </w:t>
      </w:r>
      <w:r w:rsidRPr="007D5CED">
        <w:rPr>
          <w:lang w:val="en-GB"/>
        </w:rPr>
        <w:t>reject attitudes that minimise the seriousness of violence and shift blame to victim and survivors (Minimise Violence Subscale). In addition, while some of the problematic attitudes measured by the AVAWS were more strongly rejected than other such attitudes by both young respondents and those aged 25 years or older, the pattern of rejection was different for these age groups. Young respondents’ scores on the three AVAWS subscales in 2021 revealed that they had significantly higher rejection of</w:t>
      </w:r>
      <w:r w:rsidR="00E35913">
        <w:rPr>
          <w:lang w:val="en-GB"/>
        </w:rPr>
        <w:t> </w:t>
      </w:r>
      <w:r w:rsidRPr="007D5CED">
        <w:rPr>
          <w:lang w:val="en-GB"/>
        </w:rPr>
        <w:t>attitudes that objectify women and disregard consent than of attitudes that minimise violence and attitudes that mistrust women’s reports of violence. In contrast, all NCAS respondents (Main report) had similar levels of rejection of the problematic attitudes measured by the three AVAWS subscales in</w:t>
      </w:r>
      <w:r w:rsidR="00E35913">
        <w:rPr>
          <w:lang w:val="en-GB"/>
        </w:rPr>
        <w:t> </w:t>
      </w:r>
      <w:r w:rsidRPr="007D5CED">
        <w:rPr>
          <w:lang w:val="en-GB"/>
        </w:rPr>
        <w:t>2021.</w:t>
      </w:r>
    </w:p>
    <w:p w14:paraId="544DF774" w14:textId="047DC75B" w:rsidR="000957CE" w:rsidRPr="007D5CED" w:rsidRDefault="007D5CED" w:rsidP="00A3239A">
      <w:pPr>
        <w:rPr>
          <w:lang w:val="en-GB"/>
        </w:rPr>
      </w:pPr>
      <w:r w:rsidRPr="007D5CED">
        <w:rPr>
          <w:lang w:val="en-GB"/>
        </w:rPr>
        <w:t xml:space="preserve">This different pattern of results at the subscale level for young respondents compared to other respondents was also reflected at the item level (Appendix B, Table 14-7). Specifically, young respondents were significantly </w:t>
      </w:r>
      <w:r w:rsidRPr="00DB4795">
        <w:rPr>
          <w:rStyle w:val="Emphasis"/>
          <w:lang w:val="en-US"/>
        </w:rPr>
        <w:t>more likely</w:t>
      </w:r>
      <w:r w:rsidRPr="007D5CED">
        <w:rPr>
          <w:lang w:val="en-GB"/>
        </w:rPr>
        <w:t xml:space="preserve"> than those aged 25 years or older to “strongly disagree” with</w:t>
      </w:r>
      <w:r w:rsidR="00E35913">
        <w:rPr>
          <w:lang w:val="en-GB"/>
        </w:rPr>
        <w:t> </w:t>
      </w:r>
      <w:r w:rsidRPr="007D5CED">
        <w:rPr>
          <w:lang w:val="en-GB"/>
        </w:rPr>
        <w:t>two items in the Objectify Women Subscale describing attitudes that women should be flattered by wolf-whistles and cat-calls in public (S3) and that it is understandable for a man to continue having sex with a drunk woman who falls asleep (S4). Young respondents were also significantly more likely than those aged 25</w:t>
      </w:r>
      <w:r w:rsidR="00132DA1">
        <w:rPr>
          <w:lang w:val="en-GB"/>
        </w:rPr>
        <w:t xml:space="preserve"> </w:t>
      </w:r>
      <w:r w:rsidRPr="007D5CED">
        <w:rPr>
          <w:lang w:val="en-GB"/>
        </w:rPr>
        <w:t>years or older to disagree (“strongly” or “somewhat”) with one of the items in the Mistrust Women</w:t>
      </w:r>
      <w:r w:rsidR="00132DA1">
        <w:rPr>
          <w:lang w:val="en-GB"/>
        </w:rPr>
        <w:t xml:space="preserve"> </w:t>
      </w:r>
      <w:r w:rsidRPr="007D5CED">
        <w:rPr>
          <w:lang w:val="en-GB"/>
        </w:rPr>
        <w:t>Subscale, which states that women often exaggerate claims of domestic violence to</w:t>
      </w:r>
      <w:r w:rsidR="00E35913">
        <w:rPr>
          <w:lang w:val="en-GB"/>
        </w:rPr>
        <w:t> </w:t>
      </w:r>
      <w:r w:rsidRPr="007D5CED">
        <w:rPr>
          <w:lang w:val="en-GB"/>
        </w:rPr>
        <w:t xml:space="preserve">gain an advantage in custody battles (D23). However, young respondents were also significantly </w:t>
      </w:r>
      <w:r w:rsidRPr="0073256E">
        <w:rPr>
          <w:rStyle w:val="Emphasis"/>
          <w:lang w:val="en-US"/>
        </w:rPr>
        <w:t>less likely</w:t>
      </w:r>
      <w:r w:rsidRPr="007D5CED">
        <w:rPr>
          <w:lang w:val="en-GB"/>
        </w:rPr>
        <w:t xml:space="preserve"> than those aged 25 years or older to “strongly disagree” with three items in the Minimise Violence Subscale, which describe attitudes that domestic violence should be handled in the family (D16) or</w:t>
      </w:r>
      <w:r w:rsidR="00E35913">
        <w:rPr>
          <w:lang w:val="en-GB"/>
        </w:rPr>
        <w:t> </w:t>
      </w:r>
      <w:r w:rsidRPr="007D5CED">
        <w:rPr>
          <w:lang w:val="en-GB"/>
        </w:rPr>
        <w:t>should be excused if the violent person regrets their behaviour (D19), and attitudes that excuse rape</w:t>
      </w:r>
      <w:r w:rsidR="00E35913">
        <w:rPr>
          <w:lang w:val="en-GB"/>
        </w:rPr>
        <w:t> </w:t>
      </w:r>
      <w:r w:rsidRPr="007D5CED">
        <w:rPr>
          <w:lang w:val="en-GB"/>
        </w:rPr>
        <w:t>if</w:t>
      </w:r>
      <w:r w:rsidR="00E35913">
        <w:rPr>
          <w:lang w:val="en-GB"/>
        </w:rPr>
        <w:t> </w:t>
      </w:r>
      <w:r w:rsidRPr="007D5CED">
        <w:rPr>
          <w:lang w:val="en-GB"/>
        </w:rPr>
        <w:t>the perpetrator is affected by alcohol or drugs (S19).</w:t>
      </w:r>
    </w:p>
    <w:bookmarkStart w:id="165" w:name="_Toc152532404"/>
    <w:bookmarkStart w:id="166" w:name="_Toc190941690"/>
    <w:bookmarkStart w:id="167" w:name="_Toc190942390"/>
    <w:p w14:paraId="09C80599" w14:textId="426FE174" w:rsidR="007D5CED" w:rsidRPr="00D32C21" w:rsidRDefault="00E35913" w:rsidP="008C29F3">
      <w:pPr>
        <w:pStyle w:val="H2SectionTitle"/>
      </w:pPr>
      <w:r>
        <w:rPr>
          <w:noProof/>
        </w:rPr>
        <w:lastRenderedPageBreak/>
        <mc:AlternateContent>
          <mc:Choice Requires="wps">
            <w:drawing>
              <wp:anchor distT="0" distB="0" distL="114300" distR="114300" simplePos="0" relativeHeight="251658261" behindDoc="0" locked="0" layoutInCell="1" allowOverlap="1" wp14:anchorId="5C30FA63" wp14:editId="592AB009">
                <wp:simplePos x="0" y="0"/>
                <wp:positionH relativeFrom="column">
                  <wp:posOffset>5124</wp:posOffset>
                </wp:positionH>
                <wp:positionV relativeFrom="paragraph">
                  <wp:posOffset>109</wp:posOffset>
                </wp:positionV>
                <wp:extent cx="382138" cy="382138"/>
                <wp:effectExtent l="0" t="0" r="0" b="0"/>
                <wp:wrapSquare wrapText="bothSides"/>
                <wp:docPr id="24797617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E0F85" id="Rectangle 2" o:spid="_x0000_s1026" alt="&quot;&quot;" style="position:absolute;margin-left:.4pt;margin-top:0;width:30.1pt;height:30.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7 </w:t>
      </w:r>
      <w:r w:rsidR="007D5CED" w:rsidRPr="00D32C21">
        <w:t>Findings: Young people’s understanding and attitudes towards specific types of violence against women</w:t>
      </w:r>
      <w:bookmarkEnd w:id="165"/>
      <w:bookmarkEnd w:id="166"/>
      <w:bookmarkEnd w:id="167"/>
    </w:p>
    <w:tbl>
      <w:tblPr>
        <w:tblStyle w:val="Yellowcalloutboxlayout"/>
        <w:tblW w:w="0" w:type="auto"/>
        <w:tblLayout w:type="fixed"/>
        <w:tblLook w:val="0000" w:firstRow="0" w:lastRow="0" w:firstColumn="0" w:lastColumn="0" w:noHBand="0" w:noVBand="0"/>
      </w:tblPr>
      <w:tblGrid>
        <w:gridCol w:w="8901"/>
      </w:tblGrid>
      <w:tr w:rsidR="007D5CED" w:rsidRPr="00EA1044" w14:paraId="43D5AA0C" w14:textId="77777777" w:rsidTr="006C5088">
        <w:trPr>
          <w:trHeight w:val="60"/>
        </w:trPr>
        <w:tc>
          <w:tcPr>
            <w:tcW w:w="8901" w:type="dxa"/>
          </w:tcPr>
          <w:p w14:paraId="598B6445" w14:textId="2570DAAF" w:rsidR="007D5CED" w:rsidRPr="007D5CED" w:rsidRDefault="007D5CED" w:rsidP="006C5088">
            <w:pPr>
              <w:pStyle w:val="ChapterIntro"/>
            </w:pPr>
            <w:r w:rsidRPr="007D5CED">
              <w:t>The results for the AVAWS (Chapter 6) revealed some attitudes that normalise and reinforce violence against women. The AVAWS comprises items describing attitudes towards different types of</w:t>
            </w:r>
            <w:r w:rsidR="00E35913">
              <w:t> </w:t>
            </w:r>
            <w:r w:rsidRPr="007D5CED">
              <w:t>violence, including domestic violence, sexual violence and technology-facilitated abuse. Although these different types of</w:t>
            </w:r>
            <w:r w:rsidR="00E35913">
              <w:t> </w:t>
            </w:r>
            <w:r w:rsidRPr="007D5CED">
              <w:t>violence can overlap,</w:t>
            </w:r>
            <w:r w:rsidRPr="007D5CED">
              <w:rPr>
                <w:vertAlign w:val="superscript"/>
              </w:rPr>
              <w:footnoteReference w:id="36"/>
            </w:r>
            <w:r w:rsidRPr="007D5CED">
              <w:t xml:space="preserve"> policymakers and practitioners may nonetheless be interested in the more specific attitudes that may relate to each type of violence against women. Thus, the AVAWS items</w:t>
            </w:r>
            <w:r w:rsidR="00E35913">
              <w:t> </w:t>
            </w:r>
            <w:r w:rsidRPr="007D5CED">
              <w:t>were subdivided according to the type of violence they describe</w:t>
            </w:r>
            <w:r w:rsidR="00E35913">
              <w:t> </w:t>
            </w:r>
            <w:r w:rsidRPr="007D5CED">
              <w:t>to</w:t>
            </w:r>
            <w:r w:rsidR="00E35913">
              <w:t> </w:t>
            </w:r>
            <w:r w:rsidRPr="007D5CED">
              <w:t xml:space="preserve">create five “type of violence” scales: </w:t>
            </w:r>
          </w:p>
          <w:p w14:paraId="539292EB" w14:textId="77777777" w:rsidR="007D5CED" w:rsidRPr="007D5CED" w:rsidRDefault="007D5CED" w:rsidP="006C5088">
            <w:pPr>
              <w:pStyle w:val="ChapterintrobulletsChapterintro"/>
            </w:pPr>
            <w:r w:rsidRPr="007D5CED">
              <w:t xml:space="preserve">the Domestic Violence Scale (DVS; Section 7.1) </w:t>
            </w:r>
          </w:p>
          <w:p w14:paraId="391B11C5" w14:textId="47A1EB9D" w:rsidR="007D5CED" w:rsidRPr="007D5CED" w:rsidRDefault="007D5CED" w:rsidP="006C5088">
            <w:pPr>
              <w:pStyle w:val="ChapterintrobulletsChapterintro"/>
            </w:pPr>
            <w:r w:rsidRPr="007D5CED">
              <w:t>the Sexual Violence Scale (SVS), which is a composite of two scales – the</w:t>
            </w:r>
            <w:r w:rsidR="00E35913">
              <w:t> </w:t>
            </w:r>
            <w:r w:rsidRPr="007D5CED">
              <w:t>Sexual Assault Scale (SAS) and the Sexual Harassment Scale (SHS;</w:t>
            </w:r>
            <w:r w:rsidR="00E35913">
              <w:t> </w:t>
            </w:r>
            <w:r w:rsidRPr="007D5CED">
              <w:t>Section</w:t>
            </w:r>
            <w:r w:rsidR="00E35913">
              <w:t> </w:t>
            </w:r>
            <w:r w:rsidRPr="007D5CED">
              <w:t xml:space="preserve">7.2) </w:t>
            </w:r>
          </w:p>
          <w:p w14:paraId="5E858895" w14:textId="77777777" w:rsidR="007D5CED" w:rsidRPr="007D5CED" w:rsidRDefault="007D5CED" w:rsidP="006C5088">
            <w:pPr>
              <w:pStyle w:val="ChapterintrobulletsChapterintro"/>
            </w:pPr>
            <w:r w:rsidRPr="007D5CED">
              <w:t>the Technology-Facilitated Abuse Scale (TFAS; Section 7.3).</w:t>
            </w:r>
          </w:p>
        </w:tc>
      </w:tr>
    </w:tbl>
    <w:p w14:paraId="39C1C485" w14:textId="77777777" w:rsidR="00E35913" w:rsidRDefault="00E35913">
      <w:pPr>
        <w:spacing w:before="0" w:after="0" w:line="240" w:lineRule="auto"/>
        <w:rPr>
          <w:lang w:val="en-GB"/>
        </w:rPr>
      </w:pPr>
      <w:r>
        <w:rPr>
          <w:lang w:val="en-GB"/>
        </w:rPr>
        <w:br w:type="page"/>
      </w:r>
    </w:p>
    <w:p w14:paraId="35CEDFDC" w14:textId="75723756" w:rsidR="007D5CED" w:rsidRPr="007D5CED" w:rsidRDefault="007D5CED" w:rsidP="009B692E">
      <w:pPr>
        <w:rPr>
          <w:lang w:val="en-GB"/>
        </w:rPr>
      </w:pPr>
      <w:r w:rsidRPr="007D5CED">
        <w:rPr>
          <w:lang w:val="en-GB"/>
        </w:rPr>
        <w:lastRenderedPageBreak/>
        <w:t xml:space="preserve">Apart from the TFAS, all the type of violence scales consist of items drawn entirely from the AVAWS and thus examine </w:t>
      </w:r>
      <w:r w:rsidRPr="00DB4795">
        <w:rPr>
          <w:rStyle w:val="Emphasis"/>
          <w:lang w:val="en-US"/>
        </w:rPr>
        <w:t xml:space="preserve">attitudes </w:t>
      </w:r>
      <w:r w:rsidRPr="007D5CED">
        <w:rPr>
          <w:lang w:val="en-GB"/>
        </w:rPr>
        <w:t xml:space="preserve">towards these types of violence. The TFAS comprises two attitude items from the AVAWS and four understanding items from the Understanding of Violence against Women Scale (UVAWS). </w:t>
      </w:r>
    </w:p>
    <w:p w14:paraId="5C6EDD00" w14:textId="77777777" w:rsidR="007D5CED" w:rsidRPr="007D5CED" w:rsidRDefault="007D5CED" w:rsidP="009B692E">
      <w:pPr>
        <w:rPr>
          <w:vertAlign w:val="superscript"/>
          <w:lang w:val="en-GB"/>
        </w:rPr>
      </w:pPr>
      <w:r w:rsidRPr="007D5CED">
        <w:rPr>
          <w:lang w:val="en-GB"/>
        </w:rPr>
        <w:t>The present chapter draws on the type of violence scales to report on young people’s attitudes to each type of violence. It also reports on young people’s attitudes to stalking (Section 7.4).</w:t>
      </w:r>
      <w:r w:rsidRPr="007D5CED">
        <w:rPr>
          <w:vertAlign w:val="superscript"/>
          <w:lang w:val="en-GB"/>
        </w:rPr>
        <w:footnoteReference w:id="37"/>
      </w:r>
    </w:p>
    <w:p w14:paraId="1E3A908E" w14:textId="77777777" w:rsidR="009B692E" w:rsidRPr="007D5CED" w:rsidRDefault="009B692E" w:rsidP="00750FEF">
      <w:pPr>
        <w:pStyle w:val="ResultsSummaryHeading"/>
      </w:pPr>
      <w:r w:rsidRPr="007D5CED">
        <w:t>Type of violence results summary</w:t>
      </w:r>
    </w:p>
    <w:p w14:paraId="47C85913" w14:textId="0746D709" w:rsidR="009B692E" w:rsidRPr="007D5CED" w:rsidRDefault="009B692E" w:rsidP="00750FEF">
      <w:pPr>
        <w:pStyle w:val="ResultsSummary"/>
      </w:pPr>
      <w:r w:rsidRPr="007D5CED">
        <w:t>Despite some improvements over time, myths, misconceptions and harmful stereotypes regarding different types of violence are still evident among a minority of young Australians. For example, some</w:t>
      </w:r>
      <w:r w:rsidR="00F157A6">
        <w:t> </w:t>
      </w:r>
      <w:r w:rsidRPr="007D5CED">
        <w:t>young Australians continue to endorse:</w:t>
      </w:r>
    </w:p>
    <w:p w14:paraId="6C0DFE4C" w14:textId="70F58119" w:rsidR="009B692E" w:rsidRPr="007D5CED" w:rsidRDefault="009B692E" w:rsidP="001C7C59">
      <w:pPr>
        <w:pStyle w:val="ListBullet4"/>
      </w:pPr>
      <w:r w:rsidRPr="0073256E">
        <w:rPr>
          <w:rStyle w:val="Emphasis"/>
        </w:rPr>
        <w:t>domestic violence:</w:t>
      </w:r>
      <w:r w:rsidRPr="007D5CED">
        <w:t xml:space="preserve"> misconceptions that minimise violence and position women as partly responsible for their abuse if they do not leave their abuser and attitudes that mistrust women’s reports of</w:t>
      </w:r>
      <w:r w:rsidR="00F157A6">
        <w:t> </w:t>
      </w:r>
      <w:r w:rsidRPr="007D5CED">
        <w:t xml:space="preserve">violence (Section 7.1) </w:t>
      </w:r>
    </w:p>
    <w:p w14:paraId="6FE1A5FD" w14:textId="77777777" w:rsidR="009B692E" w:rsidRPr="007D5CED" w:rsidRDefault="009B692E" w:rsidP="001C7C59">
      <w:pPr>
        <w:pStyle w:val="ListBullet4"/>
      </w:pPr>
      <w:r w:rsidRPr="0073256E">
        <w:rPr>
          <w:rStyle w:val="Emphasis"/>
        </w:rPr>
        <w:t>sexual assault:</w:t>
      </w:r>
      <w:r w:rsidRPr="007D5CED">
        <w:t xml:space="preserve"> hostile stereotypes of women as vengeful and untrustworthy, attitudes that perpetrators are less culpable if they are under the influence of drugs or alcohol, and rape myths that sexual assault is primarily committed by strangers (Section 7.2)</w:t>
      </w:r>
    </w:p>
    <w:p w14:paraId="3EA9C8D5" w14:textId="77777777" w:rsidR="009B692E" w:rsidRPr="006528CF" w:rsidRDefault="009B692E" w:rsidP="001C7C59">
      <w:pPr>
        <w:pStyle w:val="ListBullet4"/>
      </w:pPr>
      <w:r w:rsidRPr="006528CF">
        <w:rPr>
          <w:rStyle w:val="Emphasis"/>
          <w:spacing w:val="-2"/>
        </w:rPr>
        <w:t xml:space="preserve">sexual harassment: </w:t>
      </w:r>
      <w:r w:rsidRPr="006528CF">
        <w:t>misconceptions that sexual harassment is “flattering” and not serious (Section 7.2)</w:t>
      </w:r>
    </w:p>
    <w:p w14:paraId="128A58D7" w14:textId="77777777" w:rsidR="009B692E" w:rsidRPr="006528CF" w:rsidRDefault="009B692E" w:rsidP="001C7C59">
      <w:pPr>
        <w:pStyle w:val="ListBullet4"/>
      </w:pPr>
      <w:r w:rsidRPr="006528CF">
        <w:rPr>
          <w:rStyle w:val="Emphasis"/>
          <w:spacing w:val="-4"/>
        </w:rPr>
        <w:t xml:space="preserve">technology-facilitated abuse: </w:t>
      </w:r>
      <w:r w:rsidRPr="006528CF">
        <w:t>misconceptions that technology-facilitated abuse is not serious (Section 7.3)</w:t>
      </w:r>
    </w:p>
    <w:p w14:paraId="607EF231" w14:textId="301FA743" w:rsidR="009B692E" w:rsidRPr="007D5CED" w:rsidRDefault="009B692E" w:rsidP="001C7C59">
      <w:pPr>
        <w:pStyle w:val="ListBullet4"/>
      </w:pPr>
      <w:r w:rsidRPr="0073256E">
        <w:rPr>
          <w:rStyle w:val="Emphasis"/>
        </w:rPr>
        <w:t xml:space="preserve">stalking: </w:t>
      </w:r>
      <w:r w:rsidRPr="007D5CED">
        <w:t>misconceptions that persistent unwanted attention or actions by a person that intend to</w:t>
      </w:r>
      <w:r w:rsidR="00F157A6">
        <w:t> </w:t>
      </w:r>
      <w:r w:rsidRPr="007D5CED">
        <w:t>maintain contact with, or exercise power or control over, another person are not a form of</w:t>
      </w:r>
      <w:r w:rsidR="00F157A6" w:rsidRPr="00EA1044">
        <w:rPr>
          <w:lang w:val="en-AU"/>
        </w:rPr>
        <w:t> </w:t>
      </w:r>
      <w:r w:rsidRPr="007D5CED">
        <w:t>domestic violence or violence against women (Section 7.4).</w:t>
      </w:r>
    </w:p>
    <w:p w14:paraId="011E2396" w14:textId="77777777" w:rsidR="009B692E" w:rsidRPr="007D5CED" w:rsidRDefault="009B692E" w:rsidP="00750FEF">
      <w:pPr>
        <w:pStyle w:val="ResultsSummary"/>
      </w:pPr>
      <w:r w:rsidRPr="007D5CED">
        <w:t>Regarding domestic violence, about one third of young respondents indicated they would not know how to access outside advice or support for someone experiencing domestic violence. However, young respondents were significantly more likely than those aged 25 years or older to indicate that they would know how to access these services.</w:t>
      </w:r>
    </w:p>
    <w:p w14:paraId="129BC751" w14:textId="21E533B1" w:rsidR="007D5CED" w:rsidRPr="007D5CED" w:rsidRDefault="007D5CED" w:rsidP="00DC3FE8">
      <w:pPr>
        <w:pStyle w:val="Heading3"/>
      </w:pPr>
      <w:bookmarkStart w:id="168" w:name="_Toc152532405"/>
      <w:bookmarkStart w:id="169" w:name="_Toc190941691"/>
      <w:bookmarkStart w:id="170" w:name="_Toc190942391"/>
      <w:r w:rsidRPr="007D5CED">
        <w:t>7.1</w:t>
      </w:r>
      <w:r w:rsidR="00931C8E">
        <w:t xml:space="preserve"> </w:t>
      </w:r>
      <w:r w:rsidRPr="007D5CED">
        <w:t>Domestic violence</w:t>
      </w:r>
      <w:bookmarkEnd w:id="168"/>
      <w:bookmarkEnd w:id="169"/>
      <w:bookmarkEnd w:id="170"/>
    </w:p>
    <w:p w14:paraId="7D3A31EF" w14:textId="77777777" w:rsidR="007D5CED" w:rsidRPr="007D5CED" w:rsidRDefault="007D5CED" w:rsidP="00A3239A">
      <w:pPr>
        <w:rPr>
          <w:lang w:val="en-GB"/>
        </w:rPr>
      </w:pPr>
      <w:r w:rsidRPr="007D5CED">
        <w:rPr>
          <w:lang w:val="en-GB"/>
        </w:rPr>
        <w:t>In this report, domestic violence refers to violence within current or past intimate partner relationships, which can cause physical, sexual or psychological harm.</w:t>
      </w:r>
      <w:r w:rsidRPr="007D5CED">
        <w:rPr>
          <w:vertAlign w:val="superscript"/>
          <w:lang w:val="en-GB"/>
        </w:rPr>
        <w:footnoteReference w:id="38"/>
      </w:r>
      <w:r w:rsidRPr="007D5CED">
        <w:rPr>
          <w:lang w:val="en-GB"/>
        </w:rPr>
        <w:t xml:space="preserve"> Domestic violence can include physical, sexual, emotional, psychological and financial abuse, and often occurs as a pattern of behaviour constituting coercive control.</w:t>
      </w:r>
    </w:p>
    <w:p w14:paraId="3C9A90EA" w14:textId="1459B7D0" w:rsidR="007D5CED" w:rsidRPr="007D5CED" w:rsidRDefault="007D5CED" w:rsidP="00A3239A">
      <w:pPr>
        <w:rPr>
          <w:lang w:val="en-GB"/>
        </w:rPr>
      </w:pPr>
      <w:r w:rsidRPr="007D5CED">
        <w:rPr>
          <w:lang w:val="en-GB"/>
        </w:rPr>
        <w:t>As Chapter 3 outlines, young respondents’ rejection of domestic violence plateaued between 2017 and 2021 despite an improvement over the longer term (mean DVS score; Figure 3-4). Young respondents’ rejection of domestic violence in 2021 was at a lower level than their rejection of sexual violence (Figure</w:t>
      </w:r>
      <w:r w:rsidR="00F157A6">
        <w:rPr>
          <w:lang w:val="en-GB"/>
        </w:rPr>
        <w:t> </w:t>
      </w:r>
      <w:r w:rsidRPr="007D5CED">
        <w:rPr>
          <w:lang w:val="en-GB"/>
        </w:rPr>
        <w:t>3-4). In 2021, 36 per cent of young respondents demonstrated “advanced” rejection of domestic violence (Figure 3-6).</w:t>
      </w:r>
    </w:p>
    <w:p w14:paraId="10B63ADA" w14:textId="77777777" w:rsidR="007D5CED" w:rsidRPr="007D5CED" w:rsidRDefault="007D5CED" w:rsidP="00A3239A">
      <w:pPr>
        <w:rPr>
          <w:lang w:val="en-GB"/>
        </w:rPr>
      </w:pPr>
      <w:r w:rsidRPr="007D5CED">
        <w:rPr>
          <w:lang w:val="en-GB"/>
        </w:rPr>
        <w:t>The Domestic Violence Scale (DVS) consists of 17 AVAWS items – 12 from the Minimise Violence Subscale, four from the Mistrust Women Subscale and one from the Objectify Violence Subscale.</w:t>
      </w:r>
    </w:p>
    <w:p w14:paraId="39FC6881" w14:textId="77777777" w:rsidR="007D5CED" w:rsidRPr="007D5CED" w:rsidRDefault="007D5CED" w:rsidP="00A3239A">
      <w:pPr>
        <w:rPr>
          <w:lang w:val="en-GB"/>
        </w:rPr>
      </w:pPr>
      <w:r w:rsidRPr="007D5CED">
        <w:rPr>
          <w:lang w:val="en-GB"/>
        </w:rPr>
        <w:t>Many young respondents (23–92%) “strongly disagreed” with the problematic attitudes associated with domestic violence measured by the NCAS. For example, the vast majority of young respondents “strongly disagreed” with the following attitudes that minimise domestic violence:</w:t>
      </w:r>
    </w:p>
    <w:p w14:paraId="2341F641" w14:textId="77777777" w:rsidR="007D5CED" w:rsidRPr="007D5CED" w:rsidRDefault="007D5CED" w:rsidP="00A3239A">
      <w:pPr>
        <w:pStyle w:val="ListBullet"/>
        <w:rPr>
          <w:lang w:val="en-GB"/>
        </w:rPr>
      </w:pPr>
      <w:r w:rsidRPr="007D5CED">
        <w:rPr>
          <w:lang w:val="en-GB"/>
        </w:rPr>
        <w:t xml:space="preserve">women should keep quiet about domestic violence to protect their family’s reputation (92%; D30; AVAWS Minimise Violence Subscale) </w:t>
      </w:r>
    </w:p>
    <w:p w14:paraId="3490E9D7" w14:textId="77777777" w:rsidR="007D5CED" w:rsidRPr="007D5CED" w:rsidRDefault="007D5CED" w:rsidP="00A3239A">
      <w:pPr>
        <w:pStyle w:val="ListBullet"/>
        <w:rPr>
          <w:lang w:val="en-GB"/>
        </w:rPr>
      </w:pPr>
      <w:r w:rsidRPr="007D5CED">
        <w:rPr>
          <w:lang w:val="en-GB"/>
        </w:rPr>
        <w:lastRenderedPageBreak/>
        <w:t>women should stay in abusive relationships to keep the family together (88%; D24; AVAWS Minimise Violence Subscale)</w:t>
      </w:r>
    </w:p>
    <w:p w14:paraId="3667A8DC" w14:textId="77777777" w:rsidR="007D5CED" w:rsidRPr="007D5CED" w:rsidRDefault="007D5CED" w:rsidP="00A3239A">
      <w:pPr>
        <w:pStyle w:val="ListBullet"/>
        <w:rPr>
          <w:lang w:val="en-GB"/>
        </w:rPr>
      </w:pPr>
      <w:r w:rsidRPr="007D5CED">
        <w:rPr>
          <w:lang w:val="en-GB"/>
        </w:rPr>
        <w:t>domestic violence can be excused if the offender is heavily affected by alcohol (84%; D20; AVAWS Minimise Violence Subscale).</w:t>
      </w:r>
    </w:p>
    <w:p w14:paraId="41C5CBE6" w14:textId="77777777" w:rsidR="007D5CED" w:rsidRPr="007D5CED" w:rsidRDefault="007D5CED" w:rsidP="00A3239A">
      <w:pPr>
        <w:rPr>
          <w:lang w:val="en-GB"/>
        </w:rPr>
      </w:pPr>
      <w:r w:rsidRPr="007D5CED">
        <w:rPr>
          <w:lang w:val="en-GB"/>
        </w:rPr>
        <w:t>However, a sizeable minority of young respondents endorsed myths or misconceptions about domestic violence that mistrust women’s reports of domestic violence or that minimise this violence or shift blame to the victim or survivor. For example, the following percentages of young respondents agreed, “strongly” or “somewhat”, that:</w:t>
      </w:r>
    </w:p>
    <w:p w14:paraId="5C2C1770" w14:textId="3FD17EB5" w:rsidR="007D5CED" w:rsidRPr="007D5CED" w:rsidRDefault="007D5CED" w:rsidP="00A3239A">
      <w:pPr>
        <w:pStyle w:val="ListBullet"/>
        <w:rPr>
          <w:lang w:val="en-GB"/>
        </w:rPr>
      </w:pPr>
      <w:r w:rsidRPr="007D5CED">
        <w:rPr>
          <w:lang w:val="en-GB"/>
        </w:rPr>
        <w:t>women going through custody battles often make up or exaggerate claims of domestic violence to</w:t>
      </w:r>
      <w:r w:rsidR="00F157A6">
        <w:rPr>
          <w:lang w:val="en-GB"/>
        </w:rPr>
        <w:t> </w:t>
      </w:r>
      <w:r w:rsidRPr="007D5CED">
        <w:rPr>
          <w:lang w:val="en-GB"/>
        </w:rPr>
        <w:t>improve their case (30%; D23; AVAWS Mistrust Women Subscale)</w:t>
      </w:r>
    </w:p>
    <w:p w14:paraId="228BF835" w14:textId="2CC2772E" w:rsidR="007D5CED" w:rsidRPr="007D5CED" w:rsidRDefault="007D5CED" w:rsidP="00A3239A">
      <w:pPr>
        <w:pStyle w:val="ListBullet"/>
        <w:rPr>
          <w:lang w:val="en-GB"/>
        </w:rPr>
      </w:pPr>
      <w:r w:rsidRPr="007D5CED">
        <w:rPr>
          <w:lang w:val="en-GB"/>
        </w:rPr>
        <w:t>a victim who does not leave her abusive partner is partly responsible for the abuse continuing (26%;</w:t>
      </w:r>
      <w:r w:rsidR="00F157A6">
        <w:rPr>
          <w:lang w:val="en-GB"/>
        </w:rPr>
        <w:t> </w:t>
      </w:r>
      <w:r w:rsidRPr="007D5CED">
        <w:rPr>
          <w:lang w:val="en-GB"/>
        </w:rPr>
        <w:t>D29; AVAWS Minimise Violence Subscale)</w:t>
      </w:r>
    </w:p>
    <w:p w14:paraId="6EBDDEE5" w14:textId="264A9ADA" w:rsidR="007D5CED" w:rsidRPr="007D5CED" w:rsidRDefault="007D5CED" w:rsidP="00A3239A">
      <w:pPr>
        <w:pStyle w:val="ListBullet"/>
        <w:rPr>
          <w:lang w:val="en-GB"/>
        </w:rPr>
      </w:pPr>
      <w:r w:rsidRPr="007D5CED">
        <w:rPr>
          <w:lang w:val="en-GB"/>
        </w:rPr>
        <w:t>a lot of what is called domestic violence is really just a</w:t>
      </w:r>
      <w:r w:rsidR="00385C4A">
        <w:rPr>
          <w:lang w:val="en-GB"/>
        </w:rPr>
        <w:t xml:space="preserve"> </w:t>
      </w:r>
      <w:r w:rsidRPr="007D5CED">
        <w:rPr>
          <w:lang w:val="en-GB"/>
        </w:rPr>
        <w:t>normal reaction to day-to-day stress and frustration (18%; D17; AVAWS Minimise Violence Subscale).</w:t>
      </w:r>
    </w:p>
    <w:p w14:paraId="051CE8A3" w14:textId="77777777" w:rsidR="007D5CED" w:rsidRPr="007D5CED" w:rsidRDefault="007D5CED" w:rsidP="00A3239A">
      <w:pPr>
        <w:rPr>
          <w:lang w:val="en-GB"/>
        </w:rPr>
      </w:pPr>
      <w:r w:rsidRPr="007D5CED">
        <w:rPr>
          <w:lang w:val="en-GB"/>
        </w:rPr>
        <w:t>While most young respondents agreed that they would know where to go if they needed outside support for someone experiencing domestic violence, about one third (34%) “strongly” or “somewhat” disagreed with this statement (D33; Figure 7-1).</w:t>
      </w:r>
    </w:p>
    <w:p w14:paraId="411568FE" w14:textId="37AFC317" w:rsidR="007D5CED" w:rsidRPr="007D5CED" w:rsidRDefault="009E399B" w:rsidP="002A2C0C">
      <w:pPr>
        <w:pStyle w:val="datatableheading"/>
      </w:pPr>
      <w:bookmarkStart w:id="171" w:name="_Toc187401257"/>
      <w:r>
        <w:t xml:space="preserve">Figure </w:t>
      </w:r>
      <w:r w:rsidR="005B3A89">
        <w:fldChar w:fldCharType="begin"/>
      </w:r>
      <w:r w:rsidR="005B3A89">
        <w:instrText xml:space="preserve"> STYLEREF 1 \s </w:instrText>
      </w:r>
      <w:r w:rsidR="005B3A89">
        <w:fldChar w:fldCharType="separate"/>
      </w:r>
      <w:r w:rsidR="005B3A89">
        <w:t>7</w:t>
      </w:r>
      <w:r w:rsidR="005B3A89">
        <w:fldChar w:fldCharType="end"/>
      </w:r>
      <w:r w:rsidR="004878AB">
        <w:t>-</w:t>
      </w:r>
      <w:r w:rsidR="005B3A89">
        <w:fldChar w:fldCharType="begin"/>
      </w:r>
      <w:r w:rsidR="005B3A89">
        <w:instrText xml:space="preserve"> SEQ Figure \* ARABIC \s 1 </w:instrText>
      </w:r>
      <w:r w:rsidR="005B3A89">
        <w:fldChar w:fldCharType="separate"/>
      </w:r>
      <w:r w:rsidR="005B3A89">
        <w:t>1</w:t>
      </w:r>
      <w:r w:rsidR="005B3A89">
        <w:fldChar w:fldCharType="end"/>
      </w:r>
      <w:r w:rsidR="007D5CED" w:rsidRPr="007D5CED">
        <w:t>:</w:t>
      </w:r>
      <w:r w:rsidR="008638CE">
        <w:t xml:space="preserve"> </w:t>
      </w:r>
      <w:r w:rsidR="007D5CED" w:rsidRPr="007D5CED">
        <w:t>Knowledge of domestic violence services, 16- to 24-year-olds, 2021</w:t>
      </w:r>
      <w:bookmarkEnd w:id="171"/>
    </w:p>
    <w:p w14:paraId="6D699F74" w14:textId="67970462" w:rsidR="007D5CED" w:rsidRPr="007D5CED" w:rsidRDefault="00C9120F" w:rsidP="00A3239A">
      <w:pPr>
        <w:rPr>
          <w:lang w:val="en-GB"/>
        </w:rPr>
      </w:pPr>
      <w:r>
        <w:rPr>
          <w:noProof/>
          <w:lang w:val="en-GB"/>
        </w:rPr>
        <w:drawing>
          <wp:inline distT="0" distB="0" distL="0" distR="0" wp14:anchorId="27902142" wp14:editId="306A3C47">
            <wp:extent cx="6120130" cy="1419225"/>
            <wp:effectExtent l="0" t="0" r="1270" b="3175"/>
            <wp:docPr id="1646182601" name="Immagine 31" descr="A bar graph that shows the percentage of 16 to 24 year olds who would know where to get outside advice or support for someone about domestic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82601" name="Immagine 31" descr="A bar graph that shows the percentage of 16 to 24 year olds who would know where to get outside advice or support for someone about domestic violence. The data in this graph is in the table belo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1419225"/>
                    </a:xfrm>
                    <a:prstGeom prst="rect">
                      <a:avLst/>
                    </a:prstGeom>
                  </pic:spPr>
                </pic:pic>
              </a:graphicData>
            </a:graphic>
          </wp:inline>
        </w:drawing>
      </w:r>
    </w:p>
    <w:p w14:paraId="7C7D6490" w14:textId="47A814F7" w:rsidR="00B74E21" w:rsidRDefault="007C7437" w:rsidP="002A2C0C">
      <w:pPr>
        <w:pStyle w:val="datatableheading"/>
      </w:pPr>
      <w:r>
        <w:t>Data table for figure 7-7</w:t>
      </w:r>
      <w:r w:rsidR="008374AE">
        <w:t>:</w:t>
      </w:r>
      <w:r w:rsidR="008374AE" w:rsidRPr="008374AE">
        <w:t xml:space="preserve"> </w:t>
      </w:r>
      <w:r w:rsidR="008374AE">
        <w:t>Percentage of 16-24-year-old respondents</w:t>
      </w:r>
      <w:r w:rsidR="00FA4323">
        <w:t xml:space="preserve"> </w:t>
      </w:r>
    </w:p>
    <w:tbl>
      <w:tblPr>
        <w:tblStyle w:val="Table-SingleHeaderRow"/>
        <w:tblW w:w="9899" w:type="dxa"/>
        <w:tblLook w:val="04A0" w:firstRow="1" w:lastRow="0" w:firstColumn="1" w:lastColumn="0" w:noHBand="0" w:noVBand="1"/>
      </w:tblPr>
      <w:tblGrid>
        <w:gridCol w:w="2098"/>
        <w:gridCol w:w="980"/>
        <w:gridCol w:w="1169"/>
        <w:gridCol w:w="980"/>
        <w:gridCol w:w="1169"/>
        <w:gridCol w:w="980"/>
        <w:gridCol w:w="1173"/>
        <w:gridCol w:w="1350"/>
      </w:tblGrid>
      <w:tr w:rsidR="00F157A6" w:rsidRPr="00F157A6" w14:paraId="683776C2" w14:textId="77777777" w:rsidTr="006C5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Pr>
          <w:p w14:paraId="66142B29" w14:textId="77777777" w:rsidR="00F157A6" w:rsidRPr="00F157A6" w:rsidRDefault="00F157A6" w:rsidP="00A3239A">
            <w:pPr>
              <w:rPr>
                <w:sz w:val="18"/>
                <w:szCs w:val="18"/>
                <w:lang w:val="en-US"/>
              </w:rPr>
            </w:pPr>
          </w:p>
        </w:tc>
        <w:tc>
          <w:tcPr>
            <w:tcW w:w="980" w:type="dxa"/>
          </w:tcPr>
          <w:p w14:paraId="2EC8BA0F" w14:textId="3053ADDC"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Strongly disagree</w:t>
            </w:r>
          </w:p>
        </w:tc>
        <w:tc>
          <w:tcPr>
            <w:tcW w:w="1169" w:type="dxa"/>
          </w:tcPr>
          <w:p w14:paraId="65969615" w14:textId="5B09CC33"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Somewhat agree</w:t>
            </w:r>
          </w:p>
        </w:tc>
        <w:tc>
          <w:tcPr>
            <w:tcW w:w="980" w:type="dxa"/>
          </w:tcPr>
          <w:p w14:paraId="5D088C27" w14:textId="145C2C0F"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Neither agree or disagree</w:t>
            </w:r>
          </w:p>
        </w:tc>
        <w:tc>
          <w:tcPr>
            <w:tcW w:w="1169" w:type="dxa"/>
          </w:tcPr>
          <w:p w14:paraId="2BF59CEB" w14:textId="35542912"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Somewhat disagree</w:t>
            </w:r>
          </w:p>
        </w:tc>
        <w:tc>
          <w:tcPr>
            <w:tcW w:w="980" w:type="dxa"/>
          </w:tcPr>
          <w:p w14:paraId="0891BAAB" w14:textId="4189DCA8"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Strongly disagree</w:t>
            </w:r>
          </w:p>
        </w:tc>
        <w:tc>
          <w:tcPr>
            <w:tcW w:w="1173" w:type="dxa"/>
          </w:tcPr>
          <w:p w14:paraId="59B2D6AF" w14:textId="1970CC16"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Undecided</w:t>
            </w:r>
          </w:p>
        </w:tc>
        <w:tc>
          <w:tcPr>
            <w:tcW w:w="1350" w:type="dxa"/>
          </w:tcPr>
          <w:p w14:paraId="3CE2E9FD" w14:textId="6496083B" w:rsidR="00F157A6" w:rsidRPr="00F157A6" w:rsidRDefault="00F157A6" w:rsidP="00A3239A">
            <w:pPr>
              <w:cnfStyle w:val="100000000000" w:firstRow="1" w:lastRow="0" w:firstColumn="0" w:lastColumn="0" w:oddVBand="0" w:evenVBand="0" w:oddHBand="0" w:evenHBand="0" w:firstRowFirstColumn="0" w:firstRowLastColumn="0" w:lastRowFirstColumn="0" w:lastRowLastColumn="0"/>
              <w:rPr>
                <w:sz w:val="18"/>
                <w:szCs w:val="18"/>
                <w:lang w:val="en-US"/>
              </w:rPr>
            </w:pPr>
            <w:r w:rsidRPr="00F157A6">
              <w:rPr>
                <w:bCs/>
                <w:sz w:val="18"/>
                <w:szCs w:val="18"/>
              </w:rPr>
              <w:t>Unanswered</w:t>
            </w:r>
          </w:p>
        </w:tc>
      </w:tr>
      <w:tr w:rsidR="00F157A6" w:rsidRPr="00F157A6" w14:paraId="792CD779" w14:textId="77777777" w:rsidTr="006C5088">
        <w:tc>
          <w:tcPr>
            <w:cnfStyle w:val="001000000000" w:firstRow="0" w:lastRow="0" w:firstColumn="1" w:lastColumn="0" w:oddVBand="0" w:evenVBand="0" w:oddHBand="0" w:evenHBand="0" w:firstRowFirstColumn="0" w:firstRowLastColumn="0" w:lastRowFirstColumn="0" w:lastRowLastColumn="0"/>
            <w:tcW w:w="2098" w:type="dxa"/>
          </w:tcPr>
          <w:p w14:paraId="32D3E73D" w14:textId="3D9D764C" w:rsidR="00F157A6" w:rsidRPr="00F157A6" w:rsidRDefault="00F157A6" w:rsidP="00A3239A">
            <w:pPr>
              <w:rPr>
                <w:sz w:val="18"/>
                <w:szCs w:val="18"/>
                <w:lang w:val="en-US"/>
              </w:rPr>
            </w:pPr>
            <w:r w:rsidRPr="00EA1044">
              <w:rPr>
                <w:sz w:val="18"/>
                <w:szCs w:val="18"/>
                <w:lang w:val="en-AU"/>
              </w:rPr>
              <w:t>Would know where to get outside advice or support for someone about domestic violence (D33)</w:t>
            </w:r>
          </w:p>
        </w:tc>
        <w:tc>
          <w:tcPr>
            <w:tcW w:w="980" w:type="dxa"/>
          </w:tcPr>
          <w:p w14:paraId="065AE52F" w14:textId="4B83064F"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r w:rsidRPr="00F157A6">
              <w:rPr>
                <w:sz w:val="18"/>
                <w:szCs w:val="18"/>
              </w:rPr>
              <w:t>24%</w:t>
            </w:r>
          </w:p>
        </w:tc>
        <w:tc>
          <w:tcPr>
            <w:tcW w:w="1169" w:type="dxa"/>
          </w:tcPr>
          <w:p w14:paraId="6816DD44" w14:textId="00D9A520"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r w:rsidRPr="00F157A6">
              <w:rPr>
                <w:sz w:val="18"/>
                <w:szCs w:val="18"/>
              </w:rPr>
              <w:t>41%</w:t>
            </w:r>
          </w:p>
        </w:tc>
        <w:tc>
          <w:tcPr>
            <w:tcW w:w="980" w:type="dxa"/>
          </w:tcPr>
          <w:p w14:paraId="50336573" w14:textId="77777777"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169" w:type="dxa"/>
          </w:tcPr>
          <w:p w14:paraId="5EC7CE42" w14:textId="135F1F22"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r w:rsidRPr="00F157A6">
              <w:rPr>
                <w:sz w:val="18"/>
                <w:szCs w:val="18"/>
              </w:rPr>
              <w:t>26%</w:t>
            </w:r>
          </w:p>
        </w:tc>
        <w:tc>
          <w:tcPr>
            <w:tcW w:w="980" w:type="dxa"/>
          </w:tcPr>
          <w:p w14:paraId="32409FE1" w14:textId="7D4F0535"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r w:rsidRPr="00F157A6">
              <w:rPr>
                <w:sz w:val="18"/>
                <w:szCs w:val="18"/>
              </w:rPr>
              <w:t>8%</w:t>
            </w:r>
          </w:p>
        </w:tc>
        <w:tc>
          <w:tcPr>
            <w:tcW w:w="1173" w:type="dxa"/>
          </w:tcPr>
          <w:p w14:paraId="744255C6" w14:textId="77777777"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350" w:type="dxa"/>
          </w:tcPr>
          <w:p w14:paraId="2FE1815F" w14:textId="77777777" w:rsidR="00F157A6" w:rsidRPr="00F157A6" w:rsidRDefault="00F157A6" w:rsidP="00A3239A">
            <w:pPr>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0817146A" w14:textId="74C2D989"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447. Percentages in the figure do not always add to 100 due to rounding. Asked of one quarter of the sample in 2021. </w:t>
      </w:r>
    </w:p>
    <w:p w14:paraId="5B746D7B" w14:textId="116F3807" w:rsidR="00B74E21" w:rsidRPr="007D5CED" w:rsidRDefault="007D5CED" w:rsidP="00A3239A">
      <w:pPr>
        <w:pStyle w:val="Normal8pt"/>
      </w:pPr>
      <w:r w:rsidRPr="007D5CED">
        <w:rPr>
          <w:bCs/>
        </w:rPr>
        <w:t>ns</w:t>
      </w:r>
      <w:r w:rsidRPr="007D5CED">
        <w:t xml:space="preserve"> No significant difference between 2021 and 2017.</w:t>
      </w:r>
    </w:p>
    <w:p w14:paraId="01143B8D" w14:textId="064339CE" w:rsidR="007D5CED" w:rsidRPr="007D5CED" w:rsidRDefault="007D5CED" w:rsidP="0084332B">
      <w:pPr>
        <w:pStyle w:val="Heading4"/>
      </w:pPr>
      <w:r w:rsidRPr="007D5CED">
        <w:t>Comparing by gender: Young people’s attitudes towards domestic violence</w:t>
      </w:r>
    </w:p>
    <w:p w14:paraId="003D5263" w14:textId="77777777" w:rsidR="007D5CED" w:rsidRPr="007D5CED" w:rsidRDefault="007D5CED" w:rsidP="00A3239A">
      <w:pPr>
        <w:rPr>
          <w:lang w:val="en-GB"/>
        </w:rPr>
      </w:pPr>
      <w:r w:rsidRPr="007D5CED">
        <w:rPr>
          <w:lang w:val="en-GB"/>
        </w:rPr>
        <w:t>There were consistent gender differences in young respondents’ attitudes towards domestic violence (Appendix C and Section 6.3). Young women were significantly more likely than young men to reject domestic violence according to mean DVS score</w:t>
      </w:r>
      <w:r w:rsidRPr="007D5CED">
        <w:rPr>
          <w:vertAlign w:val="superscript"/>
          <w:lang w:val="en-GB"/>
        </w:rPr>
        <w:footnoteReference w:id="39"/>
      </w:r>
      <w:r w:rsidRPr="007D5CED">
        <w:rPr>
          <w:lang w:val="en-GB"/>
        </w:rPr>
        <w:t xml:space="preserve"> and scores on all three AVAWS subscales, including on the Minimise Violence Subscale, which includes many domestic violence items. Many of these gender differences were also evident at the item level.</w:t>
      </w:r>
    </w:p>
    <w:p w14:paraId="4B8E625A" w14:textId="77777777" w:rsidR="007D5CED" w:rsidRPr="007D5CED" w:rsidRDefault="007D5CED" w:rsidP="0084332B">
      <w:pPr>
        <w:pStyle w:val="Heading4"/>
      </w:pPr>
      <w:r w:rsidRPr="007D5CED">
        <w:lastRenderedPageBreak/>
        <w:t>Comparing by age: Attitudes towards domestic violence</w:t>
      </w:r>
    </w:p>
    <w:p w14:paraId="6CF2F5DE" w14:textId="69312D65" w:rsidR="007D5CED" w:rsidRPr="007D5CED" w:rsidRDefault="007D5CED" w:rsidP="00A3239A">
      <w:pPr>
        <w:rPr>
          <w:lang w:val="en-GB"/>
        </w:rPr>
      </w:pPr>
      <w:r w:rsidRPr="007D5CED">
        <w:rPr>
          <w:lang w:val="en-GB"/>
        </w:rPr>
        <w:t>Comparing the two youth age groups, 18- to 24-year-olds demonstrated significantly higher rejection of</w:t>
      </w:r>
      <w:r w:rsidR="00874AD6">
        <w:rPr>
          <w:lang w:val="en-GB"/>
        </w:rPr>
        <w:t> </w:t>
      </w:r>
      <w:r w:rsidRPr="007D5CED">
        <w:rPr>
          <w:lang w:val="en-GB"/>
        </w:rPr>
        <w:t>domestic violence than 16- to 17-year-olds, according to mean DVS scores. This finding was reflected in the results for several items where 16- to 17-year-olds were less certain or less emphatic in their rejection of problematic attitudes regarding domestic violence. That is, compared to 18-to 24-year-olds, 16- to 17-year-olds were significantly less likely to “strongly disagree” and/or more likely to “somewhat disagree” with some attitudes that minimise domestic violence (D20, D21, D22, D19; Section 6.4 and Appendix A).</w:t>
      </w:r>
    </w:p>
    <w:p w14:paraId="3FCF2E19" w14:textId="743F209F" w:rsidR="007D5CED" w:rsidRPr="007D5CED" w:rsidRDefault="007D5CED" w:rsidP="00A3239A">
      <w:pPr>
        <w:rPr>
          <w:lang w:val="en-GB"/>
        </w:rPr>
      </w:pPr>
      <w:r w:rsidRPr="007D5CED">
        <w:rPr>
          <w:lang w:val="en-GB"/>
        </w:rPr>
        <w:t>Comparing young respondents (aged 16 to 24 years) with respondents aged 25 years or older, there</w:t>
      </w:r>
      <w:r w:rsidR="00874AD6">
        <w:rPr>
          <w:lang w:val="en-GB"/>
        </w:rPr>
        <w:t> </w:t>
      </w:r>
      <w:r w:rsidRPr="007D5CED">
        <w:rPr>
          <w:lang w:val="en-GB"/>
        </w:rPr>
        <w:t>was no significant difference in overall rejection of domestic violence according to mean DVS scores. In addition, there were significant differences on only a few DVS items, which showed weaker rejection by young respondents of problematic attitudes towards domestic violence. That is, compared to those aged 25 years or older, young respondents were significantly less likely to “strongly disagree” and/or significantly more likely to “somewhat disagree” with attitudes that minimise domestic violence or mistrust reports of domestic violence (D20, D22, D16, D19, D23; Section 6.4 and Appendix B, Table</w:t>
      </w:r>
      <w:r w:rsidR="00874AD6">
        <w:rPr>
          <w:lang w:val="en-GB"/>
        </w:rPr>
        <w:t> </w:t>
      </w:r>
      <w:r w:rsidRPr="007D5CED">
        <w:rPr>
          <w:lang w:val="en-GB"/>
        </w:rPr>
        <w:t xml:space="preserve">14-7). However, young respondents (64%) were significantly </w:t>
      </w:r>
      <w:r w:rsidRPr="0073256E">
        <w:rPr>
          <w:rStyle w:val="Emphasis"/>
          <w:lang w:val="en-US"/>
        </w:rPr>
        <w:t>more likely</w:t>
      </w:r>
      <w:r w:rsidRPr="007D5CED">
        <w:rPr>
          <w:lang w:val="en-GB"/>
        </w:rPr>
        <w:t xml:space="preserve"> than respondents aged 25</w:t>
      </w:r>
      <w:r w:rsidR="00874AD6">
        <w:rPr>
          <w:lang w:val="en-GB"/>
        </w:rPr>
        <w:t> </w:t>
      </w:r>
      <w:r w:rsidRPr="007D5CED">
        <w:rPr>
          <w:lang w:val="en-GB"/>
        </w:rPr>
        <w:t>years or older to indicate that they would know where to go if they needed help or support for someone experiencing domestic violence (55%; D33; Appendix B, Table 14-3).</w:t>
      </w:r>
    </w:p>
    <w:p w14:paraId="0A285704" w14:textId="2BD57FF5" w:rsidR="007D5CED" w:rsidRPr="007D5CED" w:rsidRDefault="007D5CED" w:rsidP="00DC3FE8">
      <w:pPr>
        <w:pStyle w:val="Heading3"/>
      </w:pPr>
      <w:bookmarkStart w:id="172" w:name="_Toc152532406"/>
      <w:bookmarkStart w:id="173" w:name="_Toc190941692"/>
      <w:bookmarkStart w:id="174" w:name="_Toc190942392"/>
      <w:r w:rsidRPr="007D5CED">
        <w:t>7.2</w:t>
      </w:r>
      <w:r w:rsidR="00931C8E">
        <w:t xml:space="preserve"> </w:t>
      </w:r>
      <w:r w:rsidRPr="007D5CED">
        <w:t>Sexual violence</w:t>
      </w:r>
      <w:bookmarkEnd w:id="172"/>
      <w:bookmarkEnd w:id="173"/>
      <w:bookmarkEnd w:id="174"/>
    </w:p>
    <w:p w14:paraId="489EF770" w14:textId="6DA5AD7B" w:rsidR="007D5CED" w:rsidRPr="00874AD6" w:rsidRDefault="007D5CED" w:rsidP="00A3239A">
      <w:pPr>
        <w:rPr>
          <w:spacing w:val="-2"/>
          <w:lang w:val="en-GB"/>
        </w:rPr>
      </w:pPr>
      <w:r w:rsidRPr="00874AD6">
        <w:rPr>
          <w:spacing w:val="-2"/>
          <w:lang w:val="en-GB"/>
        </w:rPr>
        <w:t>The Sexual Violence Scale (SVS) comprises 24 AVAWS items and breaks down into the Sexual Assault Scale (SAS; 18 items) and the Sexual Harassment Scale (SHS; 6 items). The 18 items in the SAS comprise one item from the Minimise Violence Subscale, seven items from the Mistrust Women Subscale and 10</w:t>
      </w:r>
      <w:r w:rsidR="00874AD6" w:rsidRPr="00874AD6">
        <w:rPr>
          <w:spacing w:val="-2"/>
          <w:lang w:val="en-GB"/>
        </w:rPr>
        <w:t> </w:t>
      </w:r>
      <w:r w:rsidRPr="00874AD6">
        <w:rPr>
          <w:spacing w:val="-2"/>
          <w:lang w:val="en-GB"/>
        </w:rPr>
        <w:t>items from the Objectify Women Subscale. The six items in the SHS consist of four items from the Objectify Women Subscale and one item each from the Minimise Violence and Mistrust Women</w:t>
      </w:r>
      <w:r w:rsidR="00874AD6" w:rsidRPr="00874AD6">
        <w:rPr>
          <w:spacing w:val="-2"/>
          <w:lang w:val="en-GB"/>
        </w:rPr>
        <w:t> </w:t>
      </w:r>
      <w:r w:rsidRPr="00874AD6">
        <w:rPr>
          <w:spacing w:val="-2"/>
          <w:lang w:val="en-GB"/>
        </w:rPr>
        <w:t>Subscales.</w:t>
      </w:r>
    </w:p>
    <w:p w14:paraId="46A8C54B" w14:textId="0E93455A" w:rsidR="00385C4A" w:rsidRDefault="007D5CED" w:rsidP="00A3239A">
      <w:pPr>
        <w:rPr>
          <w:lang w:val="en-GB"/>
        </w:rPr>
      </w:pPr>
      <w:r w:rsidRPr="00874AD6">
        <w:rPr>
          <w:spacing w:val="-4"/>
          <w:lang w:val="en-GB"/>
        </w:rPr>
        <w:t>As detailed in Chapter 3, rejection of problematic attitudes towards sexual violence, including towards</w:t>
      </w:r>
      <w:r w:rsidR="00874AD6" w:rsidRPr="00874AD6">
        <w:rPr>
          <w:spacing w:val="-4"/>
          <w:lang w:val="en-GB"/>
        </w:rPr>
        <w:t> </w:t>
      </w:r>
      <w:r w:rsidRPr="00874AD6">
        <w:rPr>
          <w:spacing w:val="-4"/>
          <w:lang w:val="en-GB"/>
        </w:rPr>
        <w:t>both sexual assault and sexual harassment, improved between 2017 and 2021 (Figure 3-4). Young</w:t>
      </w:r>
      <w:r w:rsidR="00874AD6" w:rsidRPr="00874AD6">
        <w:rPr>
          <w:spacing w:val="-4"/>
          <w:lang w:val="en-GB"/>
        </w:rPr>
        <w:t> </w:t>
      </w:r>
      <w:r w:rsidRPr="00874AD6">
        <w:rPr>
          <w:spacing w:val="-4"/>
          <w:lang w:val="en-GB"/>
        </w:rPr>
        <w:t>respondents’ rejection of sexual violence in 2021 was at a higher level than their rejection of</w:t>
      </w:r>
      <w:r w:rsidR="00874AD6" w:rsidRPr="00874AD6">
        <w:rPr>
          <w:spacing w:val="-4"/>
          <w:lang w:val="en-GB"/>
        </w:rPr>
        <w:t> </w:t>
      </w:r>
      <w:r w:rsidRPr="00874AD6">
        <w:rPr>
          <w:spacing w:val="-4"/>
          <w:lang w:val="en-GB"/>
        </w:rPr>
        <w:t>domestic violence and their understanding and rejection of technology-facilitated abuse (Figure 3-4). In</w:t>
      </w:r>
      <w:r w:rsidR="00874AD6" w:rsidRPr="00874AD6">
        <w:rPr>
          <w:spacing w:val="-4"/>
          <w:lang w:val="en-GB"/>
        </w:rPr>
        <w:t> </w:t>
      </w:r>
      <w:r w:rsidRPr="00874AD6">
        <w:rPr>
          <w:spacing w:val="-4"/>
          <w:lang w:val="en-GB"/>
        </w:rPr>
        <w:t>2021, 43 per cent of young respondents demonstrated “advanced” rejection of sexual violence (Figure 3-6).</w:t>
      </w:r>
    </w:p>
    <w:p w14:paraId="0754FC1D" w14:textId="77777777" w:rsidR="007D5CED" w:rsidRPr="007D5CED" w:rsidRDefault="007D5CED" w:rsidP="0084332B">
      <w:pPr>
        <w:pStyle w:val="Heading4"/>
      </w:pPr>
      <w:r w:rsidRPr="007D5CED">
        <w:t>Sexual assault</w:t>
      </w:r>
    </w:p>
    <w:p w14:paraId="62588D38" w14:textId="69ED274A" w:rsidR="007D5CED" w:rsidRPr="007D5CED" w:rsidRDefault="007D5CED" w:rsidP="00A3239A">
      <w:pPr>
        <w:rPr>
          <w:lang w:val="en-GB"/>
        </w:rPr>
      </w:pPr>
      <w:r w:rsidRPr="007D5CED">
        <w:rPr>
          <w:lang w:val="en-GB"/>
        </w:rPr>
        <w:t>Sexual assault is a form of sexual violence, where sexual activity occurs without consent, including where consent is not freely given or obtained or is withdrawn, or a person is unable to consent due to</w:t>
      </w:r>
      <w:r w:rsidR="00874AD6">
        <w:rPr>
          <w:lang w:val="en-GB"/>
        </w:rPr>
        <w:t> </w:t>
      </w:r>
      <w:r w:rsidRPr="007D5CED">
        <w:rPr>
          <w:lang w:val="en-GB"/>
        </w:rPr>
        <w:t>their age or other factors (Attorney-General’s Department, 2022). Sexual assault occurs any time a</w:t>
      </w:r>
      <w:r w:rsidR="00874AD6">
        <w:rPr>
          <w:lang w:val="en-GB"/>
        </w:rPr>
        <w:t> </w:t>
      </w:r>
      <w:r w:rsidRPr="007D5CED">
        <w:rPr>
          <w:lang w:val="en-GB"/>
        </w:rPr>
        <w:t>person is forced, coerced or manipulated into any sexual activity, including coercing a person to</w:t>
      </w:r>
      <w:r w:rsidR="00874AD6">
        <w:rPr>
          <w:lang w:val="en-GB"/>
        </w:rPr>
        <w:t> </w:t>
      </w:r>
      <w:r w:rsidRPr="007D5CED">
        <w:rPr>
          <w:lang w:val="en-GB"/>
        </w:rPr>
        <w:t>engage in sexualised touching, kissing or rape.</w:t>
      </w:r>
    </w:p>
    <w:p w14:paraId="7A2E8F62" w14:textId="5E0B70C0" w:rsidR="007D5CED" w:rsidRPr="007D5CED" w:rsidRDefault="007D5CED" w:rsidP="00A3239A">
      <w:pPr>
        <w:rPr>
          <w:lang w:val="en-GB"/>
        </w:rPr>
      </w:pPr>
      <w:r w:rsidRPr="007D5CED">
        <w:rPr>
          <w:lang w:val="en-GB"/>
        </w:rPr>
        <w:t>Most young respondents (70–90%) “strongly disagreed” with all the problematic attitudes examined by</w:t>
      </w:r>
      <w:r w:rsidR="00874AD6">
        <w:rPr>
          <w:lang w:val="en-GB"/>
        </w:rPr>
        <w:t> </w:t>
      </w:r>
      <w:r w:rsidRPr="007D5CED">
        <w:rPr>
          <w:lang w:val="en-GB"/>
        </w:rPr>
        <w:t>the (SAS) that justify or excuse rape. For example, the majority of young respondents “strongly disagreed” that a man was justified in forcing sex on a woman if she had chosen to meet him after connecting on a dating app (87%; S21; AVAWS Objectify Women Subscale).</w:t>
      </w:r>
    </w:p>
    <w:p w14:paraId="673F8DF9" w14:textId="7DCEF888" w:rsidR="007D5CED" w:rsidRPr="007D5CED" w:rsidRDefault="007D5CED" w:rsidP="00A3239A">
      <w:pPr>
        <w:rPr>
          <w:lang w:val="en-GB"/>
        </w:rPr>
      </w:pPr>
      <w:r w:rsidRPr="007D5CED">
        <w:rPr>
          <w:lang w:val="en-GB"/>
        </w:rPr>
        <w:t>However, the findings indicate that young respondents, like respondents aged 25 years or older, tend</w:t>
      </w:r>
      <w:r w:rsidR="00874AD6">
        <w:rPr>
          <w:lang w:val="en-GB"/>
        </w:rPr>
        <w:t> </w:t>
      </w:r>
      <w:r w:rsidRPr="007D5CED">
        <w:rPr>
          <w:lang w:val="en-GB"/>
        </w:rPr>
        <w:t>to think that rape is more justifiable if a woman initially shows interest in having sex, revealing a</w:t>
      </w:r>
      <w:r w:rsidR="00874AD6">
        <w:rPr>
          <w:lang w:val="en-GB"/>
        </w:rPr>
        <w:t> </w:t>
      </w:r>
      <w:r w:rsidRPr="007D5CED">
        <w:rPr>
          <w:lang w:val="en-GB"/>
        </w:rPr>
        <w:t>lack of understanding that consent is an active and ongoing communication process. For example, the 2021 NCAS included two scenarios about sexual consent, one about a married couple (Figure 7-2) and the other about a couple who had just met at a party (Figure 7-3). The majority of young respondents “strongly disagreed” that the man in each scenario was justified in forcing sex when he</w:t>
      </w:r>
      <w:r w:rsidR="00874AD6">
        <w:rPr>
          <w:lang w:val="en-GB"/>
        </w:rPr>
        <w:t> </w:t>
      </w:r>
      <w:r w:rsidRPr="007D5CED">
        <w:rPr>
          <w:lang w:val="en-GB"/>
        </w:rPr>
        <w:t xml:space="preserve">had initiated intimacy (90% for the married scenario, S12; 89% for the acquaintance scenario, S14). However, for both scenarios, fewer young respondents “strongly disagreed” that forced sex was justified when the woman had initiated intimacy but then pushed the man away (70% for the married scenario, S13; 72% for the acquaintance scenario, S15). Further, based on these consent scenarios, there was no significant improvement in young respondents’ attitudes towards sexual consent in 2021 compared to previous survey waves. </w:t>
      </w:r>
    </w:p>
    <w:p w14:paraId="62039340" w14:textId="4BAEAD5E" w:rsidR="003A27A7" w:rsidRDefault="007D5CED" w:rsidP="00A3239A">
      <w:pPr>
        <w:rPr>
          <w:lang w:val="en-GB"/>
        </w:rPr>
      </w:pPr>
      <w:r w:rsidRPr="007D5CED">
        <w:rPr>
          <w:lang w:val="en-GB"/>
        </w:rPr>
        <w:lastRenderedPageBreak/>
        <w:t>In addition to demonstrating a misconception about the ongoing nature of consent, the findings for these consent scenarios may also reflect some acceptance of rigid gender roles that position women as</w:t>
      </w:r>
      <w:r w:rsidR="00874AD6">
        <w:rPr>
          <w:lang w:val="en-GB"/>
        </w:rPr>
        <w:t> </w:t>
      </w:r>
      <w:r w:rsidRPr="007D5CED">
        <w:rPr>
          <w:lang w:val="en-GB"/>
        </w:rPr>
        <w:t xml:space="preserve">the gatekeepers responsible for refusing sex and men as the biologically driven pursuers in sexual encounters. For example, only 60 per cent of young respondents “strongly disagreed” that the woman should not be the one to initiate sex when a couple start dating and 5 per cent “somewhat” or “strongly agreed” with this statement (G15). Similarly, only 55 per cent of young respondents “strongly disagreed” that a man may not realise that the woman doesn’t want to have sex if he is very sexually aroused and 29 per cent “somewhat” or “strongly” agreed with this misconception (S8). It is also concerning that only 75 per cent of young respondents “strongly disagreed” that women often say “no” when they mean “yes” and 1 in 10 (10%) agreed (S5). </w:t>
      </w:r>
    </w:p>
    <w:p w14:paraId="1F3B58E2" w14:textId="5BA70EC7" w:rsidR="007D5CED" w:rsidRPr="007D5CED" w:rsidRDefault="00C9120F" w:rsidP="002A2C0C">
      <w:pPr>
        <w:pStyle w:val="figuretableheading"/>
      </w:pPr>
      <w:bookmarkStart w:id="175" w:name="_Toc187401258"/>
      <w:r>
        <w:t xml:space="preserve">Figure </w:t>
      </w:r>
      <w:r w:rsidR="005B3A89">
        <w:fldChar w:fldCharType="begin"/>
      </w:r>
      <w:r w:rsidR="005B3A89">
        <w:instrText xml:space="preserve"> STYLEREF 1 \s </w:instrText>
      </w:r>
      <w:r w:rsidR="005B3A89">
        <w:fldChar w:fldCharType="separate"/>
      </w:r>
      <w:r w:rsidR="005B3A89">
        <w:t>7</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2</w:t>
      </w:r>
      <w:r w:rsidR="005B3A89">
        <w:fldChar w:fldCharType="end"/>
      </w:r>
      <w:r w:rsidR="007D5CED" w:rsidRPr="007D5CED">
        <w:t>:</w:t>
      </w:r>
      <w:r w:rsidR="00421892">
        <w:t xml:space="preserve"> </w:t>
      </w:r>
      <w:r w:rsidR="007D5CED" w:rsidRPr="007D5CED">
        <w:t>Sexual consent scenario (AVAWS Objectify Women Subscale items), married couple variation, 16-</w:t>
      </w:r>
      <w:r w:rsidR="00874AD6">
        <w:t> </w:t>
      </w:r>
      <w:r w:rsidR="007D5CED" w:rsidRPr="007D5CED">
        <w:t>to</w:t>
      </w:r>
      <w:r w:rsidR="00874AD6">
        <w:t> </w:t>
      </w:r>
      <w:r w:rsidR="007D5CED" w:rsidRPr="007D5CED">
        <w:t>24</w:t>
      </w:r>
      <w:r w:rsidR="00874AD6">
        <w:noBreakHyphen/>
      </w:r>
      <w:r w:rsidR="007D5CED" w:rsidRPr="007D5CED">
        <w:t>year</w:t>
      </w:r>
      <w:r w:rsidR="00874AD6">
        <w:noBreakHyphen/>
      </w:r>
      <w:r w:rsidR="007D5CED" w:rsidRPr="007D5CED">
        <w:t>olds, 2021</w:t>
      </w:r>
      <w:bookmarkEnd w:id="175"/>
    </w:p>
    <w:p w14:paraId="42CDAB25" w14:textId="708C66C7" w:rsidR="007D5CED" w:rsidRPr="007D5CED" w:rsidRDefault="003A27A7" w:rsidP="00A3239A">
      <w:pPr>
        <w:rPr>
          <w:lang w:val="en-GB"/>
        </w:rPr>
      </w:pPr>
      <w:r>
        <w:rPr>
          <w:noProof/>
          <w:lang w:val="en-GB"/>
        </w:rPr>
        <w:drawing>
          <wp:inline distT="0" distB="0" distL="0" distR="0" wp14:anchorId="554FD614" wp14:editId="4BA913D2">
            <wp:extent cx="6120130" cy="2912110"/>
            <wp:effectExtent l="0" t="0" r="0" b="0"/>
            <wp:docPr id="199074406" name="Immagine 32" descr="A bar graph that shows 16 to 24 year old respondents responding to a sexual consent scenario.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406" name="Immagine 32" descr="A bar graph that shows 16 to 24 year old respondents responding to a sexual consent scenario. The data in this graph is in the table belo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130" cy="2912110"/>
                    </a:xfrm>
                    <a:prstGeom prst="rect">
                      <a:avLst/>
                    </a:prstGeom>
                  </pic:spPr>
                </pic:pic>
              </a:graphicData>
            </a:graphic>
          </wp:inline>
        </w:drawing>
      </w:r>
    </w:p>
    <w:p w14:paraId="22CF2F0D" w14:textId="53125F2D" w:rsidR="0005317A" w:rsidRPr="00A35248" w:rsidRDefault="00DA01C2" w:rsidP="006C5088">
      <w:pPr>
        <w:pStyle w:val="datatableheading"/>
      </w:pPr>
      <w:r>
        <w:t>Data table for figure 7-2</w:t>
      </w:r>
      <w:r w:rsidR="00FA4323">
        <w:t>:</w:t>
      </w:r>
      <w:r w:rsidR="006C5088">
        <w:t xml:space="preserve"> </w:t>
      </w:r>
      <w:r w:rsidR="0005317A" w:rsidRPr="00A35248">
        <w:t>After coming home from a party, a man kisses his wife and tries to have sex with her</w:t>
      </w:r>
      <w:r w:rsidR="006C5088">
        <w:t>…</w:t>
      </w:r>
      <w:r w:rsidR="006C5088" w:rsidRPr="006C5088">
        <w:t xml:space="preserve"> </w:t>
      </w:r>
      <w:r w:rsidR="006C5088">
        <w:t>Percentage of 16-24-year-old respondents</w:t>
      </w:r>
    </w:p>
    <w:tbl>
      <w:tblPr>
        <w:tblStyle w:val="Table-SingleHeaderRow"/>
        <w:tblW w:w="9685" w:type="dxa"/>
        <w:tblLayout w:type="fixed"/>
        <w:tblLook w:val="04A0" w:firstRow="1" w:lastRow="0" w:firstColumn="1" w:lastColumn="0" w:noHBand="0" w:noVBand="1"/>
      </w:tblPr>
      <w:tblGrid>
        <w:gridCol w:w="2778"/>
        <w:gridCol w:w="992"/>
        <w:gridCol w:w="1191"/>
        <w:gridCol w:w="1191"/>
        <w:gridCol w:w="992"/>
        <w:gridCol w:w="1191"/>
        <w:gridCol w:w="1350"/>
      </w:tblGrid>
      <w:tr w:rsidR="0005317A" w:rsidRPr="008E6594" w14:paraId="09521719" w14:textId="77777777" w:rsidTr="00874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tcPr>
          <w:p w14:paraId="33CA458D" w14:textId="77777777" w:rsidR="0005317A" w:rsidRPr="007E1C6F" w:rsidRDefault="0005317A" w:rsidP="00A3239A">
            <w:pPr>
              <w:pStyle w:val="Tablebody"/>
            </w:pPr>
          </w:p>
        </w:tc>
        <w:tc>
          <w:tcPr>
            <w:tcW w:w="992" w:type="dxa"/>
          </w:tcPr>
          <w:p w14:paraId="71DAFDAC"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191" w:type="dxa"/>
          </w:tcPr>
          <w:p w14:paraId="7942AC50"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191" w:type="dxa"/>
          </w:tcPr>
          <w:p w14:paraId="0DD96A95"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992" w:type="dxa"/>
          </w:tcPr>
          <w:p w14:paraId="68DA90CC"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191" w:type="dxa"/>
          </w:tcPr>
          <w:p w14:paraId="23F1C491"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0D0EBC15" w14:textId="77777777" w:rsidR="0005317A" w:rsidRPr="008E6594" w:rsidRDefault="0005317A"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05317A" w:rsidRPr="0059354B" w14:paraId="002AF496" w14:textId="77777777" w:rsidTr="00874AD6">
        <w:tc>
          <w:tcPr>
            <w:cnfStyle w:val="001000000000" w:firstRow="0" w:lastRow="0" w:firstColumn="1" w:lastColumn="0" w:oddVBand="0" w:evenVBand="0" w:oddHBand="0" w:evenHBand="0" w:firstRowFirstColumn="0" w:firstRowLastColumn="0" w:lastRowFirstColumn="0" w:lastRowLastColumn="0"/>
            <w:tcW w:w="2778" w:type="dxa"/>
          </w:tcPr>
          <w:p w14:paraId="2D4CC6AA" w14:textId="2696B2F1" w:rsidR="0005317A" w:rsidRPr="007E1C6F" w:rsidRDefault="0059354B" w:rsidP="00A3239A">
            <w:pPr>
              <w:pStyle w:val="Tablebody"/>
            </w:pPr>
            <w:r>
              <w:t>She pushes him away but he has sex with her anyway. Do</w:t>
            </w:r>
            <w:r w:rsidR="00874AD6">
              <w:t> </w:t>
            </w:r>
            <w:r>
              <w:t>you agree or disagree that the man is justified in his behaviour? (S12)</w:t>
            </w:r>
            <w:r w:rsidR="008D64A8">
              <w:t xml:space="preserve"> </w:t>
            </w:r>
            <w:r w:rsidR="008D64A8" w:rsidRPr="007D05B5">
              <w:rPr>
                <w:kern w:val="2"/>
                <w:sz w:val="20"/>
                <w:vertAlign w:val="superscript"/>
              </w:rPr>
              <w:t>ns</w:t>
            </w:r>
          </w:p>
        </w:tc>
        <w:tc>
          <w:tcPr>
            <w:tcW w:w="992" w:type="dxa"/>
          </w:tcPr>
          <w:p w14:paraId="756E4484" w14:textId="0839ED8A" w:rsidR="0005317A"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191" w:type="dxa"/>
          </w:tcPr>
          <w:p w14:paraId="22477736" w14:textId="4DC78F95" w:rsidR="0005317A"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2AB524D1" w14:textId="5788D34E" w:rsidR="0005317A" w:rsidRPr="00D621A7" w:rsidRDefault="004A55B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992" w:type="dxa"/>
          </w:tcPr>
          <w:p w14:paraId="0252235F" w14:textId="2BE6F772" w:rsidR="0005317A"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90%</w:t>
            </w:r>
          </w:p>
        </w:tc>
        <w:tc>
          <w:tcPr>
            <w:tcW w:w="1191" w:type="dxa"/>
          </w:tcPr>
          <w:p w14:paraId="2423A4E4" w14:textId="58D80FFB" w:rsidR="0005317A"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06798D36" w14:textId="77777777" w:rsidR="0005317A" w:rsidRDefault="0005317A" w:rsidP="00A3239A">
            <w:pPr>
              <w:pStyle w:val="Tablebody"/>
              <w:cnfStyle w:val="000000000000" w:firstRow="0" w:lastRow="0" w:firstColumn="0" w:lastColumn="0" w:oddVBand="0" w:evenVBand="0" w:oddHBand="0" w:evenHBand="0" w:firstRowFirstColumn="0" w:firstRowLastColumn="0" w:lastRowFirstColumn="0" w:lastRowLastColumn="0"/>
            </w:pPr>
          </w:p>
        </w:tc>
      </w:tr>
      <w:tr w:rsidR="0059354B" w:rsidRPr="0059354B" w14:paraId="51F7C534" w14:textId="77777777" w:rsidTr="00874AD6">
        <w:tc>
          <w:tcPr>
            <w:cnfStyle w:val="001000000000" w:firstRow="0" w:lastRow="0" w:firstColumn="1" w:lastColumn="0" w:oddVBand="0" w:evenVBand="0" w:oddHBand="0" w:evenHBand="0" w:firstRowFirstColumn="0" w:firstRowLastColumn="0" w:lastRowFirstColumn="0" w:lastRowLastColumn="0"/>
            <w:tcW w:w="2778" w:type="dxa"/>
          </w:tcPr>
          <w:p w14:paraId="7A333D4D" w14:textId="68927236" w:rsidR="0059354B" w:rsidRDefault="0059354B" w:rsidP="00A3239A">
            <w:pPr>
              <w:pStyle w:val="Tablebody"/>
            </w:pPr>
            <w:r>
              <w:t>What if she had taken him into the bedroom and started kissing him before pushing him away? Do you agree or disagree that the man would have been justified in having sex with her anyway? (S13)</w:t>
            </w:r>
            <w:r w:rsidR="008D64A8">
              <w:t xml:space="preserve"> </w:t>
            </w:r>
            <w:r w:rsidR="008D64A8" w:rsidRPr="007D05B5">
              <w:rPr>
                <w:kern w:val="2"/>
                <w:sz w:val="20"/>
                <w:vertAlign w:val="superscript"/>
              </w:rPr>
              <w:t>ns</w:t>
            </w:r>
          </w:p>
        </w:tc>
        <w:tc>
          <w:tcPr>
            <w:tcW w:w="992" w:type="dxa"/>
          </w:tcPr>
          <w:p w14:paraId="1AC3A76A" w14:textId="367F1EF4" w:rsidR="0059354B"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5EFA4B79" w14:textId="01D43090" w:rsidR="0059354B"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191" w:type="dxa"/>
          </w:tcPr>
          <w:p w14:paraId="432E431D" w14:textId="3D312AFE" w:rsidR="0059354B" w:rsidRPr="00D621A7" w:rsidRDefault="004A55B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16%</w:t>
            </w:r>
          </w:p>
        </w:tc>
        <w:tc>
          <w:tcPr>
            <w:tcW w:w="992" w:type="dxa"/>
          </w:tcPr>
          <w:p w14:paraId="60D1876D" w14:textId="099652FD" w:rsidR="0059354B"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70%</w:t>
            </w:r>
          </w:p>
        </w:tc>
        <w:tc>
          <w:tcPr>
            <w:tcW w:w="1191" w:type="dxa"/>
          </w:tcPr>
          <w:p w14:paraId="61453CE8" w14:textId="7E125878" w:rsidR="0059354B"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4%</w:t>
            </w:r>
          </w:p>
        </w:tc>
        <w:tc>
          <w:tcPr>
            <w:tcW w:w="1350" w:type="dxa"/>
          </w:tcPr>
          <w:p w14:paraId="383E8818" w14:textId="77777777" w:rsidR="0059354B" w:rsidRDefault="0059354B"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672B8A7F" w14:textId="2DADDCF3"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 xml:space="preserve">N </w:t>
      </w:r>
      <w:r w:rsidRPr="007D5CED">
        <w:t>= 400. Asked of one quarter of the sample in 2021. Percentages in the figure do not always add to 100 due to rounding.</w:t>
      </w:r>
    </w:p>
    <w:p w14:paraId="0C6D2519" w14:textId="77777777" w:rsidR="007D5CED" w:rsidRDefault="007D5CED" w:rsidP="00A3239A">
      <w:pPr>
        <w:pStyle w:val="Normal8pt"/>
      </w:pPr>
      <w:r w:rsidRPr="007D5CED">
        <w:rPr>
          <w:bCs/>
        </w:rPr>
        <w:t>ns</w:t>
      </w:r>
      <w:r w:rsidRPr="007D5CED">
        <w:t xml:space="preserve"> No significant difference between 2021 and 2017.</w:t>
      </w:r>
    </w:p>
    <w:p w14:paraId="5234E654" w14:textId="56CD2E50" w:rsidR="007D5CED" w:rsidRPr="007D5CED" w:rsidRDefault="003A27A7" w:rsidP="006C5088">
      <w:pPr>
        <w:pStyle w:val="figuretableheading"/>
      </w:pPr>
      <w:bookmarkStart w:id="176" w:name="_Toc187401259"/>
      <w:r>
        <w:lastRenderedPageBreak/>
        <w:t xml:space="preserve">Figure </w:t>
      </w:r>
      <w:r w:rsidR="005B3A89">
        <w:fldChar w:fldCharType="begin"/>
      </w:r>
      <w:r w:rsidR="005B3A89">
        <w:instrText xml:space="preserve"> STYLEREF 1 \s </w:instrText>
      </w:r>
      <w:r w:rsidR="005B3A89">
        <w:fldChar w:fldCharType="separate"/>
      </w:r>
      <w:r w:rsidR="005B3A89">
        <w:t>7</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3</w:t>
      </w:r>
      <w:r w:rsidR="005B3A89">
        <w:fldChar w:fldCharType="end"/>
      </w:r>
      <w:r w:rsidR="007D5CED" w:rsidRPr="007D5CED">
        <w:t>: Sexual consent scenario (AVAWS Objectify Women Subscale items), acquaintance variation, 16-</w:t>
      </w:r>
      <w:r w:rsidR="00874AD6">
        <w:t> </w:t>
      </w:r>
      <w:r w:rsidR="007D5CED" w:rsidRPr="007D5CED">
        <w:t>to</w:t>
      </w:r>
      <w:r w:rsidR="00874AD6">
        <w:t> </w:t>
      </w:r>
      <w:r w:rsidR="007D5CED" w:rsidRPr="007D5CED">
        <w:t>24</w:t>
      </w:r>
      <w:r w:rsidR="00874AD6">
        <w:noBreakHyphen/>
      </w:r>
      <w:r w:rsidR="007D5CED" w:rsidRPr="007D5CED">
        <w:t>year</w:t>
      </w:r>
      <w:r w:rsidR="00874AD6">
        <w:noBreakHyphen/>
      </w:r>
      <w:r w:rsidR="007D5CED" w:rsidRPr="007D5CED">
        <w:t>olds, 2021</w:t>
      </w:r>
      <w:bookmarkEnd w:id="176"/>
    </w:p>
    <w:p w14:paraId="527511D6" w14:textId="14508CBA" w:rsidR="007D5CED" w:rsidRPr="007D5CED" w:rsidRDefault="00480EC3" w:rsidP="00A3239A">
      <w:pPr>
        <w:rPr>
          <w:lang w:val="en-GB"/>
        </w:rPr>
      </w:pPr>
      <w:r>
        <w:rPr>
          <w:noProof/>
          <w:lang w:val="en-GB"/>
        </w:rPr>
        <w:drawing>
          <wp:inline distT="0" distB="0" distL="0" distR="0" wp14:anchorId="71337C75" wp14:editId="77E9492C">
            <wp:extent cx="6120130" cy="2998470"/>
            <wp:effectExtent l="0" t="0" r="0" b="0"/>
            <wp:docPr id="891055677" name="Immagine 33" descr="A bar graph that shows 16 to 24 year old respondents responding to a sexual consent scenario.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5677" name="Immagine 33" descr="A bar graph that shows 16 to 24 year old respondents responding to a sexual consent scenario. The data in this graph is in the table bel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2998470"/>
                    </a:xfrm>
                    <a:prstGeom prst="rect">
                      <a:avLst/>
                    </a:prstGeom>
                  </pic:spPr>
                </pic:pic>
              </a:graphicData>
            </a:graphic>
          </wp:inline>
        </w:drawing>
      </w:r>
    </w:p>
    <w:p w14:paraId="0C870952" w14:textId="1C9D5B87" w:rsidR="008E3DBF" w:rsidRPr="00A35248" w:rsidRDefault="004A55B2" w:rsidP="006C5088">
      <w:pPr>
        <w:pStyle w:val="figuretableheading"/>
      </w:pPr>
      <w:r>
        <w:t>Data table for figure 7-3</w:t>
      </w:r>
      <w:r w:rsidR="00FA4323">
        <w:t xml:space="preserve">: </w:t>
      </w:r>
      <w:r w:rsidR="008E3DBF" w:rsidRPr="00A35248">
        <w:t>A man and woman have just met at a party and get on well. They go back to the woman’s home where he kisses her and tries to have sex with her</w:t>
      </w:r>
      <w:r w:rsidR="006C5088">
        <w:t>. Percentage of 16-24-year-old respondents</w:t>
      </w:r>
    </w:p>
    <w:tbl>
      <w:tblPr>
        <w:tblStyle w:val="Table-SingleHeaderRow"/>
        <w:tblW w:w="9694" w:type="dxa"/>
        <w:tblLayout w:type="fixed"/>
        <w:tblLook w:val="04A0" w:firstRow="1" w:lastRow="0" w:firstColumn="1" w:lastColumn="0" w:noHBand="0" w:noVBand="1"/>
      </w:tblPr>
      <w:tblGrid>
        <w:gridCol w:w="2778"/>
        <w:gridCol w:w="992"/>
        <w:gridCol w:w="1191"/>
        <w:gridCol w:w="1191"/>
        <w:gridCol w:w="992"/>
        <w:gridCol w:w="1200"/>
        <w:gridCol w:w="1350"/>
      </w:tblGrid>
      <w:tr w:rsidR="004A55B2" w:rsidRPr="008E6594" w14:paraId="14698CFE" w14:textId="77777777" w:rsidTr="00874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tcPr>
          <w:p w14:paraId="2213C672" w14:textId="77777777" w:rsidR="004A55B2" w:rsidRPr="007E1C6F" w:rsidRDefault="004A55B2" w:rsidP="00A3239A">
            <w:pPr>
              <w:pStyle w:val="Tablebody"/>
            </w:pPr>
          </w:p>
        </w:tc>
        <w:tc>
          <w:tcPr>
            <w:tcW w:w="992" w:type="dxa"/>
          </w:tcPr>
          <w:p w14:paraId="6BB0C20D"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Strongly disagree</w:t>
            </w:r>
          </w:p>
        </w:tc>
        <w:tc>
          <w:tcPr>
            <w:tcW w:w="1191" w:type="dxa"/>
          </w:tcPr>
          <w:p w14:paraId="7711673A"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Somewhat agree</w:t>
            </w:r>
          </w:p>
        </w:tc>
        <w:tc>
          <w:tcPr>
            <w:tcW w:w="1191" w:type="dxa"/>
          </w:tcPr>
          <w:p w14:paraId="71B21BAC"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Somewhat disagree</w:t>
            </w:r>
          </w:p>
        </w:tc>
        <w:tc>
          <w:tcPr>
            <w:tcW w:w="992" w:type="dxa"/>
          </w:tcPr>
          <w:p w14:paraId="58DC7C36"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Strongly disagree</w:t>
            </w:r>
          </w:p>
        </w:tc>
        <w:tc>
          <w:tcPr>
            <w:tcW w:w="1200" w:type="dxa"/>
          </w:tcPr>
          <w:p w14:paraId="1D95FEA8"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Undecided</w:t>
            </w:r>
          </w:p>
        </w:tc>
        <w:tc>
          <w:tcPr>
            <w:tcW w:w="1350" w:type="dxa"/>
          </w:tcPr>
          <w:p w14:paraId="1E57411C" w14:textId="77777777" w:rsidR="004A55B2" w:rsidRPr="008E6594" w:rsidRDefault="004A55B2"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4A55B2" w14:paraId="7FAD8DA8" w14:textId="77777777" w:rsidTr="00874AD6">
        <w:tc>
          <w:tcPr>
            <w:cnfStyle w:val="001000000000" w:firstRow="0" w:lastRow="0" w:firstColumn="1" w:lastColumn="0" w:oddVBand="0" w:evenVBand="0" w:oddHBand="0" w:evenHBand="0" w:firstRowFirstColumn="0" w:firstRowLastColumn="0" w:lastRowFirstColumn="0" w:lastRowLastColumn="0"/>
            <w:tcW w:w="2778" w:type="dxa"/>
          </w:tcPr>
          <w:p w14:paraId="30529A21" w14:textId="5A69B1E7" w:rsidR="004A55B2" w:rsidRPr="007E1C6F" w:rsidRDefault="004A55B2" w:rsidP="00A3239A">
            <w:pPr>
              <w:pStyle w:val="Tablebody"/>
            </w:pPr>
            <w:r>
              <w:t>She pushes him away but he has sex with her anyway. Do you agree or disagree that the man is justified in his behaviour? (S14)</w:t>
            </w:r>
            <w:r w:rsidR="008D64A8">
              <w:t xml:space="preserve"> </w:t>
            </w:r>
            <w:r w:rsidR="008D64A8" w:rsidRPr="007D05B5">
              <w:rPr>
                <w:kern w:val="2"/>
                <w:sz w:val="20"/>
                <w:vertAlign w:val="superscript"/>
              </w:rPr>
              <w:t>ns</w:t>
            </w:r>
          </w:p>
        </w:tc>
        <w:tc>
          <w:tcPr>
            <w:tcW w:w="992" w:type="dxa"/>
          </w:tcPr>
          <w:p w14:paraId="6BEFC41E" w14:textId="71DE892D"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191" w:type="dxa"/>
          </w:tcPr>
          <w:p w14:paraId="6843B4D2" w14:textId="090CC40F"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087CDB4C" w14:textId="2D3D8172" w:rsidR="004A55B2" w:rsidRPr="00D621A7" w:rsidRDefault="004A55B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992" w:type="dxa"/>
          </w:tcPr>
          <w:p w14:paraId="38F5A184" w14:textId="1E1DC4E1"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89%</w:t>
            </w:r>
          </w:p>
        </w:tc>
        <w:tc>
          <w:tcPr>
            <w:tcW w:w="1200" w:type="dxa"/>
          </w:tcPr>
          <w:p w14:paraId="4242138E" w14:textId="751D75F5" w:rsidR="004A55B2"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1%</w:t>
            </w:r>
          </w:p>
        </w:tc>
        <w:tc>
          <w:tcPr>
            <w:tcW w:w="1350" w:type="dxa"/>
          </w:tcPr>
          <w:p w14:paraId="7BF4F6D0" w14:textId="77777777" w:rsidR="004A55B2" w:rsidRDefault="004A55B2" w:rsidP="00A3239A">
            <w:pPr>
              <w:pStyle w:val="Tablebody"/>
              <w:cnfStyle w:val="000000000000" w:firstRow="0" w:lastRow="0" w:firstColumn="0" w:lastColumn="0" w:oddVBand="0" w:evenVBand="0" w:oddHBand="0" w:evenHBand="0" w:firstRowFirstColumn="0" w:firstRowLastColumn="0" w:lastRowFirstColumn="0" w:lastRowLastColumn="0"/>
            </w:pPr>
          </w:p>
        </w:tc>
      </w:tr>
      <w:tr w:rsidR="004A55B2" w14:paraId="0092E342" w14:textId="77777777" w:rsidTr="00874AD6">
        <w:tc>
          <w:tcPr>
            <w:cnfStyle w:val="001000000000" w:firstRow="0" w:lastRow="0" w:firstColumn="1" w:lastColumn="0" w:oddVBand="0" w:evenVBand="0" w:oddHBand="0" w:evenHBand="0" w:firstRowFirstColumn="0" w:firstRowLastColumn="0" w:lastRowFirstColumn="0" w:lastRowLastColumn="0"/>
            <w:tcW w:w="2778" w:type="dxa"/>
          </w:tcPr>
          <w:p w14:paraId="40206F3A" w14:textId="4A8C1BBD" w:rsidR="004A55B2" w:rsidRDefault="004A55B2" w:rsidP="00A3239A">
            <w:pPr>
              <w:pStyle w:val="Tablebody"/>
            </w:pPr>
            <w:r>
              <w:t>What if she had taken him into the bedroom and started kissing him before pushing him away? Do you agree or disagree that the man would have been justified in having sex with her anyway? (S15)</w:t>
            </w:r>
            <w:r w:rsidR="008D64A8">
              <w:t xml:space="preserve"> </w:t>
            </w:r>
            <w:r w:rsidR="008D64A8" w:rsidRPr="007D05B5">
              <w:rPr>
                <w:kern w:val="2"/>
                <w:sz w:val="20"/>
                <w:vertAlign w:val="superscript"/>
              </w:rPr>
              <w:t>ns</w:t>
            </w:r>
          </w:p>
        </w:tc>
        <w:tc>
          <w:tcPr>
            <w:tcW w:w="992" w:type="dxa"/>
          </w:tcPr>
          <w:p w14:paraId="3757CE07" w14:textId="16435B02"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191" w:type="dxa"/>
          </w:tcPr>
          <w:p w14:paraId="3E87A0BC" w14:textId="4589290B"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8%</w:t>
            </w:r>
          </w:p>
        </w:tc>
        <w:tc>
          <w:tcPr>
            <w:tcW w:w="1191" w:type="dxa"/>
          </w:tcPr>
          <w:p w14:paraId="742E1CFE" w14:textId="1577CD4F" w:rsidR="004A55B2" w:rsidRPr="00D621A7" w:rsidRDefault="004A55B2"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14%</w:t>
            </w:r>
          </w:p>
        </w:tc>
        <w:tc>
          <w:tcPr>
            <w:tcW w:w="992" w:type="dxa"/>
          </w:tcPr>
          <w:p w14:paraId="281B2E2B" w14:textId="76711A8B" w:rsidR="004A55B2" w:rsidRPr="007E1C6F"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72%</w:t>
            </w:r>
          </w:p>
        </w:tc>
        <w:tc>
          <w:tcPr>
            <w:tcW w:w="1200" w:type="dxa"/>
          </w:tcPr>
          <w:p w14:paraId="35C6DEB2" w14:textId="7BC95F09" w:rsidR="004A55B2" w:rsidRDefault="004A55B2"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350" w:type="dxa"/>
          </w:tcPr>
          <w:p w14:paraId="295A198C" w14:textId="77777777" w:rsidR="004A55B2" w:rsidRDefault="004A55B2"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703A191A" w14:textId="7BABBEC0"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 xml:space="preserve">N </w:t>
      </w:r>
      <w:r w:rsidRPr="007D5CED">
        <w:t>= 390. Asked of one quarter of the sample in 2021.</w:t>
      </w:r>
    </w:p>
    <w:p w14:paraId="7FE1FCE4" w14:textId="77777777" w:rsidR="007D5CED" w:rsidRPr="007D5CED" w:rsidRDefault="007D5CED" w:rsidP="00A3239A">
      <w:pPr>
        <w:pStyle w:val="Normal8pt"/>
      </w:pPr>
      <w:r w:rsidRPr="007D5CED">
        <w:rPr>
          <w:bCs/>
        </w:rPr>
        <w:t>ns</w:t>
      </w:r>
      <w:r w:rsidRPr="007D5CED">
        <w:t xml:space="preserve"> No significant difference between 2021 and 2017. </w:t>
      </w:r>
    </w:p>
    <w:p w14:paraId="1BAFC02D" w14:textId="0F866B21" w:rsidR="007D5CED" w:rsidRPr="007D5CED" w:rsidRDefault="007D5CED" w:rsidP="00A3239A">
      <w:pPr>
        <w:rPr>
          <w:lang w:val="en-GB"/>
        </w:rPr>
      </w:pPr>
      <w:r w:rsidRPr="007D5CED">
        <w:rPr>
          <w:lang w:val="en-GB"/>
        </w:rPr>
        <w:t>Most young respondents (73%) “somewhat” or “strongly” agreed that women are more likely to</w:t>
      </w:r>
      <w:r w:rsidR="00874AD6">
        <w:rPr>
          <w:lang w:val="en-GB"/>
        </w:rPr>
        <w:t> </w:t>
      </w:r>
      <w:r w:rsidRPr="007D5CED">
        <w:rPr>
          <w:lang w:val="en-GB"/>
        </w:rPr>
        <w:t>be</w:t>
      </w:r>
      <w:r w:rsidR="00874AD6">
        <w:rPr>
          <w:lang w:val="en-GB"/>
        </w:rPr>
        <w:t> </w:t>
      </w:r>
      <w:r w:rsidRPr="007D5CED">
        <w:rPr>
          <w:lang w:val="en-GB"/>
        </w:rPr>
        <w:t>raped by someone they know than by a stranger (S16; Figure 7-4). Similarly, most young respondents (84%) knew that it is a criminal offence for a man to have sex with his wife without her consent (S26;</w:t>
      </w:r>
      <w:r w:rsidR="00874AD6">
        <w:rPr>
          <w:lang w:val="en-GB"/>
        </w:rPr>
        <w:t> </w:t>
      </w:r>
      <w:r w:rsidRPr="007D5CED">
        <w:rPr>
          <w:lang w:val="en-GB"/>
        </w:rPr>
        <w:t>Figure 7-5). However, there is room to improve young Australians’ understanding of these aspects of sexual assault, and there was no significant improvement on these between 2017 and 2021.</w:t>
      </w:r>
    </w:p>
    <w:p w14:paraId="1C571504" w14:textId="6608FCED" w:rsidR="00F4557A" w:rsidRDefault="007D5CED" w:rsidP="0084332B">
      <w:pPr>
        <w:pStyle w:val="Quote"/>
      </w:pPr>
      <w:r w:rsidRPr="007D5CED">
        <w:t>… what does a perpetrator look like? He</w:t>
      </w:r>
      <w:r w:rsidR="00F4557A">
        <w:t xml:space="preserve"> </w:t>
      </w:r>
      <w:r w:rsidRPr="007D5CED">
        <w:t>is, you know, he’s like this stereotype or</w:t>
      </w:r>
      <w:r w:rsidR="00874AD6">
        <w:t> </w:t>
      </w:r>
      <w:r w:rsidRPr="007D5CED">
        <w:t>he’s this stereotype, but he wouldn’t be, like, the mayor or the politician or the worker or the neighbour down the road. Like, a lot of young people I think are a</w:t>
      </w:r>
      <w:r w:rsidR="00874AD6">
        <w:t> </w:t>
      </w:r>
      <w:r w:rsidRPr="007D5CED">
        <w:t xml:space="preserve">bit stumped when they </w:t>
      </w:r>
      <w:r w:rsidRPr="007D5CED">
        <w:rPr>
          <w:spacing w:val="6"/>
        </w:rPr>
        <w:t>f</w:t>
      </w:r>
      <w:r w:rsidRPr="007D5CED">
        <w:t>igure out … real people are committing violence, like, these are real people,</w:t>
      </w:r>
      <w:r w:rsidR="00F4557A">
        <w:t xml:space="preserve"> </w:t>
      </w:r>
      <w:r w:rsidRPr="007D5CED">
        <w:t xml:space="preserve">not just this stereotype. </w:t>
      </w:r>
    </w:p>
    <w:p w14:paraId="406C2FE0" w14:textId="53CDEBD4" w:rsidR="007D5CED" w:rsidRPr="007D5CED" w:rsidRDefault="007D5CED" w:rsidP="0084332B">
      <w:pPr>
        <w:pStyle w:val="QuoteSignatureLine"/>
        <w:rPr>
          <w:rFonts w:ascii="Hind Medium" w:hAnsi="Hind Medium" w:cs="Hind Medium"/>
        </w:rPr>
      </w:pPr>
      <w:r w:rsidRPr="007D5CED">
        <w:t>– Youth Ambassador</w:t>
      </w:r>
    </w:p>
    <w:p w14:paraId="117580B1" w14:textId="2A953723" w:rsidR="007D5CED" w:rsidRPr="007D5CED" w:rsidRDefault="007D40A7" w:rsidP="002A2C0C">
      <w:pPr>
        <w:pStyle w:val="figuretableheading"/>
      </w:pPr>
      <w:bookmarkStart w:id="177" w:name="_Toc187401260"/>
      <w:r>
        <w:lastRenderedPageBreak/>
        <w:t xml:space="preserve">Figure </w:t>
      </w:r>
      <w:r w:rsidR="005B3A89">
        <w:fldChar w:fldCharType="begin"/>
      </w:r>
      <w:r w:rsidR="005B3A89">
        <w:instrText xml:space="preserve"> STYLEREF 1 \s </w:instrText>
      </w:r>
      <w:r w:rsidR="005B3A89">
        <w:fldChar w:fldCharType="separate"/>
      </w:r>
      <w:r w:rsidR="005B3A89">
        <w:t>7</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4</w:t>
      </w:r>
      <w:r w:rsidR="005B3A89">
        <w:fldChar w:fldCharType="end"/>
      </w:r>
      <w:r w:rsidR="007D5CED" w:rsidRPr="007D5CED">
        <w:t>: Stranger rape myth, 16- to 24-year-olds, 2021</w:t>
      </w:r>
      <w:bookmarkEnd w:id="177"/>
    </w:p>
    <w:p w14:paraId="63D6B162" w14:textId="70C41F5E" w:rsidR="007D5CED" w:rsidRDefault="002A0B04" w:rsidP="00A3239A">
      <w:pPr>
        <w:rPr>
          <w:lang w:val="en-GB"/>
        </w:rPr>
      </w:pPr>
      <w:r>
        <w:rPr>
          <w:noProof/>
          <w:lang w:val="en-GB"/>
        </w:rPr>
        <w:drawing>
          <wp:inline distT="0" distB="0" distL="0" distR="0" wp14:anchorId="2EF4481E" wp14:editId="350ABC5F">
            <wp:extent cx="6120130" cy="1480820"/>
            <wp:effectExtent l="0" t="0" r="1270" b="0"/>
            <wp:docPr id="393070983" name="Immagine 34" descr="A bar graph that shows the 16 to 24 year old respondents' understanding of stranger rape myth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0983" name="Immagine 34" descr="A bar graph that shows the 16 to 24 year old respondents' understanding of stranger rape myths. The data in this graph is in the table belo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1480820"/>
                    </a:xfrm>
                    <a:prstGeom prst="rect">
                      <a:avLst/>
                    </a:prstGeom>
                  </pic:spPr>
                </pic:pic>
              </a:graphicData>
            </a:graphic>
          </wp:inline>
        </w:drawing>
      </w:r>
    </w:p>
    <w:p w14:paraId="5A0ECB26" w14:textId="2CE8B655" w:rsidR="004A55B2" w:rsidRPr="007D5CED" w:rsidRDefault="00FA4323" w:rsidP="002A2C0C">
      <w:pPr>
        <w:pStyle w:val="datatableheading"/>
      </w:pPr>
      <w:r>
        <w:t xml:space="preserve">Data table for figure 7-4: </w:t>
      </w:r>
      <w:r w:rsidR="008D64A8">
        <w:t>Women are more likely to be raped by someone they know than by a stranger (S16)</w:t>
      </w:r>
    </w:p>
    <w:tbl>
      <w:tblPr>
        <w:tblStyle w:val="Table-SingleHeaderRow"/>
        <w:tblW w:w="0" w:type="auto"/>
        <w:tblLayout w:type="fixed"/>
        <w:tblLook w:val="04A0" w:firstRow="1" w:lastRow="0" w:firstColumn="1" w:lastColumn="0" w:noHBand="0" w:noVBand="1"/>
      </w:tblPr>
      <w:tblGrid>
        <w:gridCol w:w="3402"/>
        <w:gridCol w:w="5953"/>
      </w:tblGrid>
      <w:tr w:rsidR="008D64A8" w:rsidRPr="00EA1044" w14:paraId="04AED5C5"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42942782" w14:textId="3B486A05" w:rsidR="008D64A8" w:rsidRPr="008E6594" w:rsidRDefault="008D64A8" w:rsidP="00A3239A">
            <w:pPr>
              <w:pStyle w:val="Tablebody"/>
              <w:rPr>
                <w:b w:val="0"/>
                <w:bCs/>
              </w:rPr>
            </w:pPr>
          </w:p>
        </w:tc>
        <w:tc>
          <w:tcPr>
            <w:tcW w:w="5953" w:type="dxa"/>
          </w:tcPr>
          <w:p w14:paraId="48BC7666" w14:textId="641804BA" w:rsidR="008D64A8" w:rsidRPr="008E6594" w:rsidRDefault="008D64A8"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Percentage of 16- 24-year-old respondents</w:t>
            </w:r>
          </w:p>
        </w:tc>
      </w:tr>
      <w:tr w:rsidR="008D64A8" w14:paraId="16864415"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6ABA5A26" w14:textId="087A3548" w:rsidR="008D64A8" w:rsidRPr="008D64A8" w:rsidRDefault="008D64A8" w:rsidP="00A3239A">
            <w:pPr>
              <w:pStyle w:val="Tablebody"/>
            </w:pPr>
            <w:r w:rsidRPr="008C29F3">
              <w:t>Strongly disagree</w:t>
            </w:r>
            <w:r w:rsidRPr="008D64A8" w:rsidDel="008D64A8">
              <w:t xml:space="preserve"> </w:t>
            </w:r>
          </w:p>
        </w:tc>
        <w:tc>
          <w:tcPr>
            <w:tcW w:w="5953" w:type="dxa"/>
          </w:tcPr>
          <w:p w14:paraId="0A214165" w14:textId="535AB93C" w:rsidR="008D64A8" w:rsidRPr="007E1C6F" w:rsidRDefault="008D64A8" w:rsidP="00A3239A">
            <w:pPr>
              <w:pStyle w:val="Tablebody"/>
              <w:cnfStyle w:val="000000000000" w:firstRow="0" w:lastRow="0" w:firstColumn="0" w:lastColumn="0" w:oddVBand="0" w:evenVBand="0" w:oddHBand="0" w:evenHBand="0" w:firstRowFirstColumn="0" w:firstRowLastColumn="0" w:lastRowFirstColumn="0" w:lastRowLastColumn="0"/>
            </w:pPr>
            <w:r>
              <w:t>30%</w:t>
            </w:r>
          </w:p>
        </w:tc>
      </w:tr>
      <w:tr w:rsidR="008D64A8" w14:paraId="67016CD6"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7318A961" w14:textId="31B4827A" w:rsidR="008D64A8" w:rsidRPr="008D64A8" w:rsidRDefault="008D64A8" w:rsidP="00A3239A">
            <w:pPr>
              <w:pStyle w:val="Tablebody"/>
            </w:pPr>
            <w:r w:rsidRPr="008C29F3">
              <w:t>Somewhat agree</w:t>
            </w:r>
          </w:p>
        </w:tc>
        <w:tc>
          <w:tcPr>
            <w:tcW w:w="5953" w:type="dxa"/>
          </w:tcPr>
          <w:p w14:paraId="1426F2A4" w14:textId="51D5838B"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t>43%</w:t>
            </w:r>
          </w:p>
        </w:tc>
      </w:tr>
      <w:tr w:rsidR="008D64A8" w14:paraId="4825BBFC"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0AD70204" w14:textId="3206A3D3" w:rsidR="008D64A8" w:rsidRPr="008D64A8" w:rsidRDefault="008D64A8" w:rsidP="00A3239A">
            <w:pPr>
              <w:pStyle w:val="Tablebody"/>
            </w:pPr>
            <w:r w:rsidRPr="008C29F3">
              <w:t>Neither agree or disagree</w:t>
            </w:r>
          </w:p>
        </w:tc>
        <w:tc>
          <w:tcPr>
            <w:tcW w:w="5953" w:type="dxa"/>
          </w:tcPr>
          <w:p w14:paraId="75750D38" w14:textId="027F741F"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rPr>
                <w:szCs w:val="18"/>
              </w:rPr>
              <w:t>2%</w:t>
            </w:r>
          </w:p>
        </w:tc>
      </w:tr>
      <w:tr w:rsidR="008D64A8" w14:paraId="4D14FEAE"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7494704C" w14:textId="626685FD" w:rsidR="008D64A8" w:rsidRPr="008D64A8" w:rsidRDefault="008D64A8" w:rsidP="00A3239A">
            <w:pPr>
              <w:pStyle w:val="Tablebody"/>
            </w:pPr>
            <w:r w:rsidRPr="008C29F3">
              <w:t>Somewhat disagree</w:t>
            </w:r>
          </w:p>
        </w:tc>
        <w:tc>
          <w:tcPr>
            <w:tcW w:w="5953" w:type="dxa"/>
          </w:tcPr>
          <w:p w14:paraId="7DA50A84" w14:textId="6D46CC62"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rPr>
                <w:szCs w:val="18"/>
              </w:rPr>
              <w:t>12%</w:t>
            </w:r>
          </w:p>
        </w:tc>
      </w:tr>
      <w:tr w:rsidR="008D64A8" w14:paraId="2AA1946A"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7F18A087" w14:textId="1C9FA391" w:rsidR="008D64A8" w:rsidRDefault="008D64A8" w:rsidP="00A3239A">
            <w:pPr>
              <w:pStyle w:val="Tablebody"/>
            </w:pPr>
            <w:r>
              <w:t>Strongly disagree</w:t>
            </w:r>
          </w:p>
        </w:tc>
        <w:tc>
          <w:tcPr>
            <w:tcW w:w="5953" w:type="dxa"/>
          </w:tcPr>
          <w:p w14:paraId="6ED346CA" w14:textId="4270A587"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t>6%</w:t>
            </w:r>
          </w:p>
        </w:tc>
      </w:tr>
      <w:tr w:rsidR="008D64A8" w14:paraId="318DDED1"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393A8F7A" w14:textId="054348A2" w:rsidR="008D64A8" w:rsidRPr="008D64A8" w:rsidRDefault="008D64A8" w:rsidP="00A3239A">
            <w:pPr>
              <w:pStyle w:val="Tablebody"/>
            </w:pPr>
            <w:r w:rsidRPr="008C29F3">
              <w:t>Unsure</w:t>
            </w:r>
          </w:p>
        </w:tc>
        <w:tc>
          <w:tcPr>
            <w:tcW w:w="5953" w:type="dxa"/>
          </w:tcPr>
          <w:p w14:paraId="169F1F6D" w14:textId="497B35D7"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t>6%</w:t>
            </w:r>
          </w:p>
        </w:tc>
      </w:tr>
      <w:tr w:rsidR="008D64A8" w14:paraId="06F8F903" w14:textId="77777777" w:rsidTr="008C29F3">
        <w:tc>
          <w:tcPr>
            <w:cnfStyle w:val="001000000000" w:firstRow="0" w:lastRow="0" w:firstColumn="1" w:lastColumn="0" w:oddVBand="0" w:evenVBand="0" w:oddHBand="0" w:evenHBand="0" w:firstRowFirstColumn="0" w:firstRowLastColumn="0" w:lastRowFirstColumn="0" w:lastRowLastColumn="0"/>
            <w:tcW w:w="3402" w:type="dxa"/>
          </w:tcPr>
          <w:p w14:paraId="54A3403B" w14:textId="2F4EBA73" w:rsidR="008D64A8" w:rsidRPr="008D64A8" w:rsidRDefault="008D64A8" w:rsidP="00A3239A">
            <w:pPr>
              <w:pStyle w:val="Tablebody"/>
            </w:pPr>
            <w:r w:rsidRPr="008C29F3">
              <w:t>Unanswered</w:t>
            </w:r>
          </w:p>
        </w:tc>
        <w:tc>
          <w:tcPr>
            <w:tcW w:w="5953" w:type="dxa"/>
          </w:tcPr>
          <w:p w14:paraId="15E3F1BA" w14:textId="51D00FB2" w:rsidR="008D64A8" w:rsidRDefault="008D64A8" w:rsidP="00A3239A">
            <w:pPr>
              <w:pStyle w:val="Tablebody"/>
              <w:cnfStyle w:val="000000000000" w:firstRow="0" w:lastRow="0" w:firstColumn="0" w:lastColumn="0" w:oddVBand="0" w:evenVBand="0" w:oddHBand="0" w:evenHBand="0" w:firstRowFirstColumn="0" w:firstRowLastColumn="0" w:lastRowFirstColumn="0" w:lastRowLastColumn="0"/>
            </w:pPr>
            <w:r>
              <w:t>1%</w:t>
            </w:r>
          </w:p>
        </w:tc>
      </w:tr>
    </w:tbl>
    <w:p w14:paraId="3E5FE773" w14:textId="5A8127D5" w:rsidR="007D5CED" w:rsidRPr="007D5CED" w:rsidRDefault="007D5CED" w:rsidP="00A3239A">
      <w:pPr>
        <w:pStyle w:val="Normal8pt"/>
      </w:pPr>
      <w:r w:rsidRPr="008C29F3">
        <w:rPr>
          <w:b/>
          <w:bCs/>
        </w:rPr>
        <w:t>Note</w:t>
      </w:r>
      <w:r w:rsidRPr="007D5CED">
        <w:t xml:space="preserve">: </w:t>
      </w:r>
      <w:r w:rsidRPr="0073256E">
        <w:rPr>
          <w:rStyle w:val="Emphasis"/>
        </w:rPr>
        <w:t xml:space="preserve">N </w:t>
      </w:r>
      <w:r w:rsidRPr="007D5CED">
        <w:t>= 397. Asked of one quarter of the sample in 2021. Percentages in the text do not always exactly correspond to</w:t>
      </w:r>
      <w:r w:rsidR="00874AD6">
        <w:t> </w:t>
      </w:r>
      <w:r w:rsidRPr="007D5CED">
        <w:t>percentages in the figure due to rounding.</w:t>
      </w:r>
    </w:p>
    <w:p w14:paraId="003F015F" w14:textId="77777777" w:rsidR="007D5CED" w:rsidRPr="007D5CED" w:rsidRDefault="007D5CED" w:rsidP="00A3239A">
      <w:pPr>
        <w:pStyle w:val="Normal8pt"/>
      </w:pPr>
      <w:r w:rsidRPr="007D5CED">
        <w:t>ns No significant difference between 2021 and 2017.</w:t>
      </w:r>
    </w:p>
    <w:p w14:paraId="0C243DC8" w14:textId="3A007B58" w:rsidR="007D5CED" w:rsidRPr="007D5CED" w:rsidRDefault="002A0B04" w:rsidP="002A2C0C">
      <w:pPr>
        <w:pStyle w:val="figuretableheading"/>
      </w:pPr>
      <w:bookmarkStart w:id="178" w:name="_Toc187401261"/>
      <w:r>
        <w:t xml:space="preserve">Figure </w:t>
      </w:r>
      <w:r w:rsidR="005B3A89">
        <w:fldChar w:fldCharType="begin"/>
      </w:r>
      <w:r w:rsidR="005B3A89">
        <w:instrText xml:space="preserve"> STYLEREF 1 \s </w:instrText>
      </w:r>
      <w:r w:rsidR="005B3A89">
        <w:fldChar w:fldCharType="separate"/>
      </w:r>
      <w:r w:rsidR="005B3A89">
        <w:t>7</w:t>
      </w:r>
      <w:r w:rsidR="005B3A89">
        <w:fldChar w:fldCharType="end"/>
      </w:r>
      <w:r w:rsidR="005B3A89">
        <w:noBreakHyphen/>
      </w:r>
      <w:r w:rsidR="005B3A89">
        <w:fldChar w:fldCharType="begin"/>
      </w:r>
      <w:r w:rsidR="005B3A89">
        <w:instrText xml:space="preserve"> SEQ Figure \* ARABIC \s 1 </w:instrText>
      </w:r>
      <w:r w:rsidR="005B3A89">
        <w:fldChar w:fldCharType="separate"/>
      </w:r>
      <w:r w:rsidR="005B3A89">
        <w:t>5</w:t>
      </w:r>
      <w:r w:rsidR="005B3A89">
        <w:fldChar w:fldCharType="end"/>
      </w:r>
      <w:r w:rsidR="007D5CED" w:rsidRPr="007D5CED">
        <w:t>: Understanding of sexual consent in marriage, 16- to 24-year-olds, 2021</w:t>
      </w:r>
      <w:bookmarkEnd w:id="178"/>
    </w:p>
    <w:p w14:paraId="6562D1D6" w14:textId="1C23D315" w:rsidR="007D5CED" w:rsidRDefault="005B3A89" w:rsidP="00A3239A">
      <w:pPr>
        <w:rPr>
          <w:lang w:val="en-GB"/>
        </w:rPr>
      </w:pPr>
      <w:r>
        <w:rPr>
          <w:noProof/>
          <w:lang w:val="en-GB"/>
        </w:rPr>
        <w:drawing>
          <wp:inline distT="0" distB="0" distL="0" distR="0" wp14:anchorId="25658AD2" wp14:editId="6494A1A9">
            <wp:extent cx="6120130" cy="1437005"/>
            <wp:effectExtent l="0" t="0" r="0" b="0"/>
            <wp:docPr id="1112376177" name="Immagine 35" descr="A bar graph that shows the 16 to 24 year old respondents' understanding of sexual consent in marriag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76177" name="Immagine 35" descr="A bar graph that shows the 16 to 24 year old respondents' understanding of sexual consent in marriage. The data in this graph is in the table below."/>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1437005"/>
                    </a:xfrm>
                    <a:prstGeom prst="rect">
                      <a:avLst/>
                    </a:prstGeom>
                  </pic:spPr>
                </pic:pic>
              </a:graphicData>
            </a:graphic>
          </wp:inline>
        </w:drawing>
      </w:r>
    </w:p>
    <w:p w14:paraId="62FBAF4F" w14:textId="3A574D6E" w:rsidR="009D11A1" w:rsidRPr="007D5CED" w:rsidRDefault="009D11A1" w:rsidP="002A2C0C">
      <w:pPr>
        <w:pStyle w:val="datatableheading"/>
      </w:pPr>
      <w:r>
        <w:t>Data table for figure</w:t>
      </w:r>
      <w:r>
        <w:rPr>
          <w:b/>
        </w:rPr>
        <w:t xml:space="preserve"> 7-5</w:t>
      </w:r>
      <w:r w:rsidR="00FA4323">
        <w:rPr>
          <w:b/>
        </w:rPr>
        <w:t xml:space="preserve">: </w:t>
      </w:r>
      <w:r w:rsidR="00223A9C">
        <w:t>Is it a criminal offence for a man to have sex with his wife without her consent? (S26)</w:t>
      </w:r>
    </w:p>
    <w:tbl>
      <w:tblPr>
        <w:tblStyle w:val="Table-SingleHeaderRow"/>
        <w:tblW w:w="9355" w:type="dxa"/>
        <w:tblLayout w:type="fixed"/>
        <w:tblLook w:val="04A0" w:firstRow="1" w:lastRow="0" w:firstColumn="1" w:lastColumn="0" w:noHBand="0" w:noVBand="1"/>
      </w:tblPr>
      <w:tblGrid>
        <w:gridCol w:w="2835"/>
        <w:gridCol w:w="6520"/>
      </w:tblGrid>
      <w:tr w:rsidR="00223A9C" w:rsidRPr="00EA1044" w14:paraId="6BC2546B"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58EFE6B2" w14:textId="197B8981" w:rsidR="00223A9C" w:rsidRPr="008E6594" w:rsidRDefault="00223A9C" w:rsidP="00A3239A">
            <w:pPr>
              <w:pStyle w:val="Tablebody"/>
              <w:rPr>
                <w:b w:val="0"/>
                <w:bCs/>
              </w:rPr>
            </w:pPr>
          </w:p>
        </w:tc>
        <w:tc>
          <w:tcPr>
            <w:tcW w:w="6520" w:type="dxa"/>
          </w:tcPr>
          <w:p w14:paraId="06722956" w14:textId="3356E684" w:rsidR="00223A9C" w:rsidRPr="00223A9C" w:rsidRDefault="00223A9C"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C29F3">
              <w:rPr>
                <w:bCs/>
              </w:rPr>
              <w:t>Percentage of 16-24-year-old respondents</w:t>
            </w:r>
            <w:r w:rsidRPr="00223A9C" w:rsidDel="00223A9C">
              <w:rPr>
                <w:bCs/>
              </w:rPr>
              <w:t xml:space="preserve"> </w:t>
            </w:r>
          </w:p>
        </w:tc>
      </w:tr>
      <w:tr w:rsidR="00223A9C" w14:paraId="7B8E6B49" w14:textId="77777777" w:rsidTr="008C29F3">
        <w:tc>
          <w:tcPr>
            <w:cnfStyle w:val="001000000000" w:firstRow="0" w:lastRow="0" w:firstColumn="1" w:lastColumn="0" w:oddVBand="0" w:evenVBand="0" w:oddHBand="0" w:evenHBand="0" w:firstRowFirstColumn="0" w:firstRowLastColumn="0" w:lastRowFirstColumn="0" w:lastRowLastColumn="0"/>
            <w:tcW w:w="2835" w:type="dxa"/>
          </w:tcPr>
          <w:p w14:paraId="192D83C9" w14:textId="27D628D3" w:rsidR="00223A9C" w:rsidRPr="00223A9C" w:rsidRDefault="00223A9C" w:rsidP="00A3239A">
            <w:pPr>
              <w:pStyle w:val="Tablebody"/>
            </w:pPr>
            <w:r w:rsidRPr="008C29F3">
              <w:t>Yes</w:t>
            </w:r>
            <w:r w:rsidRPr="00223A9C" w:rsidDel="00223A9C">
              <w:t xml:space="preserve"> </w:t>
            </w:r>
          </w:p>
        </w:tc>
        <w:tc>
          <w:tcPr>
            <w:tcW w:w="6520" w:type="dxa"/>
          </w:tcPr>
          <w:p w14:paraId="022573B1" w14:textId="5DE8FC72" w:rsidR="00223A9C" w:rsidRDefault="00223A9C"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t>84%</w:t>
            </w:r>
          </w:p>
        </w:tc>
      </w:tr>
      <w:tr w:rsidR="00223A9C" w14:paraId="1FA50E6E" w14:textId="77777777" w:rsidTr="008C29F3">
        <w:tc>
          <w:tcPr>
            <w:cnfStyle w:val="001000000000" w:firstRow="0" w:lastRow="0" w:firstColumn="1" w:lastColumn="0" w:oddVBand="0" w:evenVBand="0" w:oddHBand="0" w:evenHBand="0" w:firstRowFirstColumn="0" w:firstRowLastColumn="0" w:lastRowFirstColumn="0" w:lastRowLastColumn="0"/>
            <w:tcW w:w="2835" w:type="dxa"/>
          </w:tcPr>
          <w:p w14:paraId="006A4EC2" w14:textId="4A9D1195" w:rsidR="00223A9C" w:rsidRPr="00223A9C" w:rsidRDefault="00223A9C" w:rsidP="00A3239A">
            <w:pPr>
              <w:pStyle w:val="Tablebody"/>
            </w:pPr>
            <w:r w:rsidRPr="008C29F3">
              <w:t>No</w:t>
            </w:r>
          </w:p>
        </w:tc>
        <w:tc>
          <w:tcPr>
            <w:tcW w:w="6520" w:type="dxa"/>
          </w:tcPr>
          <w:p w14:paraId="095C142A" w14:textId="37834845" w:rsidR="00223A9C" w:rsidRDefault="00223A9C"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10%</w:t>
            </w:r>
          </w:p>
        </w:tc>
      </w:tr>
      <w:tr w:rsidR="00223A9C" w14:paraId="241010D9" w14:textId="77777777" w:rsidTr="008C29F3">
        <w:tc>
          <w:tcPr>
            <w:cnfStyle w:val="001000000000" w:firstRow="0" w:lastRow="0" w:firstColumn="1" w:lastColumn="0" w:oddVBand="0" w:evenVBand="0" w:oddHBand="0" w:evenHBand="0" w:firstRowFirstColumn="0" w:firstRowLastColumn="0" w:lastRowFirstColumn="0" w:lastRowLastColumn="0"/>
            <w:tcW w:w="2835" w:type="dxa"/>
          </w:tcPr>
          <w:p w14:paraId="5151B43F" w14:textId="555EA494" w:rsidR="00223A9C" w:rsidRPr="00223A9C" w:rsidRDefault="00223A9C" w:rsidP="00A3239A">
            <w:pPr>
              <w:pStyle w:val="Tablebody"/>
            </w:pPr>
            <w:r w:rsidRPr="008C29F3">
              <w:t>Unsure</w:t>
            </w:r>
          </w:p>
        </w:tc>
        <w:tc>
          <w:tcPr>
            <w:tcW w:w="6520" w:type="dxa"/>
          </w:tcPr>
          <w:p w14:paraId="467CC4C1" w14:textId="77777777" w:rsidR="00223A9C" w:rsidRDefault="00223A9C" w:rsidP="00A3239A">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223A9C" w14:paraId="02A7DC9B" w14:textId="77777777" w:rsidTr="008C29F3">
        <w:tc>
          <w:tcPr>
            <w:cnfStyle w:val="001000000000" w:firstRow="0" w:lastRow="0" w:firstColumn="1" w:lastColumn="0" w:oddVBand="0" w:evenVBand="0" w:oddHBand="0" w:evenHBand="0" w:firstRowFirstColumn="0" w:firstRowLastColumn="0" w:lastRowFirstColumn="0" w:lastRowLastColumn="0"/>
            <w:tcW w:w="2835" w:type="dxa"/>
          </w:tcPr>
          <w:p w14:paraId="413D614A" w14:textId="0D8309F2" w:rsidR="00223A9C" w:rsidRPr="00223A9C" w:rsidRDefault="00223A9C" w:rsidP="00A3239A">
            <w:pPr>
              <w:pStyle w:val="Tablebody"/>
            </w:pPr>
            <w:r w:rsidRPr="008C29F3">
              <w:t>Unanswered</w:t>
            </w:r>
          </w:p>
        </w:tc>
        <w:tc>
          <w:tcPr>
            <w:tcW w:w="6520" w:type="dxa"/>
          </w:tcPr>
          <w:p w14:paraId="6ACA2986" w14:textId="10B7AB04" w:rsidR="00223A9C" w:rsidRDefault="00223A9C"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t>6%</w:t>
            </w:r>
          </w:p>
        </w:tc>
      </w:tr>
    </w:tbl>
    <w:p w14:paraId="1B18DF18" w14:textId="6636B201"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443. Asked of one quarter of the sample in 2021.</w:t>
      </w:r>
    </w:p>
    <w:p w14:paraId="0C0D9CA1" w14:textId="284A9FB6" w:rsidR="005B3A89" w:rsidRDefault="007D5CED" w:rsidP="00A3239A">
      <w:pPr>
        <w:pStyle w:val="Normal8pt"/>
      </w:pPr>
      <w:r w:rsidRPr="007D5CED">
        <w:rPr>
          <w:bCs/>
        </w:rPr>
        <w:t>ns</w:t>
      </w:r>
      <w:r w:rsidRPr="007D5CED">
        <w:t xml:space="preserve"> No significant difference between 2021 and 2017.</w:t>
      </w:r>
    </w:p>
    <w:p w14:paraId="5585E2CA" w14:textId="2D548AC4" w:rsidR="00F4557A" w:rsidRDefault="007D5CED" w:rsidP="0084332B">
      <w:pPr>
        <w:pStyle w:val="Quote"/>
      </w:pPr>
      <w:r w:rsidRPr="007D5CED">
        <w:t xml:space="preserve">A lot of people just run on the presumption that if you are in a relationship and you’ve said “yes”, a lot of these things are OK. Because of gender and religious and cultural dynamics and how things are expected, like, there’s an expectation that if you’ve said “yes”, you just have to go with it and even if you haven’t said anything or haven’t said “yes” or have said “no”, you have to go with that </w:t>
      </w:r>
      <w:r w:rsidRPr="007D5CED">
        <w:lastRenderedPageBreak/>
        <w:t>because that’s your role as the less superior to submissive person in the</w:t>
      </w:r>
      <w:r w:rsidR="00F4557A">
        <w:t xml:space="preserve"> </w:t>
      </w:r>
      <w:r w:rsidRPr="007D5CED">
        <w:t>relationship.</w:t>
      </w:r>
    </w:p>
    <w:p w14:paraId="6AD82E6A" w14:textId="1FCE48C0" w:rsidR="007D5CED" w:rsidRPr="007D5CED" w:rsidRDefault="007D5CED" w:rsidP="0084332B">
      <w:pPr>
        <w:pStyle w:val="QuoteSignatureLine"/>
        <w:rPr>
          <w:rFonts w:ascii="Hind Medium" w:hAnsi="Hind Medium" w:cs="Hind Medium"/>
          <w:position w:val="8"/>
        </w:rPr>
      </w:pPr>
      <w:r w:rsidRPr="007D5CED">
        <w:t>– Youth Ambassador</w:t>
      </w:r>
    </w:p>
    <w:p w14:paraId="02798B74" w14:textId="77777777" w:rsidR="007D5CED" w:rsidRPr="007D5CED" w:rsidRDefault="007D5CED" w:rsidP="00A3239A">
      <w:pPr>
        <w:rPr>
          <w:lang w:val="en-GB"/>
        </w:rPr>
      </w:pPr>
      <w:r w:rsidRPr="007D5CED">
        <w:rPr>
          <w:lang w:val="en-GB"/>
        </w:rPr>
        <w:t>Regarding the relationship of drugs and alcohol to sexual assault, most young respondents “strongly disagreed” with problematic attitudes such as:</w:t>
      </w:r>
    </w:p>
    <w:p w14:paraId="0BE786D5" w14:textId="5B68A3CD" w:rsidR="007D5CED" w:rsidRPr="007D5CED" w:rsidRDefault="007D5CED" w:rsidP="00A3239A">
      <w:pPr>
        <w:pStyle w:val="ListBullet"/>
        <w:rPr>
          <w:lang w:val="en-GB"/>
        </w:rPr>
      </w:pPr>
      <w:r w:rsidRPr="007D5CED">
        <w:rPr>
          <w:lang w:val="en-GB"/>
        </w:rPr>
        <w:t xml:space="preserve">if a woman is raped while drunk or affected by drugs she is at least partly responsible </w:t>
      </w:r>
      <w:r w:rsidRPr="007D5CED">
        <w:rPr>
          <w:lang w:val="en-US"/>
        </w:rPr>
        <w:t>(81%</w:t>
      </w:r>
      <w:r w:rsidR="00874AD6">
        <w:rPr>
          <w:lang w:val="en-US"/>
        </w:rPr>
        <w:t> </w:t>
      </w:r>
      <w:r w:rsidRPr="007D5CED">
        <w:rPr>
          <w:lang w:val="en-GB"/>
        </w:rPr>
        <w:t>“strongly</w:t>
      </w:r>
      <w:r w:rsidR="00874AD6">
        <w:rPr>
          <w:lang w:val="en-GB"/>
        </w:rPr>
        <w:t> </w:t>
      </w:r>
      <w:r w:rsidRPr="007D5CED">
        <w:rPr>
          <w:lang w:val="en-GB"/>
        </w:rPr>
        <w:t>disagreed”; S20; AVAWS Objectify Women Subscale)</w:t>
      </w:r>
    </w:p>
    <w:p w14:paraId="4C2C5ADE" w14:textId="77777777" w:rsidR="007D5CED" w:rsidRPr="007D5CED" w:rsidRDefault="007D5CED" w:rsidP="00A3239A">
      <w:pPr>
        <w:pStyle w:val="ListBullet"/>
        <w:rPr>
          <w:lang w:val="en-GB"/>
        </w:rPr>
      </w:pPr>
      <w:r w:rsidRPr="007D5CED">
        <w:rPr>
          <w:lang w:val="en-GB"/>
        </w:rPr>
        <w:t>a man is less responsible for rape if he is drunk or affected by drugs at the time (81%; S19; AVAWS Minimise Violence Subscale)</w:t>
      </w:r>
    </w:p>
    <w:p w14:paraId="5CA6DE0A" w14:textId="77777777" w:rsidR="007D5CED" w:rsidRPr="007D5CED" w:rsidRDefault="007D5CED" w:rsidP="00A3239A">
      <w:pPr>
        <w:pStyle w:val="ListBullet"/>
        <w:rPr>
          <w:lang w:val="en-GB"/>
        </w:rPr>
      </w:pPr>
      <w:r w:rsidRPr="007D5CED">
        <w:rPr>
          <w:lang w:val="en-GB"/>
        </w:rPr>
        <w:t xml:space="preserve">it is understandable if a man continues </w:t>
      </w:r>
      <w:r w:rsidRPr="007D5CED">
        <w:rPr>
          <w:lang w:val="en-US"/>
        </w:rPr>
        <w:t xml:space="preserve">to have sex </w:t>
      </w:r>
      <w:r w:rsidRPr="007D5CED">
        <w:rPr>
          <w:lang w:val="en-GB"/>
        </w:rPr>
        <w:t>with a woman who is drunk and falls asleep (87%; S4; AVAWS Objectify Women Subscale).</w:t>
      </w:r>
    </w:p>
    <w:p w14:paraId="08A109AA" w14:textId="5B57AABA" w:rsidR="007D5CED" w:rsidRPr="007D5CED" w:rsidRDefault="007D5CED" w:rsidP="00A3239A">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There were concerning findings, however, regarding young Australians’ mistrust of women’s reports of</w:t>
      </w:r>
      <w:r w:rsidR="00874AD6">
        <w:rPr>
          <w:rFonts w:cs="Open Sans"/>
          <w:color w:val="000000"/>
          <w:kern w:val="0"/>
          <w:szCs w:val="18"/>
          <w:lang w:val="en-GB"/>
        </w:rPr>
        <w:t> </w:t>
      </w:r>
      <w:r w:rsidRPr="007D5CED">
        <w:rPr>
          <w:rFonts w:cs="Open Sans"/>
          <w:color w:val="000000"/>
          <w:kern w:val="0"/>
          <w:szCs w:val="18"/>
          <w:lang w:val="en-GB"/>
        </w:rPr>
        <w:t>sexual assault (See also Chapter 6). For example:</w:t>
      </w:r>
    </w:p>
    <w:p w14:paraId="24FC850B" w14:textId="77777777" w:rsidR="007D5CED" w:rsidRPr="007D5CED" w:rsidRDefault="007D5CED" w:rsidP="00A3239A">
      <w:pPr>
        <w:pStyle w:val="ListBullet"/>
        <w:rPr>
          <w:lang w:val="en-GB"/>
        </w:rPr>
      </w:pPr>
      <w:r w:rsidRPr="007D5CED">
        <w:rPr>
          <w:lang w:val="en-GB"/>
        </w:rPr>
        <w:t>only about 1 in 3 young respondents “strongly disagreed” that it is common for sexual assault accusations to be used to get back at men (36%; S23) and 33 per cent “somewhat” or “strongly” agreed (AVAWS Mistrust Women Subscale)</w:t>
      </w:r>
    </w:p>
    <w:p w14:paraId="0688B903" w14:textId="681E1490" w:rsidR="007D5CED" w:rsidRPr="007D5CED" w:rsidRDefault="007D5CED" w:rsidP="00A3239A">
      <w:pPr>
        <w:pStyle w:val="ListBullet"/>
        <w:rPr>
          <w:lang w:val="en-GB"/>
        </w:rPr>
      </w:pPr>
      <w:r w:rsidRPr="007D5CED">
        <w:rPr>
          <w:lang w:val="en-GB"/>
        </w:rPr>
        <w:t>only about 1 in 2 young respondents “strongly disagreed” that a lot of times women who say they were raped had led the man on and then had regrets (47%; S24) and 20 per cent “somewhat” or</w:t>
      </w:r>
      <w:r w:rsidR="00730E4B">
        <w:rPr>
          <w:lang w:val="en-GB"/>
        </w:rPr>
        <w:t> </w:t>
      </w:r>
      <w:r w:rsidRPr="007D5CED">
        <w:rPr>
          <w:lang w:val="en-GB"/>
        </w:rPr>
        <w:t>“strongly” agreed (AVAWS Mistrust Women Subscale)</w:t>
      </w:r>
    </w:p>
    <w:p w14:paraId="462E5C8A" w14:textId="77777777" w:rsidR="007D5CED" w:rsidRPr="007D5CED" w:rsidRDefault="007D5CED" w:rsidP="00A3239A">
      <w:pPr>
        <w:pStyle w:val="ListBullet"/>
        <w:rPr>
          <w:lang w:val="en-GB"/>
        </w:rPr>
      </w:pPr>
      <w:r w:rsidRPr="007D5CED">
        <w:rPr>
          <w:lang w:val="en-GB"/>
        </w:rPr>
        <w:t>only about 1 in 2 young respondents “strongly disagreed” that many allegations of sexual assault made by women are false (53%; S18) and 13 per cent “somewhat” or “strongly” agreed (AVAWS Mistrust Women Subscale).</w:t>
      </w:r>
    </w:p>
    <w:p w14:paraId="7BA0F9AA" w14:textId="77777777" w:rsidR="007D5CED" w:rsidRPr="007D5CED" w:rsidRDefault="007D5CED" w:rsidP="0084332B">
      <w:pPr>
        <w:pStyle w:val="Heading4"/>
      </w:pPr>
      <w:r w:rsidRPr="007D5CED">
        <w:t>Comparing by gender: Young people’s attitudes towards sexual assault</w:t>
      </w:r>
    </w:p>
    <w:p w14:paraId="4C30E016" w14:textId="4392F9A4" w:rsidR="005B3A89" w:rsidRDefault="007D5CED" w:rsidP="00A3239A">
      <w:pPr>
        <w:rPr>
          <w:lang w:val="en-GB"/>
        </w:rPr>
      </w:pPr>
      <w:r w:rsidRPr="007D5CED">
        <w:rPr>
          <w:lang w:val="en-GB"/>
        </w:rPr>
        <w:t>As detailed in Appendix C and Chapter 6, there were consistent gender differences in young respondents’ attitudes towards sexual assault, with young men lagging behind young women and young non-binary respondents on the SAS. Young men also had lower scores than young women on</w:t>
      </w:r>
      <w:r w:rsidR="00730E4B">
        <w:rPr>
          <w:lang w:val="en-GB"/>
        </w:rPr>
        <w:t> </w:t>
      </w:r>
      <w:r w:rsidRPr="007D5CED">
        <w:rPr>
          <w:lang w:val="en-GB"/>
        </w:rPr>
        <w:t>the AVAWS and all three AVAWS subscales, including the Objectify Women and Mistrust Women Subscales, which include many sexual violence items.</w:t>
      </w:r>
    </w:p>
    <w:p w14:paraId="5C016037" w14:textId="51DE959D" w:rsidR="007D5CED" w:rsidRPr="00730E4B" w:rsidRDefault="007D5CED" w:rsidP="00A3239A">
      <w:pPr>
        <w:rPr>
          <w:spacing w:val="-2"/>
          <w:lang w:val="en-GB"/>
        </w:rPr>
      </w:pPr>
      <w:r w:rsidRPr="00730E4B">
        <w:rPr>
          <w:spacing w:val="-2"/>
          <w:lang w:val="en-GB"/>
        </w:rPr>
        <w:t>The item-level results reflected this gender difference between young women and young men in</w:t>
      </w:r>
      <w:r w:rsidR="00730E4B" w:rsidRPr="00730E4B">
        <w:rPr>
          <w:spacing w:val="-2"/>
          <w:lang w:val="en-GB"/>
        </w:rPr>
        <w:t> </w:t>
      </w:r>
      <w:r w:rsidRPr="00730E4B">
        <w:rPr>
          <w:spacing w:val="-2"/>
          <w:lang w:val="en-GB"/>
        </w:rPr>
        <w:t>attitudes towards sexual assault.</w:t>
      </w:r>
      <w:r w:rsidRPr="00730E4B">
        <w:rPr>
          <w:spacing w:val="-2"/>
          <w:vertAlign w:val="superscript"/>
          <w:lang w:val="en-GB"/>
        </w:rPr>
        <w:footnoteReference w:id="40"/>
      </w:r>
      <w:r w:rsidRPr="00730E4B">
        <w:rPr>
          <w:spacing w:val="-2"/>
          <w:lang w:val="en-GB"/>
        </w:rPr>
        <w:t xml:space="preserve"> There was a gender difference on six of the seven items from the Mistrust Women Subscale that describe mistrust of women’s reports of sexual assault. Young women were significantly more likely than young men to “strongly disagree” with these attitudes mistrusting women’s reports of sexual assault (Appendix C, Table 15-7). For example, young women were significantly more likely than young men to “strongly disagree” that women often lie about sexual assault (S18), including to</w:t>
      </w:r>
      <w:r w:rsidR="00730E4B">
        <w:rPr>
          <w:spacing w:val="-2"/>
          <w:lang w:val="en-GB"/>
        </w:rPr>
        <w:t> </w:t>
      </w:r>
      <w:r w:rsidRPr="00730E4B">
        <w:rPr>
          <w:spacing w:val="-2"/>
          <w:lang w:val="en-GB"/>
        </w:rPr>
        <w:t>get back at men (S23), because they regretted having consensual sex (S24), because of mental health issues (S1) or as indicated by delayed reporting (S25) or by lack of</w:t>
      </w:r>
      <w:r w:rsidR="00730E4B" w:rsidRPr="00730E4B">
        <w:rPr>
          <w:spacing w:val="-2"/>
          <w:lang w:val="en-GB"/>
        </w:rPr>
        <w:t> </w:t>
      </w:r>
      <w:r w:rsidRPr="00730E4B">
        <w:rPr>
          <w:spacing w:val="-2"/>
          <w:lang w:val="en-GB"/>
        </w:rPr>
        <w:t>physical</w:t>
      </w:r>
      <w:r w:rsidR="00730E4B" w:rsidRPr="00730E4B">
        <w:rPr>
          <w:spacing w:val="-2"/>
          <w:lang w:val="en-GB"/>
        </w:rPr>
        <w:t> </w:t>
      </w:r>
      <w:r w:rsidRPr="00730E4B">
        <w:rPr>
          <w:spacing w:val="-2"/>
          <w:lang w:val="en-GB"/>
        </w:rPr>
        <w:t>injury (S22).</w:t>
      </w:r>
    </w:p>
    <w:p w14:paraId="3BD5169E" w14:textId="77777777" w:rsidR="007D5CED" w:rsidRPr="00730E4B" w:rsidRDefault="007D5CED" w:rsidP="00A3239A">
      <w:pPr>
        <w:rPr>
          <w:spacing w:val="-4"/>
          <w:lang w:val="en-GB"/>
        </w:rPr>
      </w:pPr>
      <w:r w:rsidRPr="00730E4B">
        <w:rPr>
          <w:spacing w:val="-4"/>
          <w:lang w:val="en-GB"/>
        </w:rPr>
        <w:t xml:space="preserve">There was also a gender difference on four of the six items from the Objectify Women Subscale describing attitudes that disregard the need to gain consent. Specifically, young women were significantly more likely than young men to “strongly disagree” that it is acceptable to disregard consent because women often say “no” when they mean “yes” (S5) and if the man is very sexually aroused (S8) or the woman is drunk or falls asleep (S4, S20; Appendix C, Table 15-7). However, there was no significant gender difference on the sexual consent scenarios (S12, S13, S14, S15; Objectify Women Subscale; Appendix C, Table 15-7). </w:t>
      </w:r>
    </w:p>
    <w:p w14:paraId="78D16FCE" w14:textId="77777777" w:rsidR="007D5CED" w:rsidRPr="007D5CED" w:rsidRDefault="007D5CED" w:rsidP="00A3239A">
      <w:pPr>
        <w:rPr>
          <w:lang w:val="en-GB"/>
        </w:rPr>
      </w:pPr>
      <w:r w:rsidRPr="007D5CED">
        <w:rPr>
          <w:lang w:val="en-GB"/>
        </w:rPr>
        <w:t>Young women (83%) were also significantly more likely than young men (66%) to understand that women are more likely to be raped by somebody they know than by a stranger (S16).</w:t>
      </w:r>
    </w:p>
    <w:p w14:paraId="47D11AE5" w14:textId="77777777" w:rsidR="00F4557A" w:rsidRDefault="007D5CED" w:rsidP="0084332B">
      <w:pPr>
        <w:pStyle w:val="Quote"/>
      </w:pPr>
      <w:r w:rsidRPr="007D5CED">
        <w:lastRenderedPageBreak/>
        <w:t>Young people don’t have as much experience with alcohol and drugs as older people do. When I</w:t>
      </w:r>
      <w:r w:rsidR="00F4557A">
        <w:t xml:space="preserve"> </w:t>
      </w:r>
      <w:r w:rsidRPr="007D5CED">
        <w:t>was young, like 16, I thought that drinking alcohol would mean that I’m a completely different person, completely incapable of controlling impulses. But, you know, you soon learn that … you can remain well in</w:t>
      </w:r>
      <w:r w:rsidR="00F4557A">
        <w:t xml:space="preserve"> </w:t>
      </w:r>
      <w:r w:rsidRPr="007D5CED">
        <w:t>control and not do terrible things</w:t>
      </w:r>
      <w:r w:rsidR="00F4557A">
        <w:t xml:space="preserve"> </w:t>
      </w:r>
      <w:r w:rsidRPr="007D5CED">
        <w:t xml:space="preserve">to people. </w:t>
      </w:r>
    </w:p>
    <w:p w14:paraId="049CD31B" w14:textId="460DF2D4" w:rsidR="002931C5" w:rsidRDefault="007D5CED" w:rsidP="0084332B">
      <w:pPr>
        <w:pStyle w:val="QuoteSignatureLine"/>
      </w:pPr>
      <w:r w:rsidRPr="007D5CED">
        <w:t>– Youth Ambassador</w:t>
      </w:r>
    </w:p>
    <w:p w14:paraId="488CE60A" w14:textId="77777777" w:rsidR="007D5CED" w:rsidRPr="007D5CED" w:rsidRDefault="007D5CED" w:rsidP="0084332B">
      <w:pPr>
        <w:pStyle w:val="Heading4"/>
      </w:pPr>
      <w:r w:rsidRPr="007D5CED">
        <w:t>Comparing by age: Attitudes towards sexual assault</w:t>
      </w:r>
    </w:p>
    <w:p w14:paraId="6061E3CC" w14:textId="1056632D" w:rsidR="007D5CED" w:rsidRPr="007D5CED" w:rsidRDefault="007D5CED" w:rsidP="00A3239A">
      <w:pPr>
        <w:rPr>
          <w:lang w:val="en-GB"/>
        </w:rPr>
      </w:pPr>
      <w:r w:rsidRPr="007D5CED">
        <w:rPr>
          <w:lang w:val="en-GB"/>
        </w:rPr>
        <w:t>There were some age differences in attitudes towards sexual assault. Comparing the two youth age groups, 18- to 24-year-olds were significantly more likely than 16- to 17-year-olds to reject problematic attitudes regarding sexual assault, according to mean SAS scores. This age difference on the SAS was reflected in a significant difference on two of its 18 items, although the trend for most items was in the same direction of stronger rejection by 18- to 24- than 16- to 17-year-olds. Specifically, compared to</w:t>
      </w:r>
      <w:r w:rsidR="00F571A6">
        <w:rPr>
          <w:lang w:val="en-GB"/>
        </w:rPr>
        <w:t> </w:t>
      </w:r>
      <w:r w:rsidRPr="007D5CED">
        <w:rPr>
          <w:lang w:val="en-GB"/>
        </w:rPr>
        <w:t>16-</w:t>
      </w:r>
      <w:r w:rsidR="00F571A6" w:rsidRPr="00EA1044">
        <w:rPr>
          <w:lang w:val="en-AU"/>
        </w:rPr>
        <w:t> </w:t>
      </w:r>
      <w:r w:rsidRPr="007D5CED">
        <w:rPr>
          <w:lang w:val="en-GB"/>
        </w:rPr>
        <w:t>to 17-year-olds, 18- to 24-year-olds were more likely to “strongly disagree” that a perpetrator is</w:t>
      </w:r>
      <w:r w:rsidR="00F571A6">
        <w:rPr>
          <w:lang w:val="en-GB"/>
        </w:rPr>
        <w:t> </w:t>
      </w:r>
      <w:r w:rsidRPr="007D5CED">
        <w:rPr>
          <w:lang w:val="en-GB"/>
        </w:rPr>
        <w:t>less responsible for sexual assault if he was affected by alcohol or drugs (S19) and more likely to</w:t>
      </w:r>
      <w:r w:rsidR="00F571A6">
        <w:rPr>
          <w:lang w:val="en-GB"/>
        </w:rPr>
        <w:t> </w:t>
      </w:r>
      <w:r w:rsidRPr="007D5CED">
        <w:rPr>
          <w:lang w:val="en-GB"/>
        </w:rPr>
        <w:t>“somewhat” or “strongly” disagree that forced sex among married partners is justified if the woman</w:t>
      </w:r>
      <w:r w:rsidR="00F571A6">
        <w:rPr>
          <w:lang w:val="en-GB"/>
        </w:rPr>
        <w:t> </w:t>
      </w:r>
      <w:r w:rsidRPr="007D5CED">
        <w:rPr>
          <w:lang w:val="en-GB"/>
        </w:rPr>
        <w:t xml:space="preserve">initiates intimacy (S13; Appendix A, Table 13-7). </w:t>
      </w:r>
    </w:p>
    <w:p w14:paraId="3F645B3C" w14:textId="2D23366F" w:rsidR="007D5CED" w:rsidRPr="007D5CED" w:rsidRDefault="007D5CED" w:rsidP="00A3239A">
      <w:pPr>
        <w:rPr>
          <w:lang w:val="en-GB"/>
        </w:rPr>
      </w:pPr>
      <w:r w:rsidRPr="007D5CED">
        <w:rPr>
          <w:lang w:val="en-GB"/>
        </w:rPr>
        <w:t>Young respondents did not significantly differ from respondents aged 25 years or older in their overall rejection of attitudes towards sexual assault based on SAS scores. However, there were age differences on two SAS items. Strong disagreement increased with age for the attitude that a man is less responsible for rape if he was affected by drugs or alcohol, with 64 per cent of 16- to 17-year-olds, 85</w:t>
      </w:r>
      <w:r w:rsidR="00F571A6">
        <w:rPr>
          <w:lang w:val="en-GB"/>
        </w:rPr>
        <w:t> </w:t>
      </w:r>
      <w:r w:rsidRPr="007D5CED">
        <w:rPr>
          <w:lang w:val="en-GB"/>
        </w:rPr>
        <w:t>per cent of 18- to 24-year-olds and 90 per cent of respondents aged 25 years or older “strongly” disagreeing with this attitude (S19; Appendix A, Table 13</w:t>
      </w:r>
      <w:r w:rsidRPr="007D5CED">
        <w:rPr>
          <w:rFonts w:ascii="Cambria Math" w:hAnsi="Cambria Math" w:cs="Cambria Math"/>
          <w:lang w:val="en-GB"/>
        </w:rPr>
        <w:t>‑</w:t>
      </w:r>
      <w:r w:rsidRPr="007D5CED">
        <w:rPr>
          <w:lang w:val="en-GB"/>
        </w:rPr>
        <w:t>7, and Appendix B, Table 14-7). The</w:t>
      </w:r>
      <w:r w:rsidR="00F571A6">
        <w:rPr>
          <w:lang w:val="en-GB"/>
        </w:rPr>
        <w:t> </w:t>
      </w:r>
      <w:r w:rsidRPr="007D5CED">
        <w:rPr>
          <w:lang w:val="en-GB"/>
        </w:rPr>
        <w:t xml:space="preserve">problematic attitude that men can be excused for continuing to have sex with a drunk woman who falls asleep was more likely to receive strong disagreement from young respondents aged 16 to 24 years (87%) and 25- to 34-year-olds (89%) than from respondents aged 35 years or older (76%; S4; Appendix B, Table 14-7). </w:t>
      </w:r>
    </w:p>
    <w:p w14:paraId="55E308C5" w14:textId="3026FFD5" w:rsidR="00F4557A" w:rsidRDefault="007D5CED" w:rsidP="0084332B">
      <w:pPr>
        <w:pStyle w:val="Quote"/>
      </w:pPr>
      <w:r w:rsidRPr="007D5CED">
        <w:t>I think that young people compared to older people have a better understanding of the fact that consent is an ongoing experience thing, in that it, like, needs to be</w:t>
      </w:r>
      <w:r w:rsidR="00F571A6">
        <w:t> </w:t>
      </w:r>
      <w:r w:rsidRPr="007D5CED">
        <w:t>continually addressed and updated given people’s varying states and what you’re doing.</w:t>
      </w:r>
    </w:p>
    <w:p w14:paraId="080CEF08" w14:textId="353FE8AC" w:rsidR="007D5CED" w:rsidRPr="007D5CED" w:rsidRDefault="007D5CED" w:rsidP="0084332B">
      <w:pPr>
        <w:pStyle w:val="QuoteSignatureLine"/>
      </w:pPr>
      <w:r w:rsidRPr="007D5CED">
        <w:t>– Youth Ambassador</w:t>
      </w:r>
    </w:p>
    <w:p w14:paraId="733ABE66" w14:textId="77777777" w:rsidR="007D5CED" w:rsidRPr="007D5CED" w:rsidRDefault="007D5CED" w:rsidP="0084332B">
      <w:pPr>
        <w:pStyle w:val="Heading4"/>
      </w:pPr>
      <w:r w:rsidRPr="007D5CED">
        <w:t>Sexual harassment</w:t>
      </w:r>
    </w:p>
    <w:p w14:paraId="2FA74D9C" w14:textId="188B52A3" w:rsidR="007D5CED" w:rsidRPr="007D5CED" w:rsidRDefault="007D5CED" w:rsidP="00A3239A">
      <w:pPr>
        <w:rPr>
          <w:lang w:val="en-GB"/>
        </w:rPr>
      </w:pPr>
      <w:r w:rsidRPr="007D5CED">
        <w:rPr>
          <w:lang w:val="en-GB"/>
        </w:rPr>
        <w:t>Sexual harassment is a form of sexual violence characterised by unwelcome sexual advances, sexualised comments, intrusive sexualised questions, requests for sexual favours or other unwelcome</w:t>
      </w:r>
      <w:r w:rsidR="00F571A6">
        <w:rPr>
          <w:lang w:val="en-GB"/>
        </w:rPr>
        <w:t> </w:t>
      </w:r>
      <w:r w:rsidRPr="007D5CED">
        <w:rPr>
          <w:lang w:val="en-GB"/>
        </w:rPr>
        <w:t>conduct of a sexual nature which makes a person feel offended, humiliated or</w:t>
      </w:r>
      <w:r w:rsidR="00F571A6">
        <w:rPr>
          <w:lang w:val="en-GB"/>
        </w:rPr>
        <w:t> </w:t>
      </w:r>
      <w:r w:rsidRPr="007D5CED">
        <w:rPr>
          <w:lang w:val="en-GB"/>
        </w:rPr>
        <w:t>intimidated</w:t>
      </w:r>
      <w:r w:rsidR="00F571A6">
        <w:rPr>
          <w:lang w:val="en-GB"/>
        </w:rPr>
        <w:t> </w:t>
      </w:r>
      <w:r w:rsidRPr="007D5CED">
        <w:rPr>
          <w:lang w:val="en-GB"/>
        </w:rPr>
        <w:t>(</w:t>
      </w:r>
      <w:r w:rsidRPr="00DB4795">
        <w:rPr>
          <w:rStyle w:val="Emphasis"/>
          <w:lang w:val="en-US"/>
        </w:rPr>
        <w:t>Sex</w:t>
      </w:r>
      <w:r w:rsidR="00F571A6">
        <w:rPr>
          <w:rStyle w:val="Emphasis"/>
          <w:lang w:val="en-US"/>
        </w:rPr>
        <w:t> </w:t>
      </w:r>
      <w:r w:rsidRPr="00DB4795">
        <w:rPr>
          <w:rStyle w:val="Emphasis"/>
          <w:lang w:val="en-US"/>
        </w:rPr>
        <w:t>Discrimination Act 1984</w:t>
      </w:r>
      <w:r w:rsidRPr="007D5CED">
        <w:rPr>
          <w:lang w:val="en-GB"/>
        </w:rPr>
        <w:t xml:space="preserve"> [Cth]). Sexual harassment can include, but is not limited to, staring</w:t>
      </w:r>
      <w:r w:rsidR="00F571A6">
        <w:rPr>
          <w:lang w:val="en-GB"/>
        </w:rPr>
        <w:t> </w:t>
      </w:r>
      <w:r w:rsidRPr="007D5CED">
        <w:rPr>
          <w:lang w:val="en-GB"/>
        </w:rPr>
        <w:t>or</w:t>
      </w:r>
      <w:r w:rsidR="00F571A6">
        <w:rPr>
          <w:lang w:val="en-GB"/>
        </w:rPr>
        <w:t> </w:t>
      </w:r>
      <w:r w:rsidRPr="007D5CED">
        <w:rPr>
          <w:lang w:val="en-GB"/>
        </w:rPr>
        <w:t>leering; indecent texts, emails or posts; indecent exposure; inappropriate comments; non</w:t>
      </w:r>
      <w:r w:rsidR="00F571A6">
        <w:rPr>
          <w:lang w:val="en-GB"/>
        </w:rPr>
        <w:noBreakHyphen/>
      </w:r>
      <w:r w:rsidRPr="007D5CED">
        <w:rPr>
          <w:lang w:val="en-GB"/>
        </w:rPr>
        <w:t>consensual sharing of intimate images; and unwanted touching.</w:t>
      </w:r>
    </w:p>
    <w:p w14:paraId="40592B92" w14:textId="77777777" w:rsidR="007D5CED" w:rsidRPr="007D5CED" w:rsidRDefault="007D5CED" w:rsidP="00A3239A">
      <w:pPr>
        <w:rPr>
          <w:lang w:val="en-GB"/>
        </w:rPr>
      </w:pPr>
      <w:r w:rsidRPr="007D5CED">
        <w:rPr>
          <w:lang w:val="en-GB"/>
        </w:rPr>
        <w:t>Of the six AVAWS items in the Sexual Harassment Scale (SHS), one is from the Minimise Violence Subscale, one is from the Mistrust Women Subscale and four are from the Objectify Women Subscale.</w:t>
      </w:r>
    </w:p>
    <w:p w14:paraId="37E947F9" w14:textId="77777777" w:rsidR="007D5CED" w:rsidRPr="007D5CED" w:rsidRDefault="007D5CED" w:rsidP="00A3239A">
      <w:pPr>
        <w:rPr>
          <w:lang w:val="en-GB"/>
        </w:rPr>
      </w:pPr>
      <w:r w:rsidRPr="007D5CED">
        <w:rPr>
          <w:lang w:val="en-GB"/>
        </w:rPr>
        <w:t>Most young respondents (65–88%) “strongly disagreed” with all the problematic attitudes regarding sexual harassment measured by the 2021 NCAS. For example, the vast majority “strongly disagreed” that women who are sexually harassed should deal with it themselves rather than report it (88%; S9), that it’s understandable that some men think they can touch women without permission because some women behave sexually in public (86%; S7) and that women who wait weeks or months to report sexual harassment are probably lying (76%; S10).</w:t>
      </w:r>
    </w:p>
    <w:p w14:paraId="0B7ADD53" w14:textId="4DD7C5DB" w:rsidR="007D5CED" w:rsidRPr="007D5CED" w:rsidRDefault="007D5CED" w:rsidP="00A3239A">
      <w:pPr>
        <w:rPr>
          <w:lang w:val="en-GB"/>
        </w:rPr>
      </w:pPr>
      <w:r w:rsidRPr="007D5CED">
        <w:rPr>
          <w:lang w:val="en-GB"/>
        </w:rPr>
        <w:t>However, a minority of young respondents supported myths that sexual harassment is flattering or</w:t>
      </w:r>
      <w:r w:rsidR="00F571A6">
        <w:rPr>
          <w:lang w:val="en-GB"/>
        </w:rPr>
        <w:t> </w:t>
      </w:r>
      <w:r w:rsidRPr="007D5CED">
        <w:rPr>
          <w:lang w:val="en-GB"/>
        </w:rPr>
        <w:t>benign. For example:</w:t>
      </w:r>
    </w:p>
    <w:p w14:paraId="03895FAB" w14:textId="631124CE" w:rsidR="007D5CED" w:rsidRPr="007D5CED" w:rsidRDefault="007D5CED" w:rsidP="00A3239A">
      <w:pPr>
        <w:pStyle w:val="ListBullet"/>
        <w:rPr>
          <w:lang w:val="en-GB"/>
        </w:rPr>
      </w:pPr>
      <w:r w:rsidRPr="007D5CED">
        <w:rPr>
          <w:lang w:val="en-GB"/>
        </w:rPr>
        <w:lastRenderedPageBreak/>
        <w:t>Just over 1 in 10 young respondents “somewhat” or “strongly” agreed that women find it flattering to</w:t>
      </w:r>
      <w:r w:rsidR="00F571A6">
        <w:rPr>
          <w:lang w:val="en-GB"/>
        </w:rPr>
        <w:t> </w:t>
      </w:r>
      <w:r w:rsidRPr="007D5CED">
        <w:rPr>
          <w:lang w:val="en-GB"/>
        </w:rPr>
        <w:t>be persistently pursued even if they are not interested (11%; S11; AVAWS Objectify Women</w:t>
      </w:r>
      <w:r w:rsidR="00F571A6">
        <w:rPr>
          <w:lang w:val="en-GB"/>
        </w:rPr>
        <w:t> </w:t>
      </w:r>
      <w:r w:rsidRPr="007D5CED">
        <w:rPr>
          <w:lang w:val="en-GB"/>
        </w:rPr>
        <w:t>Subscale).</w:t>
      </w:r>
    </w:p>
    <w:p w14:paraId="4827E489" w14:textId="17418A2B" w:rsidR="007D5CED" w:rsidRPr="007D5CED" w:rsidRDefault="007D5CED" w:rsidP="00A3239A">
      <w:pPr>
        <w:pStyle w:val="ListBullet"/>
        <w:rPr>
          <w:lang w:val="en-GB"/>
        </w:rPr>
      </w:pPr>
      <w:r w:rsidRPr="007D5CED">
        <w:rPr>
          <w:lang w:val="en-GB"/>
        </w:rPr>
        <w:t>About 1 in 15 young respondents “somewhat” or “strongly” agreed that since some women are so</w:t>
      </w:r>
      <w:r w:rsidR="00F571A6">
        <w:rPr>
          <w:lang w:val="en-GB"/>
        </w:rPr>
        <w:t> </w:t>
      </w:r>
      <w:r w:rsidRPr="007D5CED">
        <w:rPr>
          <w:lang w:val="en-GB"/>
        </w:rPr>
        <w:t>sexual in public, it’s understandable that some men think they can touch women without permission (7%; S7; AVAWS Objectify Women Subscale).</w:t>
      </w:r>
    </w:p>
    <w:p w14:paraId="3D772533" w14:textId="77777777" w:rsidR="007D5CED" w:rsidRPr="007D5CED" w:rsidRDefault="007D5CED" w:rsidP="00A3239A">
      <w:pPr>
        <w:pStyle w:val="ListBullet"/>
        <w:rPr>
          <w:lang w:val="en-GB"/>
        </w:rPr>
      </w:pPr>
      <w:r w:rsidRPr="007D5CED">
        <w:rPr>
          <w:lang w:val="en-GB"/>
        </w:rPr>
        <w:t>About 1 in 15 young respondents “somewhat” or “strongly” agreed that women should be flattered by wolf-whistles or cat-calls in public (7%; S3; AVAWS Objectify Women Subscale).</w:t>
      </w:r>
    </w:p>
    <w:p w14:paraId="1EDAEFAB" w14:textId="77777777" w:rsidR="007D5CED" w:rsidRPr="007D5CED" w:rsidRDefault="007D5CED" w:rsidP="0084332B">
      <w:pPr>
        <w:pStyle w:val="Heading5"/>
      </w:pPr>
      <w:r w:rsidRPr="007D5CED">
        <w:t>Comparing by gender: Young people’s attitudes towards sexual harassment</w:t>
      </w:r>
    </w:p>
    <w:p w14:paraId="50293A4D" w14:textId="77777777" w:rsidR="007D5CED" w:rsidRPr="007D5CED" w:rsidRDefault="007D5CED" w:rsidP="00A3239A">
      <w:pPr>
        <w:rPr>
          <w:lang w:val="en-GB"/>
        </w:rPr>
      </w:pPr>
      <w:r w:rsidRPr="007D5CED">
        <w:rPr>
          <w:lang w:val="en-GB"/>
        </w:rPr>
        <w:t xml:space="preserve">As detailed in Appendix C and Chapter 6, there were consistent gender differences in attitudes towards violence against women, with young men lagging behind young women. Compared to young men, young women had higher rejection of violence against women according to scores on the AVAWS and all three AVAWS subscales, including the Objectify Women Subscale, which includes four of the six sexual harassment items. </w:t>
      </w:r>
    </w:p>
    <w:p w14:paraId="58AE8B3D" w14:textId="77777777" w:rsidR="007D5CED" w:rsidRPr="007D5CED" w:rsidRDefault="007D5CED" w:rsidP="00A3239A">
      <w:pPr>
        <w:rPr>
          <w:lang w:val="en-GB"/>
        </w:rPr>
      </w:pPr>
      <w:r w:rsidRPr="007D5CED">
        <w:rPr>
          <w:lang w:val="en-GB"/>
        </w:rPr>
        <w:t>Young women demonstrated stronger rejection of sexual harassment than young men based on SHS scores and five of its six items (S9, S7, S10, S3, S11). Young women (73–91%) were significantly more likely than young men (58–83%) to “strongly disagree” with attitudes that normalise harassment and disregard consent, including attitudes that unwelcome touching of women in public is understandable (S7) and that women should be flattered by unwelcome persistent pursuit (S11) or by wolf-whistles and cat-calls in public (S3). Similarly, young women (89–92%) were significantly more likely than young men (65–85%) to “strongly disagree” with attitudes that mistrust women’s reports of sexual harassment (S10) and those that minimise sexual harassment by encouraging women to deal with it on their own (S9).</w:t>
      </w:r>
    </w:p>
    <w:p w14:paraId="3B20993F" w14:textId="77777777" w:rsidR="007D5CED" w:rsidRPr="007D5CED" w:rsidRDefault="007D5CED" w:rsidP="0084332B">
      <w:pPr>
        <w:pStyle w:val="Heading5"/>
      </w:pPr>
      <w:r w:rsidRPr="007D5CED">
        <w:t>Comparing by age: Attitudes towards sexual harassment</w:t>
      </w:r>
    </w:p>
    <w:p w14:paraId="6CA3E9EA" w14:textId="77777777" w:rsidR="007D5CED" w:rsidRPr="007D5CED" w:rsidRDefault="007D5CED" w:rsidP="00A3239A">
      <w:pPr>
        <w:rPr>
          <w:lang w:val="en-GB"/>
        </w:rPr>
      </w:pPr>
      <w:r w:rsidRPr="007D5CED">
        <w:rPr>
          <w:lang w:val="en-GB"/>
        </w:rPr>
        <w:t>There were some age differences in attitudes towards sexual harassment. Comparing the two youth age groups, 18- to 24-year-olds were significantly more likely than 16- to 17-year-olds to reject problematic attitudes regarding sexual harassment according to SHS scores. However, at the item level, none of the differences between the two youth age groups on any of the six SHS items was large enough to reach statistical significance.</w:t>
      </w:r>
    </w:p>
    <w:p w14:paraId="6751A2A7" w14:textId="0B1CBEE1" w:rsidR="007D5CED" w:rsidRPr="007D5CED" w:rsidRDefault="007D5CED" w:rsidP="00A3239A">
      <w:pPr>
        <w:rPr>
          <w:lang w:val="en-GB"/>
        </w:rPr>
      </w:pPr>
      <w:r w:rsidRPr="007D5CED">
        <w:rPr>
          <w:lang w:val="en-GB"/>
        </w:rPr>
        <w:t>Comparing young respondents (aged 16 to 24 years) to those aged 25 years or older, there was no</w:t>
      </w:r>
      <w:r w:rsidR="00F571A6">
        <w:rPr>
          <w:lang w:val="en-GB"/>
        </w:rPr>
        <w:t> </w:t>
      </w:r>
      <w:r w:rsidRPr="007D5CED">
        <w:rPr>
          <w:lang w:val="en-GB"/>
        </w:rPr>
        <w:t>significant difference in their overall rejection of attitudes towards sexual harassment based on SHS scores. However, there was an age difference between young respondents and some other age groups on one SHS item. Young respondents aged 16 to 24 years (71%) and respondents aged 25 to 34 years (69%) were significantly more likely than respondents aged 35 years or older (50%) to “strongly disagree” that a woman should be flattered by wolf-whistles or cat-calls in public (S3).</w:t>
      </w:r>
    </w:p>
    <w:p w14:paraId="41D9C931" w14:textId="1FFE0DA5" w:rsidR="007D5CED" w:rsidRPr="007D5CED" w:rsidRDefault="007D5CED" w:rsidP="00DC3FE8">
      <w:pPr>
        <w:pStyle w:val="Heading3"/>
      </w:pPr>
      <w:bookmarkStart w:id="179" w:name="_Toc152532407"/>
      <w:bookmarkStart w:id="180" w:name="_Toc190941693"/>
      <w:bookmarkStart w:id="181" w:name="_Toc190942393"/>
      <w:r w:rsidRPr="007D5CED">
        <w:t>7.3</w:t>
      </w:r>
      <w:r w:rsidR="00931C8E">
        <w:t xml:space="preserve"> </w:t>
      </w:r>
      <w:r w:rsidRPr="007D5CED">
        <w:t>Technology-facilitated abuse</w:t>
      </w:r>
      <w:bookmarkEnd w:id="179"/>
      <w:bookmarkEnd w:id="180"/>
      <w:bookmarkEnd w:id="181"/>
    </w:p>
    <w:p w14:paraId="5B08458D" w14:textId="4759217E" w:rsidR="007D5CED" w:rsidRPr="007D5CED" w:rsidRDefault="007D5CED" w:rsidP="00A3239A">
      <w:pPr>
        <w:rPr>
          <w:lang w:val="en-GB"/>
        </w:rPr>
      </w:pPr>
      <w:r w:rsidRPr="007D5CED">
        <w:rPr>
          <w:lang w:val="en-GB"/>
        </w:rPr>
        <w:t>“Technology-facilitated abuse” is an umbrella term used to refer to forms of abuse where technology is</w:t>
      </w:r>
      <w:r w:rsidR="00F571A6">
        <w:rPr>
          <w:lang w:val="en-GB"/>
        </w:rPr>
        <w:t> </w:t>
      </w:r>
      <w:r w:rsidRPr="007D5CED">
        <w:rPr>
          <w:lang w:val="en-GB"/>
        </w:rPr>
        <w:t>the conduit</w:t>
      </w:r>
      <w:r w:rsidR="00F4557A">
        <w:rPr>
          <w:lang w:val="en-GB"/>
        </w:rPr>
        <w:t xml:space="preserve"> </w:t>
      </w:r>
      <w:r w:rsidRPr="007D5CED">
        <w:rPr>
          <w:lang w:val="en-GB"/>
        </w:rPr>
        <w:t>or means of enacting or exercising abuse. Examples of technology-facilitated abuse include harassment, stalking, impersonation and threats via technology, as well as image-based abuse and other forms of abuse online (eSafety Commissioner, 2022a; Powell &amp; Henry, 2019). Recent studies have confirmed that technology-facilitated abuse is common and is often part of an ongoing pattern of</w:t>
      </w:r>
      <w:r w:rsidR="00F571A6">
        <w:rPr>
          <w:lang w:val="en-GB"/>
        </w:rPr>
        <w:t> </w:t>
      </w:r>
      <w:r w:rsidRPr="007D5CED">
        <w:rPr>
          <w:lang w:val="en-GB"/>
        </w:rPr>
        <w:t>domestic violence (Powell et al., 2022; Woodlock et al., 2020). For example, a recent ANROWS study reported that 1 in 2 Australian adults experience at least one form of technology-facilitated abuse in</w:t>
      </w:r>
      <w:r w:rsidR="00F571A6">
        <w:rPr>
          <w:lang w:val="en-GB"/>
        </w:rPr>
        <w:t> </w:t>
      </w:r>
      <w:r w:rsidRPr="007D5CED">
        <w:rPr>
          <w:lang w:val="en-GB"/>
        </w:rPr>
        <w:t>their lifetime (Powell et al., 2022). An Australian survey of domestic and family violence frontline workers found that 99 per cent of these workers reported having clients who had experienced technology-facilitated stalking and abuse (Woodlock et al., 2020). While anonymity is not a necessary feature of technology-facilitated abuse, the online context of this violence can sometimes provide perpetrators a degree of anonymity and perceived insulation from the consequences of their behaviours, a perception that may allow the abuse to intensify and escalate (Cuenca-Piqueras et</w:t>
      </w:r>
      <w:r w:rsidR="00F571A6">
        <w:rPr>
          <w:lang w:val="en-GB"/>
        </w:rPr>
        <w:t> </w:t>
      </w:r>
      <w:r w:rsidRPr="007D5CED">
        <w:rPr>
          <w:lang w:val="en-GB"/>
        </w:rPr>
        <w:t>al.,</w:t>
      </w:r>
      <w:r w:rsidR="00F571A6">
        <w:rPr>
          <w:lang w:val="en-GB"/>
        </w:rPr>
        <w:t> </w:t>
      </w:r>
      <w:r w:rsidRPr="007D5CED">
        <w:rPr>
          <w:lang w:val="en-GB"/>
        </w:rPr>
        <w:t>2020).</w:t>
      </w:r>
    </w:p>
    <w:p w14:paraId="67610983" w14:textId="1E579E9B" w:rsidR="007D5CED" w:rsidRPr="007D5CED" w:rsidRDefault="007D5CED" w:rsidP="00A3239A">
      <w:pPr>
        <w:rPr>
          <w:lang w:val="en-GB"/>
        </w:rPr>
      </w:pPr>
      <w:r w:rsidRPr="007D5CED">
        <w:rPr>
          <w:lang w:val="en-GB"/>
        </w:rPr>
        <w:lastRenderedPageBreak/>
        <w:t>As detailed in Chapter 3, 27 per cent of young respondents in 2021 demonstrated “advanced” rejection of technology-facilitated abuse (Figure 3-6). In 2021, young respondents’ understanding and rejection of</w:t>
      </w:r>
      <w:r w:rsidR="00F571A6">
        <w:rPr>
          <w:lang w:val="en-GB"/>
        </w:rPr>
        <w:t> </w:t>
      </w:r>
      <w:r w:rsidRPr="007D5CED">
        <w:rPr>
          <w:lang w:val="en-GB"/>
        </w:rPr>
        <w:t>technology-facilitated abuse was at a lower level than their rejection of sexual violence (Figure 3-4).</w:t>
      </w:r>
    </w:p>
    <w:p w14:paraId="10B6D7E2" w14:textId="308C5B0E" w:rsidR="007D5CED" w:rsidRPr="007D5CED" w:rsidRDefault="007D5CED" w:rsidP="00A3239A">
      <w:pPr>
        <w:rPr>
          <w:lang w:val="en-GB"/>
        </w:rPr>
      </w:pPr>
      <w:r w:rsidRPr="007D5CED">
        <w:rPr>
          <w:lang w:val="en-GB"/>
        </w:rPr>
        <w:t>The Technology-Facilitated Abuse Scale (TFAS) consists of two AVAWS items and four UVAWS items. Specifically, it includes two items examining attitudes towards technology-facilitated sexual harassment from the AVAWS Objectify Women Subscale, one item examining understanding of technology-facilitated domestic violence from the UVAWS Recognise DV Subscale and three items examining understanding of technology-facilitated violence against women from the UVAWS Recognise VAW</w:t>
      </w:r>
      <w:r w:rsidR="00F571A6">
        <w:rPr>
          <w:lang w:val="en-GB"/>
        </w:rPr>
        <w:t> </w:t>
      </w:r>
      <w:r w:rsidRPr="007D5CED">
        <w:rPr>
          <w:lang w:val="en-GB"/>
        </w:rPr>
        <w:t xml:space="preserve">Subscale. </w:t>
      </w:r>
    </w:p>
    <w:p w14:paraId="5184C527" w14:textId="6A685684" w:rsidR="007D5CED" w:rsidRPr="007D5CED" w:rsidRDefault="007D5CED" w:rsidP="00A3239A">
      <w:pPr>
        <w:rPr>
          <w:lang w:val="en-GB"/>
        </w:rPr>
      </w:pPr>
      <w:r w:rsidRPr="007D5CED">
        <w:rPr>
          <w:lang w:val="en-GB"/>
        </w:rPr>
        <w:t>Most young respondents (60–63%) recognised that the forms of technology-facilitated abuse described by the four UVAWS items “always” constitute violence. Specifically, most young respondents identified that repeated electronic tracking of a partner (63%; D6), sending women unwanted pictures of genitalia (62%; V7), sending women abusive messages or comments on social media (60%; V6) and harassment via repeated emails and texts (60%; V5) are “always” forms of violence. In addition, the majority (70</w:t>
      </w:r>
      <w:r w:rsidR="00F571A6">
        <w:rPr>
          <w:lang w:val="en-GB"/>
        </w:rPr>
        <w:noBreakHyphen/>
      </w:r>
      <w:r w:rsidRPr="007D5CED">
        <w:rPr>
          <w:lang w:val="en-GB"/>
        </w:rPr>
        <w:t>87%) of young respondents “strongly disagreed” with the two problematic attitudes examined about technology-facilitated abuse. That is, most young respondents “strongly disagreed” that a woman is partly responsible if her partner shares a naked picture she had sent him without her permission (70%; S6) and that a woman is partly responsible if a man she met on a mobile dating app forces sex on</w:t>
      </w:r>
      <w:r w:rsidR="00F571A6">
        <w:rPr>
          <w:lang w:val="en-GB"/>
        </w:rPr>
        <w:t> </w:t>
      </w:r>
      <w:r w:rsidRPr="007D5CED">
        <w:rPr>
          <w:lang w:val="en-GB"/>
        </w:rPr>
        <w:t xml:space="preserve">her (87%; S21). </w:t>
      </w:r>
    </w:p>
    <w:p w14:paraId="6D8C5104" w14:textId="109683E6" w:rsidR="007D5CED" w:rsidRPr="007D5CED" w:rsidRDefault="007D5CED" w:rsidP="00A3239A">
      <w:pPr>
        <w:rPr>
          <w:vertAlign w:val="superscript"/>
          <w:lang w:val="en-GB"/>
        </w:rPr>
      </w:pPr>
      <w:r w:rsidRPr="007D5CED">
        <w:rPr>
          <w:lang w:val="en-GB"/>
        </w:rPr>
        <w:t>Similarly, most young respondents (93%) were aware that it is a criminal offence to post or share a</w:t>
      </w:r>
      <w:r w:rsidR="00F571A6">
        <w:rPr>
          <w:lang w:val="en-GB"/>
        </w:rPr>
        <w:t> </w:t>
      </w:r>
      <w:r w:rsidRPr="007D5CED">
        <w:rPr>
          <w:lang w:val="en-GB"/>
        </w:rPr>
        <w:t>sexual picture of an ex-partner on social media without their consent (S27; Figure 7-6).</w:t>
      </w:r>
      <w:r w:rsidRPr="007D5CED">
        <w:rPr>
          <w:vertAlign w:val="superscript"/>
          <w:lang w:val="en-GB"/>
        </w:rPr>
        <w:footnoteReference w:id="41"/>
      </w:r>
    </w:p>
    <w:p w14:paraId="3B0CFD37" w14:textId="16F71B5C" w:rsidR="007D5CED" w:rsidRPr="007D5CED" w:rsidRDefault="007D5CED" w:rsidP="00A3239A">
      <w:pPr>
        <w:rPr>
          <w:lang w:val="en-GB"/>
        </w:rPr>
      </w:pPr>
      <w:r w:rsidRPr="007D5CED">
        <w:rPr>
          <w:lang w:val="en-GB"/>
        </w:rPr>
        <w:t xml:space="preserve">However, a minority of young respondents did not identify some technology-facilitated abusive behaviours as forms of violence against women and some young respondents supported problematic attitudes towards technology-facilitated abuse. For example: </w:t>
      </w:r>
    </w:p>
    <w:p w14:paraId="7C5AFD12" w14:textId="275F8828" w:rsidR="007D5CED" w:rsidRPr="007D5CED" w:rsidRDefault="007D5CED" w:rsidP="00A3239A">
      <w:pPr>
        <w:pStyle w:val="ListBullet"/>
        <w:rPr>
          <w:lang w:val="en-GB"/>
        </w:rPr>
      </w:pPr>
      <w:r w:rsidRPr="007D5CED">
        <w:rPr>
          <w:lang w:val="en-GB"/>
        </w:rPr>
        <w:t>1 in 10 young respondents did not think that a man sending an unwanted picture of his genitals to</w:t>
      </w:r>
      <w:r w:rsidR="00F571A6">
        <w:rPr>
          <w:lang w:val="en-GB"/>
        </w:rPr>
        <w:t> </w:t>
      </w:r>
      <w:r w:rsidRPr="007D5CED">
        <w:rPr>
          <w:lang w:val="en-GB"/>
        </w:rPr>
        <w:t>a</w:t>
      </w:r>
      <w:r w:rsidR="00F571A6">
        <w:rPr>
          <w:lang w:val="en-GB"/>
        </w:rPr>
        <w:t> </w:t>
      </w:r>
      <w:r w:rsidRPr="007D5CED">
        <w:rPr>
          <w:lang w:val="en-GB"/>
        </w:rPr>
        <w:t>woman was a form of violence (10%; V7; UVAWS Recognise VAW Subscale).</w:t>
      </w:r>
    </w:p>
    <w:p w14:paraId="49AB906D" w14:textId="77777777" w:rsidR="007D5CED" w:rsidRPr="007D5CED" w:rsidRDefault="007D5CED" w:rsidP="00A3239A">
      <w:pPr>
        <w:pStyle w:val="ListBullet"/>
        <w:rPr>
          <w:lang w:val="en-GB"/>
        </w:rPr>
      </w:pPr>
      <w:r w:rsidRPr="007D5CED">
        <w:rPr>
          <w:lang w:val="en-GB"/>
        </w:rPr>
        <w:t xml:space="preserve">About 1 in 13 young respondents did not consider harassment via repeated emails and text messages a form of violence (8%; V5; UVAWS Recognise VAW Subscale). </w:t>
      </w:r>
    </w:p>
    <w:p w14:paraId="55D08D39" w14:textId="77777777" w:rsidR="007D5CED" w:rsidRPr="007D5CED" w:rsidRDefault="007D5CED" w:rsidP="00A3239A">
      <w:pPr>
        <w:pStyle w:val="ListBullet"/>
        <w:rPr>
          <w:lang w:val="en-GB"/>
        </w:rPr>
      </w:pPr>
      <w:r w:rsidRPr="007D5CED">
        <w:rPr>
          <w:lang w:val="en-GB"/>
        </w:rPr>
        <w:t xml:space="preserve">Almost 1 in 5 young respondents “somewhat” or “strongly” agreed that a woman is partly responsible if her partner shares a naked picture she had sent him without her permission (18%; S6; AVAWS Objectify Women Subscale). </w:t>
      </w:r>
    </w:p>
    <w:p w14:paraId="3CC6A590" w14:textId="559A8141" w:rsidR="007D5CED" w:rsidRPr="007D5CED" w:rsidRDefault="007D5CED" w:rsidP="0084332B">
      <w:pPr>
        <w:pStyle w:val="Heading4"/>
      </w:pPr>
      <w:r w:rsidRPr="007D5CED">
        <w:t>Comparing by gender: Understanding and attitudes regarding technology-facilitated abuse</w:t>
      </w:r>
    </w:p>
    <w:p w14:paraId="2BCA67B2" w14:textId="77777777" w:rsidR="007D5CED" w:rsidRPr="007D5CED" w:rsidRDefault="007D5CED" w:rsidP="00A3239A">
      <w:pPr>
        <w:rPr>
          <w:lang w:val="en-GB"/>
        </w:rPr>
      </w:pPr>
      <w:r w:rsidRPr="007D5CED">
        <w:rPr>
          <w:lang w:val="en-GB"/>
        </w:rPr>
        <w:t>Young women demonstrated stronger understanding and rejection of technology-facilitated abuse than young men, based on TFAS scores.</w:t>
      </w:r>
    </w:p>
    <w:p w14:paraId="0EF8DE1A" w14:textId="2C6A6314" w:rsidR="007D5CED" w:rsidRPr="007D5CED" w:rsidRDefault="007D5CED" w:rsidP="00A3239A">
      <w:pPr>
        <w:rPr>
          <w:lang w:val="en-GB"/>
        </w:rPr>
      </w:pPr>
      <w:r w:rsidRPr="007D5CED">
        <w:rPr>
          <w:lang w:val="en-GB"/>
        </w:rPr>
        <w:t>There were significant gender differences on three of the four TFAS items measuring understanding of</w:t>
      </w:r>
      <w:r w:rsidR="00F571A6">
        <w:rPr>
          <w:lang w:val="en-GB"/>
        </w:rPr>
        <w:t> </w:t>
      </w:r>
      <w:r w:rsidRPr="007D5CED">
        <w:rPr>
          <w:lang w:val="en-GB"/>
        </w:rPr>
        <w:t>technology</w:t>
      </w:r>
      <w:r w:rsidRPr="007D5CED">
        <w:rPr>
          <w:rFonts w:ascii="Cambria Math" w:hAnsi="Cambria Math" w:cs="Cambria Math"/>
          <w:lang w:val="en-GB"/>
        </w:rPr>
        <w:t>‑</w:t>
      </w:r>
      <w:r w:rsidRPr="007D5CED">
        <w:rPr>
          <w:lang w:val="en-GB"/>
        </w:rPr>
        <w:t>facilitated domestic violence or violence against women (D6, V5, V6), with young women having stronger understanding (Appendix C and Chapter 4). That is, only 54 to 57 per cent of young men, compared to 67 to 72 per cent of young women, identified that repeatedly tracking a partner’s location (D6), harassment via repeated emails and messages (V5), and abusive messages or comments targeted at women on social media (V6) are “always” forms of domestic violence or violence against women. In addition, young men</w:t>
      </w:r>
      <w:r w:rsidR="00F4557A">
        <w:rPr>
          <w:lang w:val="en-GB"/>
        </w:rPr>
        <w:t xml:space="preserve"> </w:t>
      </w:r>
      <w:r w:rsidRPr="007D5CED">
        <w:rPr>
          <w:lang w:val="en-GB"/>
        </w:rPr>
        <w:t>(10–12%) were significantly more likely than young women (3–4%) to</w:t>
      </w:r>
      <w:r w:rsidR="00F571A6">
        <w:rPr>
          <w:lang w:val="en-GB"/>
        </w:rPr>
        <w:t> </w:t>
      </w:r>
      <w:r w:rsidRPr="007D5CED">
        <w:rPr>
          <w:lang w:val="en-GB"/>
        </w:rPr>
        <w:t>indicate that these behaviours are not forms of violence (D6, V5, V6).</w:t>
      </w:r>
    </w:p>
    <w:p w14:paraId="5E0005C6" w14:textId="5B0FEC35" w:rsidR="005B3A89" w:rsidRDefault="007D5CED" w:rsidP="00A3239A">
      <w:pPr>
        <w:rPr>
          <w:lang w:val="en-GB"/>
        </w:rPr>
      </w:pPr>
      <w:r w:rsidRPr="007D5CED">
        <w:rPr>
          <w:lang w:val="en-GB"/>
        </w:rPr>
        <w:t>However, there were no significant gender differences for young respondents on the two items examining attitudes towards technology-facilitated sexual abuse (S6, S21; Appendix C and Chapter 6).</w:t>
      </w:r>
    </w:p>
    <w:p w14:paraId="0EF36872" w14:textId="633153D6" w:rsidR="007D5CED" w:rsidRPr="007D5CED" w:rsidRDefault="005B3A89" w:rsidP="002A2C0C">
      <w:pPr>
        <w:pStyle w:val="figuretableheading"/>
      </w:pPr>
      <w:bookmarkStart w:id="182" w:name="_Toc187401262"/>
      <w:r>
        <w:lastRenderedPageBreak/>
        <w:t xml:space="preserve">Figure </w:t>
      </w:r>
      <w:r>
        <w:fldChar w:fldCharType="begin"/>
      </w:r>
      <w:r>
        <w:instrText xml:space="preserve"> STYLEREF 1 \s </w:instrText>
      </w:r>
      <w:r>
        <w:fldChar w:fldCharType="separate"/>
      </w:r>
      <w:r>
        <w:t>7</w:t>
      </w:r>
      <w:r>
        <w:fldChar w:fldCharType="end"/>
      </w:r>
      <w:r>
        <w:noBreakHyphen/>
      </w:r>
      <w:r>
        <w:fldChar w:fldCharType="begin"/>
      </w:r>
      <w:r>
        <w:instrText xml:space="preserve"> SEQ Figure \* ARABIC \s 1 </w:instrText>
      </w:r>
      <w:r>
        <w:fldChar w:fldCharType="separate"/>
      </w:r>
      <w:r>
        <w:t>6</w:t>
      </w:r>
      <w:r>
        <w:fldChar w:fldCharType="end"/>
      </w:r>
      <w:r w:rsidR="007D5CED" w:rsidRPr="007D5CED">
        <w:t>: Sharing sexual images online, 16- to 24-year-olds, 2021</w:t>
      </w:r>
      <w:bookmarkEnd w:id="182"/>
    </w:p>
    <w:p w14:paraId="2AFAA63F" w14:textId="05A81625" w:rsidR="007D5CED" w:rsidRPr="005B3A89" w:rsidRDefault="005B3A89" w:rsidP="00A3239A">
      <w:pPr>
        <w:spacing w:before="0" w:after="0"/>
      </w:pPr>
      <w:r>
        <w:rPr>
          <w:noProof/>
        </w:rPr>
        <w:drawing>
          <wp:inline distT="0" distB="0" distL="0" distR="0" wp14:anchorId="1C662E62" wp14:editId="0285DDA5">
            <wp:extent cx="6120130" cy="1308100"/>
            <wp:effectExtent l="0" t="0" r="0" b="0"/>
            <wp:docPr id="156523775" name="Immagine 36" descr="A bar graph that shows the 16 to 24 year old respondents' opinions on sharing sexual images onlin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3775" name="Immagine 36" descr="A bar graph that shows the 16 to 24 year old respondents' opinions on sharing sexual images online. The data in this graph is in the table bel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1308100"/>
                    </a:xfrm>
                    <a:prstGeom prst="rect">
                      <a:avLst/>
                    </a:prstGeom>
                  </pic:spPr>
                </pic:pic>
              </a:graphicData>
            </a:graphic>
          </wp:inline>
        </w:drawing>
      </w:r>
    </w:p>
    <w:p w14:paraId="2BD84B29" w14:textId="4122142E" w:rsidR="009D11A1" w:rsidRPr="007D5CED" w:rsidRDefault="009D11A1" w:rsidP="00931C8E">
      <w:pPr>
        <w:pStyle w:val="figuretableheading"/>
      </w:pPr>
      <w:r>
        <w:t>Data table for figure 7-6</w:t>
      </w:r>
      <w:r w:rsidR="00FA4323">
        <w:t>:</w:t>
      </w:r>
      <w:r w:rsidR="00931C8E">
        <w:t xml:space="preserve"> </w:t>
      </w:r>
      <w:r>
        <w:t xml:space="preserve">Is it a criminal offence to post or share a sexual picture of an ex-partner on social media </w:t>
      </w:r>
      <w:r w:rsidR="00E358DE">
        <w:t>without</w:t>
      </w:r>
      <w:r>
        <w:t xml:space="preserve"> their consent? (S27)</w:t>
      </w:r>
      <w:r w:rsidR="00931C8E">
        <w:t>.</w:t>
      </w:r>
    </w:p>
    <w:tbl>
      <w:tblPr>
        <w:tblStyle w:val="Table-SingleHeaderRow"/>
        <w:tblW w:w="0" w:type="auto"/>
        <w:tblLayout w:type="fixed"/>
        <w:tblLook w:val="04A0" w:firstRow="1" w:lastRow="0" w:firstColumn="1" w:lastColumn="0" w:noHBand="0" w:noVBand="1"/>
      </w:tblPr>
      <w:tblGrid>
        <w:gridCol w:w="2410"/>
        <w:gridCol w:w="6946"/>
      </w:tblGrid>
      <w:tr w:rsidR="007260C4" w:rsidRPr="00EA1044" w14:paraId="06C203B0" w14:textId="77777777" w:rsidTr="008C2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23C83A97" w14:textId="6AA0990B" w:rsidR="007260C4" w:rsidRPr="008E6594" w:rsidRDefault="007260C4" w:rsidP="00A3239A">
            <w:pPr>
              <w:pStyle w:val="Tablebody"/>
              <w:rPr>
                <w:b w:val="0"/>
                <w:bCs/>
              </w:rPr>
            </w:pPr>
          </w:p>
        </w:tc>
        <w:tc>
          <w:tcPr>
            <w:tcW w:w="6946" w:type="dxa"/>
          </w:tcPr>
          <w:p w14:paraId="537C6C66" w14:textId="2E1C21B9" w:rsidR="007260C4" w:rsidRDefault="007260C4"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Percentage of 16- 24-year-old respondents</w:t>
            </w:r>
          </w:p>
        </w:tc>
      </w:tr>
      <w:tr w:rsidR="007260C4" w14:paraId="79908D81" w14:textId="77777777" w:rsidTr="008C29F3">
        <w:tc>
          <w:tcPr>
            <w:cnfStyle w:val="001000000000" w:firstRow="0" w:lastRow="0" w:firstColumn="1" w:lastColumn="0" w:oddVBand="0" w:evenVBand="0" w:oddHBand="0" w:evenHBand="0" w:firstRowFirstColumn="0" w:firstRowLastColumn="0" w:lastRowFirstColumn="0" w:lastRowLastColumn="0"/>
            <w:tcW w:w="2410" w:type="dxa"/>
          </w:tcPr>
          <w:p w14:paraId="5C1431FB" w14:textId="0846912C" w:rsidR="007260C4" w:rsidRPr="007260C4" w:rsidRDefault="007260C4" w:rsidP="00A3239A">
            <w:pPr>
              <w:pStyle w:val="Tablebody"/>
            </w:pPr>
            <w:r w:rsidRPr="008C29F3">
              <w:t>Yes</w:t>
            </w:r>
            <w:r w:rsidRPr="007260C4" w:rsidDel="007260C4">
              <w:t xml:space="preserve"> </w:t>
            </w:r>
          </w:p>
        </w:tc>
        <w:tc>
          <w:tcPr>
            <w:tcW w:w="6946" w:type="dxa"/>
          </w:tcPr>
          <w:p w14:paraId="0DCE491F" w14:textId="163C0C18" w:rsidR="007260C4" w:rsidRDefault="007260C4"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t>93%</w:t>
            </w:r>
          </w:p>
        </w:tc>
      </w:tr>
      <w:tr w:rsidR="007260C4" w14:paraId="759EEABA" w14:textId="77777777" w:rsidTr="008C29F3">
        <w:tc>
          <w:tcPr>
            <w:cnfStyle w:val="001000000000" w:firstRow="0" w:lastRow="0" w:firstColumn="1" w:lastColumn="0" w:oddVBand="0" w:evenVBand="0" w:oddHBand="0" w:evenHBand="0" w:firstRowFirstColumn="0" w:firstRowLastColumn="0" w:lastRowFirstColumn="0" w:lastRowLastColumn="0"/>
            <w:tcW w:w="2410" w:type="dxa"/>
          </w:tcPr>
          <w:p w14:paraId="07D47D3C" w14:textId="2200E454" w:rsidR="007260C4" w:rsidRPr="007260C4" w:rsidRDefault="007260C4" w:rsidP="00A3239A">
            <w:pPr>
              <w:pStyle w:val="Tablebody"/>
            </w:pPr>
            <w:r w:rsidRPr="008C29F3">
              <w:t>No</w:t>
            </w:r>
          </w:p>
        </w:tc>
        <w:tc>
          <w:tcPr>
            <w:tcW w:w="6946" w:type="dxa"/>
          </w:tcPr>
          <w:p w14:paraId="7DD518C5" w14:textId="09535EEB" w:rsidR="007260C4" w:rsidRDefault="007260C4"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5%</w:t>
            </w:r>
          </w:p>
        </w:tc>
      </w:tr>
      <w:tr w:rsidR="007260C4" w14:paraId="52AE5579" w14:textId="77777777" w:rsidTr="008C29F3">
        <w:trPr>
          <w:trHeight w:val="105"/>
        </w:trPr>
        <w:tc>
          <w:tcPr>
            <w:cnfStyle w:val="001000000000" w:firstRow="0" w:lastRow="0" w:firstColumn="1" w:lastColumn="0" w:oddVBand="0" w:evenVBand="0" w:oddHBand="0" w:evenHBand="0" w:firstRowFirstColumn="0" w:firstRowLastColumn="0" w:lastRowFirstColumn="0" w:lastRowLastColumn="0"/>
            <w:tcW w:w="2410" w:type="dxa"/>
          </w:tcPr>
          <w:p w14:paraId="74879808" w14:textId="666C18DE" w:rsidR="007260C4" w:rsidRPr="007260C4" w:rsidRDefault="007260C4" w:rsidP="00A3239A">
            <w:pPr>
              <w:pStyle w:val="Tablebody"/>
            </w:pPr>
            <w:r w:rsidRPr="008C29F3">
              <w:t>Unsure</w:t>
            </w:r>
          </w:p>
        </w:tc>
        <w:tc>
          <w:tcPr>
            <w:tcW w:w="6946" w:type="dxa"/>
          </w:tcPr>
          <w:p w14:paraId="10E05EC0" w14:textId="77777777" w:rsidR="007260C4" w:rsidRDefault="007260C4" w:rsidP="00A3239A">
            <w:pPr>
              <w:pStyle w:val="Tablebody"/>
              <w:cnfStyle w:val="000000000000" w:firstRow="0" w:lastRow="0" w:firstColumn="0" w:lastColumn="0" w:oddVBand="0" w:evenVBand="0" w:oddHBand="0" w:evenHBand="0" w:firstRowFirstColumn="0" w:firstRowLastColumn="0" w:lastRowFirstColumn="0" w:lastRowLastColumn="0"/>
              <w:rPr>
                <w:szCs w:val="18"/>
              </w:rPr>
            </w:pPr>
          </w:p>
        </w:tc>
      </w:tr>
      <w:tr w:rsidR="007260C4" w14:paraId="57585B6E" w14:textId="77777777" w:rsidTr="008C29F3">
        <w:tc>
          <w:tcPr>
            <w:cnfStyle w:val="001000000000" w:firstRow="0" w:lastRow="0" w:firstColumn="1" w:lastColumn="0" w:oddVBand="0" w:evenVBand="0" w:oddHBand="0" w:evenHBand="0" w:firstRowFirstColumn="0" w:firstRowLastColumn="0" w:lastRowFirstColumn="0" w:lastRowLastColumn="0"/>
            <w:tcW w:w="2410" w:type="dxa"/>
          </w:tcPr>
          <w:p w14:paraId="2053D50E" w14:textId="1F3244A3" w:rsidR="007260C4" w:rsidRPr="007260C4" w:rsidRDefault="007260C4" w:rsidP="00A3239A">
            <w:pPr>
              <w:pStyle w:val="Tablebody"/>
            </w:pPr>
            <w:r w:rsidRPr="008C29F3">
              <w:t>Unanswered</w:t>
            </w:r>
          </w:p>
        </w:tc>
        <w:tc>
          <w:tcPr>
            <w:tcW w:w="6946" w:type="dxa"/>
          </w:tcPr>
          <w:p w14:paraId="4B2143BD" w14:textId="53C79C0A" w:rsidR="007260C4" w:rsidRDefault="007260C4"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t>2%</w:t>
            </w:r>
          </w:p>
        </w:tc>
      </w:tr>
    </w:tbl>
    <w:p w14:paraId="6CC887A4" w14:textId="0B5C9482" w:rsidR="007D5CED" w:rsidRPr="007D5CED" w:rsidRDefault="007D5CED" w:rsidP="00A3239A">
      <w:pPr>
        <w:pStyle w:val="Normal8pt"/>
      </w:pPr>
      <w:r w:rsidRPr="008C29F3">
        <w:rPr>
          <w:b/>
        </w:rPr>
        <w:t>Note</w:t>
      </w:r>
      <w:r w:rsidRPr="007D5CED">
        <w:rPr>
          <w:bCs/>
        </w:rPr>
        <w:t>:</w:t>
      </w:r>
      <w:r w:rsidRPr="007D5CED">
        <w:t xml:space="preserve"> </w:t>
      </w:r>
      <w:r w:rsidRPr="0073256E">
        <w:rPr>
          <w:rStyle w:val="Emphasis"/>
        </w:rPr>
        <w:t>N</w:t>
      </w:r>
      <w:r w:rsidRPr="007D5CED">
        <w:t xml:space="preserve"> = 443. Asked of one quarter of the sample in 2021.</w:t>
      </w:r>
    </w:p>
    <w:p w14:paraId="640886BA" w14:textId="77777777" w:rsidR="007D5CED" w:rsidRPr="007D5CED" w:rsidRDefault="007D5CED" w:rsidP="00A3239A">
      <w:pPr>
        <w:pStyle w:val="Normal8pt"/>
      </w:pPr>
      <w:r w:rsidRPr="007D5CED">
        <w:rPr>
          <w:bCs/>
        </w:rPr>
        <w:t>a</w:t>
      </w:r>
      <w:r w:rsidRPr="007D5CED">
        <w:t xml:space="preserve"> New item in 2021. Thus, change over time could not be examined.</w:t>
      </w:r>
    </w:p>
    <w:p w14:paraId="362579FE" w14:textId="0CC2DA7B" w:rsidR="007D5CED" w:rsidRPr="007D5CED" w:rsidRDefault="007D5CED" w:rsidP="0084332B">
      <w:pPr>
        <w:pStyle w:val="Heading4"/>
      </w:pPr>
      <w:r w:rsidRPr="007D5CED">
        <w:t>Comparing by age: Understanding and attitudes regarding technology-facilitated abuse</w:t>
      </w:r>
    </w:p>
    <w:p w14:paraId="56C5D8BE" w14:textId="57D68137" w:rsidR="007D5CED" w:rsidRPr="007D5CED" w:rsidRDefault="007D5CED" w:rsidP="00A3239A">
      <w:pPr>
        <w:rPr>
          <w:lang w:val="en-GB"/>
        </w:rPr>
      </w:pPr>
      <w:r w:rsidRPr="007D5CED">
        <w:rPr>
          <w:lang w:val="en-GB"/>
        </w:rPr>
        <w:t>Some age differences emerged for the TFAS and its items. Comparing the two youth age groups, 18-</w:t>
      </w:r>
      <w:r w:rsidR="00F571A6">
        <w:rPr>
          <w:lang w:val="en-GB"/>
        </w:rPr>
        <w:t> </w:t>
      </w:r>
      <w:r w:rsidRPr="007D5CED">
        <w:rPr>
          <w:lang w:val="en-GB"/>
        </w:rPr>
        <w:t>to</w:t>
      </w:r>
      <w:r w:rsidR="00F571A6">
        <w:rPr>
          <w:lang w:val="en-GB"/>
        </w:rPr>
        <w:t> </w:t>
      </w:r>
      <w:r w:rsidRPr="007D5CED">
        <w:rPr>
          <w:lang w:val="en-GB"/>
        </w:rPr>
        <w:t>24-year-olds scored significantly higher than 16- to 17-year-olds on the TFAS, indicating a greater understanding and rejection of technology-facilitated abuse. However, the differences between the two youth age groups on individual TFAS items were not large enough to reach statistical significance.</w:t>
      </w:r>
    </w:p>
    <w:p w14:paraId="7F18D832" w14:textId="4DEFE0B2" w:rsidR="002931C5" w:rsidRDefault="007D5CED" w:rsidP="00A3239A">
      <w:pPr>
        <w:rPr>
          <w:lang w:val="en-GB"/>
        </w:rPr>
      </w:pPr>
      <w:r w:rsidRPr="007D5CED">
        <w:rPr>
          <w:lang w:val="en-GB"/>
        </w:rPr>
        <w:t>Young respondents (16- to 24-year-olds) were generally similar to respondents aged 25 years or older in their understanding and rejection of technology-facilitated abuse. There was no significant difference between these age groups on their overall TFAS scores nor on five of the six TFAS items. However, 16-</w:t>
      </w:r>
      <w:r w:rsidR="00F571A6">
        <w:rPr>
          <w:lang w:val="en-GB"/>
        </w:rPr>
        <w:t> </w:t>
      </w:r>
      <w:r w:rsidRPr="007D5CED">
        <w:rPr>
          <w:lang w:val="en-GB"/>
        </w:rPr>
        <w:t>to 24-year-olds (60%) were significantly less likely than respondents aged 25 years or older (70%) to</w:t>
      </w:r>
      <w:r w:rsidR="00F571A6">
        <w:rPr>
          <w:lang w:val="en-GB"/>
        </w:rPr>
        <w:t> </w:t>
      </w:r>
      <w:r w:rsidRPr="007D5CED">
        <w:rPr>
          <w:lang w:val="en-GB"/>
        </w:rPr>
        <w:t>identify harassment via repeated emails and text messages as “always” a form of violence against women (V5; Appendix B, Table 14-1).</w:t>
      </w:r>
    </w:p>
    <w:p w14:paraId="772AFAEF" w14:textId="6ADCFB89" w:rsidR="007D5CED" w:rsidRPr="007D5CED" w:rsidRDefault="007D5CED" w:rsidP="00DC3FE8">
      <w:pPr>
        <w:pStyle w:val="Heading3"/>
      </w:pPr>
      <w:bookmarkStart w:id="183" w:name="_Toc152532408"/>
      <w:bookmarkStart w:id="184" w:name="_Toc190941694"/>
      <w:bookmarkStart w:id="185" w:name="_Toc190942394"/>
      <w:r w:rsidRPr="007D5CED">
        <w:t>7.4</w:t>
      </w:r>
      <w:r w:rsidR="00931C8E">
        <w:t xml:space="preserve"> </w:t>
      </w:r>
      <w:r w:rsidRPr="007D5CED">
        <w:t>Stalking</w:t>
      </w:r>
      <w:bookmarkEnd w:id="183"/>
      <w:bookmarkEnd w:id="184"/>
      <w:bookmarkEnd w:id="185"/>
    </w:p>
    <w:p w14:paraId="46E99DEE" w14:textId="1FA34996" w:rsidR="007D5CED" w:rsidRPr="007D5CED" w:rsidRDefault="007D5CED" w:rsidP="00A3239A">
      <w:pPr>
        <w:rPr>
          <w:lang w:val="en-GB"/>
        </w:rPr>
      </w:pPr>
      <w:r w:rsidRPr="007D5CED">
        <w:rPr>
          <w:lang w:val="en-GB"/>
        </w:rPr>
        <w:t>Stalking is a form of violence that can occur in person or via the use of technology. It involves a pattern of repeated, unwanted behaviours intended to maintain contact with, or exercise power or control over, another person. These behaviours are typically enacted to intimidate, distress or control the target (H. Campbell, 2019; Victorian Law Reform Commission, 2021). Examples of stalking behaviours include tracking or following someone (in person or online) and loitering. Recent ANROWS research found that young people, and particularly young men, may view non-physical forms of abuse, such as stalking, as acceptable in some circumstances (Carlisle et al., 2022). For instance, young people may rationalise these behaviours as indicative of care or concern, or as helping behaviours in service of</w:t>
      </w:r>
      <w:r w:rsidR="00F571A6">
        <w:rPr>
          <w:lang w:val="en-GB"/>
        </w:rPr>
        <w:t> </w:t>
      </w:r>
      <w:r w:rsidRPr="007D5CED">
        <w:rPr>
          <w:lang w:val="en-GB"/>
        </w:rPr>
        <w:t>a</w:t>
      </w:r>
      <w:r w:rsidR="00F571A6">
        <w:rPr>
          <w:lang w:val="en-GB"/>
        </w:rPr>
        <w:t> </w:t>
      </w:r>
      <w:r w:rsidRPr="007D5CED">
        <w:rPr>
          <w:lang w:val="en-GB"/>
        </w:rPr>
        <w:t xml:space="preserve">greater good. Note that the three items on stalking included in the 2021 NCAS (D6, V4, V8) were insufficient to develop a scale on attitudes towards stalking. </w:t>
      </w:r>
    </w:p>
    <w:p w14:paraId="71FA3AC9" w14:textId="0584D3FF" w:rsidR="005B3A89" w:rsidRDefault="007D5CED" w:rsidP="00A3239A">
      <w:pPr>
        <w:rPr>
          <w:lang w:val="en-GB"/>
        </w:rPr>
      </w:pPr>
      <w:r w:rsidRPr="007D5CED">
        <w:rPr>
          <w:lang w:val="en-GB"/>
        </w:rPr>
        <w:t>Most young respondents (63–73%) recognised technology-facilitated and in-person stalking as violence “always”, and most (88%) “strongly disagreed” with attitudes condoning stalking. Specifically, most young respondents identified that repeated electronic tracking of a partner without consent (63%; D6) and in-person stalking by repeatedly following or watching someone at home or work (73%; V4) are “always” violence; and most young respondents “strongly disagreed” that it’s only really stalking if it’s by</w:t>
      </w:r>
      <w:r w:rsidR="00F571A6">
        <w:rPr>
          <w:lang w:val="en-GB"/>
        </w:rPr>
        <w:t> </w:t>
      </w:r>
      <w:r w:rsidRPr="007D5CED">
        <w:rPr>
          <w:lang w:val="en-GB"/>
        </w:rPr>
        <w:t>a stranger (88%; V8).</w:t>
      </w:r>
    </w:p>
    <w:p w14:paraId="7B2977AC" w14:textId="074B61F9" w:rsidR="007D5CED" w:rsidRPr="007D5CED" w:rsidRDefault="007D5CED" w:rsidP="00A3239A">
      <w:pPr>
        <w:rPr>
          <w:lang w:val="en-GB"/>
        </w:rPr>
      </w:pPr>
      <w:r w:rsidRPr="007D5CED">
        <w:rPr>
          <w:lang w:val="en-GB"/>
        </w:rPr>
        <w:lastRenderedPageBreak/>
        <w:t>However, a minority of young respondents did not recognise stalking as violence against women or domestic violence. For example:</w:t>
      </w:r>
    </w:p>
    <w:p w14:paraId="00E0FED8" w14:textId="7E591130" w:rsidR="007D5CED" w:rsidRPr="007D5CED" w:rsidRDefault="007D5CED" w:rsidP="00A3239A">
      <w:pPr>
        <w:pStyle w:val="ListBullet"/>
        <w:rPr>
          <w:lang w:val="en-GB"/>
        </w:rPr>
      </w:pPr>
      <w:r w:rsidRPr="007D5CED">
        <w:rPr>
          <w:lang w:val="en-GB"/>
        </w:rPr>
        <w:t>About 1 in 13 young respondents did not recognise electronic tracking of a partner as a form of</w:t>
      </w:r>
      <w:r w:rsidR="00F571A6">
        <w:rPr>
          <w:lang w:val="en-GB"/>
        </w:rPr>
        <w:t> </w:t>
      </w:r>
      <w:r w:rsidRPr="007D5CED">
        <w:rPr>
          <w:lang w:val="en-GB"/>
        </w:rPr>
        <w:t>domestic violence (8%; D6; UVAWS Recognise DV Subscale)</w:t>
      </w:r>
    </w:p>
    <w:p w14:paraId="529D5399" w14:textId="145C556A" w:rsidR="007D5CED" w:rsidRPr="007D5CED" w:rsidRDefault="007D5CED" w:rsidP="00A3239A">
      <w:pPr>
        <w:pStyle w:val="ListBullet"/>
        <w:rPr>
          <w:lang w:val="en-GB"/>
        </w:rPr>
      </w:pPr>
      <w:r w:rsidRPr="007D5CED">
        <w:rPr>
          <w:lang w:val="en-GB"/>
        </w:rPr>
        <w:t>About 1 in 15 young respondents did not consider in-person stalking by repeatedly following or</w:t>
      </w:r>
      <w:r w:rsidR="00F571A6">
        <w:rPr>
          <w:lang w:val="en-GB"/>
        </w:rPr>
        <w:t> </w:t>
      </w:r>
      <w:r w:rsidRPr="007D5CED">
        <w:rPr>
          <w:lang w:val="en-GB"/>
        </w:rPr>
        <w:t>watching someone at home or work to be a form of violence against women (7%; V4; UVAWS Recognise VAW Subscale).</w:t>
      </w:r>
    </w:p>
    <w:p w14:paraId="789CF816" w14:textId="26D56E7F" w:rsidR="007D5CED" w:rsidRPr="007D5CED" w:rsidRDefault="007D5CED" w:rsidP="0084332B">
      <w:pPr>
        <w:pStyle w:val="Heading4"/>
      </w:pPr>
      <w:r w:rsidRPr="007D5CED">
        <w:t>Comparing by gender: Understanding and attitudes towards stalking</w:t>
      </w:r>
    </w:p>
    <w:p w14:paraId="38E651B0" w14:textId="25F57780" w:rsidR="007D5CED" w:rsidRPr="007D5CED" w:rsidRDefault="007D5CED" w:rsidP="00A3239A">
      <w:pPr>
        <w:rPr>
          <w:lang w:val="en-GB"/>
        </w:rPr>
      </w:pPr>
      <w:r w:rsidRPr="007D5CED">
        <w:rPr>
          <w:lang w:val="en-GB"/>
        </w:rPr>
        <w:t>There were consistent gender differences for young respondents on the two items measuring understanding that stalking is a form of violence (D6, V4; Appendix C and Chapter 4). Young men (57%) were significantly less likely than young women (72%) to recognise that repeated electronic tracking of</w:t>
      </w:r>
      <w:r w:rsidR="00F571A6">
        <w:rPr>
          <w:lang w:val="en-GB"/>
        </w:rPr>
        <w:t> </w:t>
      </w:r>
      <w:r w:rsidRPr="007D5CED">
        <w:rPr>
          <w:lang w:val="en-GB"/>
        </w:rPr>
        <w:t>a partner is “always” a form of domestic violence and were significantly more likely (12%) than young women (4%) to indicate that it was not a form of violence (D6). Similarly, young men (9%) were significantly more likely than young women (4%) to indicate that in-person stalking is not a form of</w:t>
      </w:r>
      <w:r w:rsidR="00F571A6">
        <w:rPr>
          <w:lang w:val="en-GB"/>
        </w:rPr>
        <w:t> </w:t>
      </w:r>
      <w:r w:rsidRPr="007D5CED">
        <w:rPr>
          <w:lang w:val="en-GB"/>
        </w:rPr>
        <w:t xml:space="preserve">violence against women (V4). There was no significant difference between young men and young women on the item measuring attitudes towards stalking (V8). </w:t>
      </w:r>
    </w:p>
    <w:p w14:paraId="76D8A3C7" w14:textId="77777777" w:rsidR="007D5CED" w:rsidRPr="007D5CED" w:rsidRDefault="007D5CED" w:rsidP="0084332B">
      <w:pPr>
        <w:pStyle w:val="Heading4"/>
      </w:pPr>
      <w:r w:rsidRPr="007D5CED">
        <w:t>Comparing by age: Understanding and attitudes towards stalking</w:t>
      </w:r>
    </w:p>
    <w:p w14:paraId="700FF723" w14:textId="15567BEE" w:rsidR="007D5CED" w:rsidRDefault="007D5CED" w:rsidP="00A3239A">
      <w:pPr>
        <w:rPr>
          <w:lang w:val="en-GB"/>
        </w:rPr>
      </w:pPr>
      <w:r w:rsidRPr="007D5CED">
        <w:rPr>
          <w:lang w:val="en-GB"/>
        </w:rPr>
        <w:t>There were no significant age differences on the three stalking items – neither between 16-</w:t>
      </w:r>
      <w:r w:rsidR="00F571A6">
        <w:rPr>
          <w:lang w:val="en-GB"/>
        </w:rPr>
        <w:t> </w:t>
      </w:r>
      <w:r w:rsidRPr="007D5CED">
        <w:rPr>
          <w:lang w:val="en-GB"/>
        </w:rPr>
        <w:t>to</w:t>
      </w:r>
      <w:r w:rsidR="00F571A6">
        <w:rPr>
          <w:lang w:val="en-GB"/>
        </w:rPr>
        <w:t> </w:t>
      </w:r>
      <w:r w:rsidRPr="007D5CED">
        <w:rPr>
          <w:lang w:val="en-GB"/>
        </w:rPr>
        <w:t>1</w:t>
      </w:r>
      <w:r w:rsidR="00F571A6">
        <w:rPr>
          <w:lang w:val="en-GB"/>
        </w:rPr>
        <w:noBreakHyphen/>
      </w:r>
      <w:r w:rsidRPr="007D5CED">
        <w:rPr>
          <w:lang w:val="en-GB"/>
        </w:rPr>
        <w:t>year</w:t>
      </w:r>
      <w:r w:rsidR="00F571A6">
        <w:rPr>
          <w:lang w:val="en-GB"/>
        </w:rPr>
        <w:noBreakHyphen/>
      </w:r>
      <w:r w:rsidRPr="007D5CED">
        <w:rPr>
          <w:lang w:val="en-GB"/>
        </w:rPr>
        <w:t xml:space="preserve">olds and 18- to 24-year-olds nor between young respondents (16 to 24 years) and respondents aged 25 years or older. </w:t>
      </w:r>
    </w:p>
    <w:bookmarkStart w:id="186" w:name="_Toc152532409"/>
    <w:bookmarkStart w:id="187" w:name="_Toc190941695"/>
    <w:bookmarkStart w:id="188" w:name="_Toc190942395"/>
    <w:p w14:paraId="2F88DEA5" w14:textId="4D2D1787" w:rsidR="007D5CED" w:rsidRPr="00D32C21" w:rsidRDefault="00492704" w:rsidP="008C29F3">
      <w:pPr>
        <w:pStyle w:val="H2SectionTitle"/>
      </w:pPr>
      <w:r>
        <w:rPr>
          <w:noProof/>
        </w:rPr>
        <w:lastRenderedPageBreak/>
        <mc:AlternateContent>
          <mc:Choice Requires="wps">
            <w:drawing>
              <wp:anchor distT="0" distB="0" distL="114300" distR="114300" simplePos="0" relativeHeight="251658262" behindDoc="0" locked="0" layoutInCell="1" allowOverlap="1" wp14:anchorId="72654446" wp14:editId="5C69BC97">
                <wp:simplePos x="0" y="0"/>
                <wp:positionH relativeFrom="column">
                  <wp:posOffset>5124</wp:posOffset>
                </wp:positionH>
                <wp:positionV relativeFrom="paragraph">
                  <wp:posOffset>109</wp:posOffset>
                </wp:positionV>
                <wp:extent cx="382138" cy="382138"/>
                <wp:effectExtent l="0" t="0" r="0" b="0"/>
                <wp:wrapSquare wrapText="bothSides"/>
                <wp:docPr id="17961094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3B4B5" id="Rectangle 2" o:spid="_x0000_s1026" alt="&quot;&quot;" style="position:absolute;margin-left:.4pt;margin-top:0;width:30.1pt;height:30.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8 </w:t>
      </w:r>
      <w:r w:rsidR="007D5CED" w:rsidRPr="00D32C21">
        <w:t>Findings: Young people’s bystander responses</w:t>
      </w:r>
      <w:bookmarkEnd w:id="186"/>
      <w:bookmarkEnd w:id="187"/>
      <w:bookmarkEnd w:id="188"/>
    </w:p>
    <w:tbl>
      <w:tblPr>
        <w:tblStyle w:val="Yellowcalloutboxlayout"/>
        <w:tblW w:w="0" w:type="auto"/>
        <w:tblLayout w:type="fixed"/>
        <w:tblLook w:val="0000" w:firstRow="0" w:lastRow="0" w:firstColumn="0" w:lastColumn="0" w:noHBand="0" w:noVBand="0"/>
      </w:tblPr>
      <w:tblGrid>
        <w:gridCol w:w="8901"/>
      </w:tblGrid>
      <w:tr w:rsidR="007D5CED" w:rsidRPr="00EA1044" w14:paraId="0A1C950F" w14:textId="77777777" w:rsidTr="0064322A">
        <w:trPr>
          <w:trHeight w:val="60"/>
        </w:trPr>
        <w:tc>
          <w:tcPr>
            <w:tcW w:w="8901" w:type="dxa"/>
          </w:tcPr>
          <w:p w14:paraId="30D22D32" w14:textId="3C62C9A1" w:rsidR="007D5CED" w:rsidRPr="007D5CED" w:rsidRDefault="007D5CED" w:rsidP="007D5CED">
            <w:pPr>
              <w:suppressAutoHyphens/>
              <w:autoSpaceDE w:val="0"/>
              <w:autoSpaceDN w:val="0"/>
              <w:adjustRightInd w:val="0"/>
              <w:spacing w:before="0" w:after="113" w:line="340" w:lineRule="atLeast"/>
              <w:textAlignment w:val="center"/>
              <w:rPr>
                <w:rFonts w:ascii="Open Sans SemiBold" w:hAnsi="Open Sans SemiBold" w:cs="Open Sans SemiBold"/>
                <w:color w:val="000000"/>
                <w:kern w:val="0"/>
                <w:sz w:val="22"/>
                <w:szCs w:val="22"/>
                <w:lang w:val="en-GB"/>
              </w:rPr>
            </w:pPr>
            <w:r w:rsidRPr="007D5CED">
              <w:rPr>
                <w:rFonts w:ascii="Open Sans SemiBold" w:hAnsi="Open Sans SemiBold" w:cs="Open Sans SemiBold"/>
                <w:color w:val="000000"/>
                <w:kern w:val="0"/>
                <w:sz w:val="22"/>
                <w:szCs w:val="22"/>
                <w:lang w:val="en-GB"/>
              </w:rPr>
              <w:t>A bystander is somebody who observes, but is not directly involved in, a</w:t>
            </w:r>
            <w:r w:rsidR="003F45A1">
              <w:rPr>
                <w:rFonts w:ascii="Open Sans SemiBold" w:hAnsi="Open Sans SemiBold" w:cs="Open Sans SemiBold"/>
                <w:color w:val="000000"/>
                <w:kern w:val="0"/>
                <w:sz w:val="22"/>
                <w:szCs w:val="22"/>
                <w:lang w:val="en-GB"/>
              </w:rPr>
              <w:t xml:space="preserve"> </w:t>
            </w:r>
            <w:r w:rsidRPr="007D5CED">
              <w:rPr>
                <w:rFonts w:ascii="Open Sans SemiBold" w:hAnsi="Open Sans SemiBold" w:cs="Open Sans SemiBold"/>
                <w:color w:val="000000"/>
                <w:kern w:val="0"/>
                <w:sz w:val="22"/>
                <w:szCs w:val="22"/>
                <w:lang w:val="en-GB"/>
              </w:rPr>
              <w:t>harmful or potentially harmful event and could assist or intervene (Webster et</w:t>
            </w:r>
            <w:r w:rsidR="003F45A1">
              <w:rPr>
                <w:rFonts w:ascii="Open Sans SemiBold" w:hAnsi="Open Sans SemiBold" w:cs="Open Sans SemiBold"/>
                <w:color w:val="000000"/>
                <w:kern w:val="0"/>
                <w:sz w:val="22"/>
                <w:szCs w:val="22"/>
                <w:lang w:val="en-GB"/>
              </w:rPr>
              <w:t xml:space="preserve"> </w:t>
            </w:r>
            <w:r w:rsidRPr="007D5CED">
              <w:rPr>
                <w:rFonts w:ascii="Open Sans SemiBold" w:hAnsi="Open Sans SemiBold" w:cs="Open Sans SemiBold"/>
                <w:color w:val="000000"/>
                <w:kern w:val="0"/>
                <w:sz w:val="22"/>
                <w:szCs w:val="22"/>
                <w:lang w:val="en-GB"/>
              </w:rPr>
              <w:t>al., 2018). Prosocial bystander actions can include confronting the perpetrator’s unacceptable, gender-inequitable and violence-condoning attitudes and behaviour, as well as supporting the victim and survivor. The bystander role is important in the prevention of violence against women. Prosocial bystanders can call out unacceptable behaviour, place social sanctions on perpetrators that discourage future perpetration, help victims and survivors to feel supported and heard, and, in some situations, prevent violence from escalating or even occurring (Bell &amp; Flood, 2020; Orchowski et al., 2018; Palmer et al., 2020). The way communities respond to everyday microaggressions are also important because, while not all disrespect results in violence, all violence against women begins with disrespect (Australian Government, 2022). However, it is worth noting that it</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is</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not always safe to act as a prosocial bystander. Sometimes intervention can put the bystander or victim at further risk of harm, or, especially in cases of power imbalance, intervention can be ineffective or have other serious consequences, such as loss of employment. Therefore, bystanders must also assess whether it is safe to intervene and the best method to do so.</w:t>
            </w:r>
          </w:p>
        </w:tc>
      </w:tr>
    </w:tbl>
    <w:p w14:paraId="5D2FFA71" w14:textId="4D31C52C" w:rsidR="001D32BA" w:rsidRDefault="001D32BA">
      <w:pPr>
        <w:spacing w:before="0" w:after="0" w:line="240" w:lineRule="auto"/>
        <w:rPr>
          <w:lang w:val="en-GB"/>
        </w:rPr>
      </w:pPr>
      <w:r>
        <w:rPr>
          <w:lang w:val="en-GB"/>
        </w:rPr>
        <w:br w:type="page"/>
      </w:r>
    </w:p>
    <w:p w14:paraId="7D3E6AE0" w14:textId="409F4D76" w:rsidR="007D5CED" w:rsidRPr="007D5CED" w:rsidRDefault="007D5CED" w:rsidP="003F45A1">
      <w:pPr>
        <w:rPr>
          <w:lang w:val="en-GB"/>
        </w:rPr>
      </w:pPr>
      <w:r w:rsidRPr="007D5CED">
        <w:rPr>
          <w:lang w:val="en-GB"/>
        </w:rPr>
        <w:lastRenderedPageBreak/>
        <w:t>There is mixed evidence for the impact of age on prosocial behaviours (Ahmed et al., 2020; M. Campbell et al., 2020; Foulkes et al., 2018). Young people, and particularly adolescents, navigate a</w:t>
      </w:r>
      <w:r w:rsidR="00492704">
        <w:rPr>
          <w:lang w:val="en-GB"/>
        </w:rPr>
        <w:t> </w:t>
      </w:r>
      <w:r w:rsidRPr="007D5CED">
        <w:rPr>
          <w:lang w:val="en-GB"/>
        </w:rPr>
        <w:t>critical window of development frequently characterised by hypersensitivity to social and peer approval (Ahmed et al., 2020; Ciranka &amp; van den Bos, 2021). This sensitivity to social and peer approval can influence young people’s behaviour and, depending on the circumstances, can work in the direction of increasing prosocial behaviour or increasing antisocial behaviour (Foulkes et al., 2018; Molleman et al., 2022). Interpersonal and personality factors can also influence prosocial behaviour. For example, in the case of online hate speech and bullying, personality and interpersonal factors were found to be better predictors than social influence of prosocial bystander intervention, including perceived personal responsibility, social support and affective empathy (Aliberti et al., 2023; Machackova et al., 2018; Obermaier, 2022).</w:t>
      </w:r>
    </w:p>
    <w:p w14:paraId="5E9712D4" w14:textId="1CB70AAD" w:rsidR="007D5CED" w:rsidRDefault="007D5CED" w:rsidP="003F45A1">
      <w:pPr>
        <w:rPr>
          <w:lang w:val="en-GB"/>
        </w:rPr>
      </w:pPr>
      <w:r w:rsidRPr="007D5CED">
        <w:rPr>
          <w:lang w:val="en-GB"/>
        </w:rPr>
        <w:t>Additional age-related factors may impact young people’s willingness to intervene upon witnessing abuse or disrespect. For instance, recent statistics indicate that only 3 per cent of young people (15</w:t>
      </w:r>
      <w:r w:rsidR="00492704">
        <w:rPr>
          <w:lang w:val="en-GB"/>
        </w:rPr>
        <w:t> </w:t>
      </w:r>
      <w:r w:rsidRPr="007D5CED">
        <w:rPr>
          <w:lang w:val="en-GB"/>
        </w:rPr>
        <w:t>to</w:t>
      </w:r>
      <w:r w:rsidR="00492704">
        <w:rPr>
          <w:lang w:val="en-GB"/>
        </w:rPr>
        <w:t> </w:t>
      </w:r>
      <w:r w:rsidRPr="007D5CED">
        <w:rPr>
          <w:lang w:val="en-GB"/>
        </w:rPr>
        <w:t>24 years old) occupy management positions in Australia, while more than half of all managers are aged 45 years or older (National Skills Commission, 2021). As a result, young people may be</w:t>
      </w:r>
      <w:r w:rsidR="00492704">
        <w:rPr>
          <w:lang w:val="en-GB"/>
        </w:rPr>
        <w:t> </w:t>
      </w:r>
      <w:r w:rsidRPr="007D5CED">
        <w:rPr>
          <w:lang w:val="en-GB"/>
        </w:rPr>
        <w:t xml:space="preserve">particularly impacted by career-based power differentials in the workplace that preclude bystander intervention, including job insecurity and a greater reliance on superiors for job advancement (Kleinman &amp; Thomas, 2023). </w:t>
      </w:r>
    </w:p>
    <w:p w14:paraId="5827E556" w14:textId="77777777" w:rsidR="003F45A1" w:rsidRPr="007D5CED" w:rsidRDefault="003F45A1" w:rsidP="00750FEF">
      <w:pPr>
        <w:pStyle w:val="ResultsSummaryHeading"/>
      </w:pPr>
      <w:r w:rsidRPr="007D5CED">
        <w:t>Bystander responses results summary</w:t>
      </w:r>
    </w:p>
    <w:p w14:paraId="0D95EEFC" w14:textId="77777777" w:rsidR="003F45A1" w:rsidRPr="007D5CED" w:rsidRDefault="003F45A1" w:rsidP="00750FEF">
      <w:pPr>
        <w:pStyle w:val="ResultsSummary"/>
      </w:pPr>
      <w:r w:rsidRPr="007D5CED">
        <w:t>Young respondents’ prosocial bystander responses were related to:</w:t>
      </w:r>
    </w:p>
    <w:p w14:paraId="4BFDEBC0" w14:textId="1C9B496B" w:rsidR="003F45A1" w:rsidRPr="007D5CED" w:rsidRDefault="003F45A1" w:rsidP="001C7C59">
      <w:pPr>
        <w:pStyle w:val="ListBullet4"/>
      </w:pPr>
      <w:r w:rsidRPr="0073256E">
        <w:rPr>
          <w:rStyle w:val="Emphasis"/>
        </w:rPr>
        <w:t>the type of abusive or disrespectful behaviour</w:t>
      </w:r>
      <w:r w:rsidRPr="007D5CED">
        <w:t>, with young respondents being more likely to</w:t>
      </w:r>
      <w:r w:rsidR="00492704">
        <w:t> </w:t>
      </w:r>
      <w:r w:rsidRPr="007D5CED">
        <w:t>be</w:t>
      </w:r>
      <w:r w:rsidR="00492704">
        <w:t> </w:t>
      </w:r>
      <w:r w:rsidRPr="007D5CED">
        <w:t>bothered by verbal abuse than by sexist jokes (Section 8.2)</w:t>
      </w:r>
    </w:p>
    <w:p w14:paraId="6749F30C" w14:textId="4BEA51FE" w:rsidR="003F45A1" w:rsidRPr="007D5CED" w:rsidRDefault="003F45A1" w:rsidP="001C7C59">
      <w:pPr>
        <w:pStyle w:val="ListBullet4"/>
      </w:pPr>
      <w:r w:rsidRPr="0073256E">
        <w:rPr>
          <w:rStyle w:val="Emphasis"/>
        </w:rPr>
        <w:t>the presence of a power differential between the bystander and the perpetrator</w:t>
      </w:r>
      <w:r w:rsidRPr="007D5CED">
        <w:t>, with young respondents being more likely to be bothered, but less likely to intervene prosocially, when a boss rather than a</w:t>
      </w:r>
      <w:r w:rsidR="00492704">
        <w:t> </w:t>
      </w:r>
      <w:r w:rsidRPr="007D5CED">
        <w:t>friend told a sexist joke</w:t>
      </w:r>
      <w:r w:rsidRPr="007D5CED">
        <w:rPr>
          <w:rFonts w:ascii="Hind" w:hAnsi="Hind" w:cs="Hind"/>
          <w:sz w:val="22"/>
          <w:szCs w:val="22"/>
        </w:rPr>
        <w:t xml:space="preserve"> </w:t>
      </w:r>
      <w:r w:rsidRPr="007D5CED">
        <w:t>(Section 8.2)</w:t>
      </w:r>
    </w:p>
    <w:p w14:paraId="1AFE0C72" w14:textId="77777777" w:rsidR="003F45A1" w:rsidRPr="007D5CED" w:rsidRDefault="003F45A1" w:rsidP="001C7C59">
      <w:pPr>
        <w:pStyle w:val="ListBullet4"/>
      </w:pPr>
      <w:r w:rsidRPr="0073256E">
        <w:rPr>
          <w:rStyle w:val="Emphasis"/>
        </w:rPr>
        <w:t>anticipated peer support or criticism</w:t>
      </w:r>
      <w:r w:rsidRPr="007D5CED">
        <w:t>, with most young respondents anticipating that, if they showed their disapproval of the disrespectful behaviour, their peers would support them (Section 8.3)</w:t>
      </w:r>
    </w:p>
    <w:p w14:paraId="1F303946" w14:textId="77777777" w:rsidR="003F45A1" w:rsidRPr="007D5CED" w:rsidRDefault="003F45A1" w:rsidP="001C7C59">
      <w:pPr>
        <w:pStyle w:val="ListBullet4"/>
        <w:rPr>
          <w:lang w:val="en-GB"/>
        </w:rPr>
      </w:pPr>
      <w:r w:rsidRPr="00DB4795">
        <w:rPr>
          <w:rStyle w:val="Emphasis"/>
        </w:rPr>
        <w:t>barriers to intervention</w:t>
      </w:r>
      <w:r w:rsidRPr="007D5CED">
        <w:rPr>
          <w:lang w:val="en-GB"/>
        </w:rPr>
        <w:t xml:space="preserve">, with the most commonly cited barriers being </w:t>
      </w:r>
      <w:r w:rsidRPr="007D5CED">
        <w:t>fear of negative consequences, feeling uncomfortable and not knowing what to say</w:t>
      </w:r>
      <w:r w:rsidRPr="007D5CED">
        <w:rPr>
          <w:lang w:val="en-GB"/>
        </w:rPr>
        <w:t xml:space="preserve"> (Section 8.4)</w:t>
      </w:r>
    </w:p>
    <w:p w14:paraId="1811ED53" w14:textId="77777777" w:rsidR="003F45A1" w:rsidRPr="007D5CED" w:rsidRDefault="003F45A1" w:rsidP="001C7C59">
      <w:pPr>
        <w:pStyle w:val="ListBullet4"/>
      </w:pPr>
      <w:r w:rsidRPr="0073256E">
        <w:rPr>
          <w:rStyle w:val="Emphasis"/>
        </w:rPr>
        <w:t>gender</w:t>
      </w:r>
      <w:r w:rsidRPr="007D5CED">
        <w:t>, with young women being more likely than young men to be bothered by sexist jokes in the workplace (Section 8.5)</w:t>
      </w:r>
    </w:p>
    <w:p w14:paraId="02CA5A27" w14:textId="77777777" w:rsidR="003F45A1" w:rsidRPr="007D5CED" w:rsidRDefault="003F45A1" w:rsidP="001C7C59">
      <w:pPr>
        <w:pStyle w:val="ListBullet4"/>
      </w:pPr>
      <w:r w:rsidRPr="0073256E">
        <w:rPr>
          <w:rStyle w:val="Emphasis"/>
        </w:rPr>
        <w:t xml:space="preserve">age, </w:t>
      </w:r>
      <w:r w:rsidRPr="007D5CED">
        <w:t>with young respondents compared to those aged 25 years or older being more likely to say they would be bothered if a friend told a sexist joke and more likely to say they would be bothered but would not intervene if their boss told a sexist joke (Section 8.6).</w:t>
      </w:r>
    </w:p>
    <w:p w14:paraId="4F9CBB57" w14:textId="2F2E11D1" w:rsidR="007D5CED" w:rsidRPr="007D5CED" w:rsidRDefault="007D5CED" w:rsidP="00DC3FE8">
      <w:pPr>
        <w:pStyle w:val="Heading3"/>
      </w:pPr>
      <w:bookmarkStart w:id="189" w:name="_Toc152532410"/>
      <w:bookmarkStart w:id="190" w:name="_Toc190941696"/>
      <w:bookmarkStart w:id="191" w:name="_Toc190942396"/>
      <w:r w:rsidRPr="007D5CED">
        <w:t>8.1</w:t>
      </w:r>
      <w:r w:rsidR="0064322A">
        <w:t xml:space="preserve"> </w:t>
      </w:r>
      <w:r w:rsidRPr="007D5CED">
        <w:t>2021 NCAS bystander scenarios</w:t>
      </w:r>
      <w:bookmarkEnd w:id="189"/>
      <w:bookmarkEnd w:id="190"/>
      <w:bookmarkEnd w:id="191"/>
    </w:p>
    <w:p w14:paraId="4ACBE89F" w14:textId="77777777" w:rsidR="007D5CED" w:rsidRPr="007D5CED" w:rsidRDefault="007D5CED" w:rsidP="00A3239A">
      <w:pPr>
        <w:rPr>
          <w:lang w:val="en-GB"/>
        </w:rPr>
      </w:pPr>
      <w:r w:rsidRPr="007D5CED">
        <w:rPr>
          <w:lang w:val="en-GB"/>
        </w:rPr>
        <w:t>Respondents were asked about three bystander scenarios and whether they would be bothered by the scenario, how they think they would react, reasons for not acting and the responses they anticipated from their peers if they did respond:</w:t>
      </w:r>
    </w:p>
    <w:p w14:paraId="0BA80ACF" w14:textId="77777777" w:rsidR="007D5CED" w:rsidRPr="007D5CED" w:rsidRDefault="007D5CED" w:rsidP="00A3239A">
      <w:pPr>
        <w:pStyle w:val="ListBullet"/>
        <w:rPr>
          <w:lang w:val="en-GB"/>
        </w:rPr>
      </w:pPr>
      <w:r w:rsidRPr="0073256E">
        <w:rPr>
          <w:rStyle w:val="Emphasis"/>
          <w:lang w:val="en-US"/>
        </w:rPr>
        <w:t>Friend sexist joke (B1):</w:t>
      </w:r>
      <w:r w:rsidRPr="007D5CED">
        <w:rPr>
          <w:lang w:val="en-GB"/>
        </w:rPr>
        <w:t xml:space="preserve"> Imagine you are talking with some close friends at work, and a male work friend tells a sexist joke about women.</w:t>
      </w:r>
    </w:p>
    <w:p w14:paraId="48B36205" w14:textId="77777777" w:rsidR="007D5CED" w:rsidRPr="007D5CED" w:rsidRDefault="007D5CED" w:rsidP="00A3239A">
      <w:pPr>
        <w:pStyle w:val="ListBullet"/>
        <w:rPr>
          <w:lang w:val="en-GB"/>
        </w:rPr>
      </w:pPr>
      <w:r w:rsidRPr="0073256E">
        <w:rPr>
          <w:rStyle w:val="Emphasis"/>
          <w:lang w:val="en-US"/>
        </w:rPr>
        <w:t>Boss sexist joke (B2):</w:t>
      </w:r>
      <w:r w:rsidRPr="007D5CED">
        <w:rPr>
          <w:lang w:val="en-GB"/>
        </w:rPr>
        <w:t xml:space="preserve"> Now, instead, imagine it was your male boss rather than a work friend who told the sexist joke.</w:t>
      </w:r>
    </w:p>
    <w:p w14:paraId="24C423D9" w14:textId="14351826" w:rsidR="007D5CED" w:rsidRPr="007D5CED" w:rsidRDefault="007D5CED" w:rsidP="00A3239A">
      <w:pPr>
        <w:pStyle w:val="ListBullet"/>
        <w:rPr>
          <w:lang w:val="en-GB"/>
        </w:rPr>
      </w:pPr>
      <w:r w:rsidRPr="0073256E">
        <w:rPr>
          <w:rStyle w:val="Emphasis"/>
          <w:lang w:val="en-US"/>
        </w:rPr>
        <w:t xml:space="preserve">Friend verbal abuse (B3): </w:t>
      </w:r>
      <w:r w:rsidRPr="007D5CED">
        <w:rPr>
          <w:lang w:val="en-GB"/>
        </w:rPr>
        <w:t>Imagine you are out with some friends and a male friend is insulting or</w:t>
      </w:r>
      <w:r w:rsidR="00492704">
        <w:rPr>
          <w:lang w:val="en-GB"/>
        </w:rPr>
        <w:t> </w:t>
      </w:r>
      <w:r w:rsidRPr="007D5CED">
        <w:rPr>
          <w:lang w:val="en-GB"/>
        </w:rPr>
        <w:t>verbally abusing a woman he is in a relationship with.</w:t>
      </w:r>
    </w:p>
    <w:p w14:paraId="13A000FE" w14:textId="42BB069F" w:rsidR="007D5CED" w:rsidRPr="007D5CED" w:rsidRDefault="007D5CED" w:rsidP="00DC3FE8">
      <w:pPr>
        <w:pStyle w:val="Heading3"/>
      </w:pPr>
      <w:bookmarkStart w:id="192" w:name="_Toc152532411"/>
      <w:bookmarkStart w:id="193" w:name="_Toc190941697"/>
      <w:bookmarkStart w:id="194" w:name="_Toc190942397"/>
      <w:r w:rsidRPr="007D5CED">
        <w:lastRenderedPageBreak/>
        <w:t>8.2</w:t>
      </w:r>
      <w:r w:rsidR="0064322A">
        <w:t xml:space="preserve"> </w:t>
      </w:r>
      <w:r w:rsidRPr="007D5CED">
        <w:t>Bystander responses to each scenario</w:t>
      </w:r>
      <w:bookmarkEnd w:id="192"/>
      <w:bookmarkEnd w:id="193"/>
      <w:bookmarkEnd w:id="194"/>
    </w:p>
    <w:p w14:paraId="7C52DCD9" w14:textId="77777777" w:rsidR="007D5CED" w:rsidRPr="007D5CED" w:rsidRDefault="007D5CED" w:rsidP="00A3239A">
      <w:pPr>
        <w:rPr>
          <w:lang w:val="en-GB"/>
        </w:rPr>
      </w:pPr>
      <w:r w:rsidRPr="007D5CED">
        <w:rPr>
          <w:lang w:val="en-GB"/>
        </w:rPr>
        <w:t>Most young respondents said they would be bothered by each scenario. However, there were significant differences by scenario type:</w:t>
      </w:r>
    </w:p>
    <w:p w14:paraId="11EF631A" w14:textId="77777777" w:rsidR="007D5CED" w:rsidRPr="007D5CED" w:rsidRDefault="007D5CED" w:rsidP="00A3239A">
      <w:pPr>
        <w:pStyle w:val="ListBullet"/>
        <w:rPr>
          <w:lang w:val="en-GB"/>
        </w:rPr>
      </w:pPr>
      <w:r w:rsidRPr="007D5CED">
        <w:rPr>
          <w:lang w:val="en-GB"/>
        </w:rPr>
        <w:t>Virtually all young respondents said they would be bothered by the verbal abuse scenario (98%; B3).</w:t>
      </w:r>
    </w:p>
    <w:p w14:paraId="27B99013" w14:textId="77777777" w:rsidR="007D5CED" w:rsidRPr="007D5CED" w:rsidRDefault="007D5CED" w:rsidP="00A3239A">
      <w:pPr>
        <w:pStyle w:val="ListBullet"/>
        <w:rPr>
          <w:lang w:val="en-GB"/>
        </w:rPr>
      </w:pPr>
      <w:r w:rsidRPr="007D5CED">
        <w:rPr>
          <w:lang w:val="en-GB"/>
        </w:rPr>
        <w:t xml:space="preserve">Significantly fewer young respondents said they would be bothered by the two sexist joke scenarios (78–89%; B1, B2). It is particularly notable that one fifth (22%) of young respondents said they would </w:t>
      </w:r>
      <w:r w:rsidRPr="0073256E">
        <w:rPr>
          <w:rStyle w:val="Emphasis"/>
          <w:lang w:val="en-US"/>
        </w:rPr>
        <w:t>not</w:t>
      </w:r>
      <w:r w:rsidRPr="007D5CED">
        <w:rPr>
          <w:lang w:val="en-GB"/>
        </w:rPr>
        <w:t xml:space="preserve"> be bothered by a close work friend telling a sexist joke (B1), whereas only one tenth (11%) said they would not be bothered by a boss telling a sexist joke (B2). </w:t>
      </w:r>
    </w:p>
    <w:p w14:paraId="14D8E227" w14:textId="77777777" w:rsidR="007D5CED" w:rsidRPr="007D5CED" w:rsidRDefault="007D5CED" w:rsidP="00A3239A">
      <w:pPr>
        <w:rPr>
          <w:lang w:val="en-GB"/>
        </w:rPr>
      </w:pPr>
      <w:r w:rsidRPr="007D5CED">
        <w:rPr>
          <w:lang w:val="en-GB"/>
        </w:rPr>
        <w:t>The respondents who said they would be bothered by the scenarios were asked whether they would intervene by showing their disapproval (immediately in public or later in private) or would not intervene. Most young respondents who reported that they would be bothered said that they would show their disapproval either immediately in public or later in private (63–96%; Figure 8-1).</w:t>
      </w:r>
      <w:r w:rsidRPr="007D5CED">
        <w:rPr>
          <w:vertAlign w:val="superscript"/>
          <w:lang w:val="en-GB"/>
        </w:rPr>
        <w:footnoteReference w:id="42"/>
      </w:r>
      <w:r w:rsidRPr="007D5CED">
        <w:rPr>
          <w:lang w:val="en-GB"/>
        </w:rPr>
        <w:t xml:space="preserve"> </w:t>
      </w:r>
    </w:p>
    <w:p w14:paraId="5F689CF3" w14:textId="77777777" w:rsidR="007D5CED" w:rsidRPr="007D5CED" w:rsidRDefault="007D5CED" w:rsidP="00A3239A">
      <w:pPr>
        <w:rPr>
          <w:lang w:val="en-GB"/>
        </w:rPr>
      </w:pPr>
      <w:r w:rsidRPr="007D5CED">
        <w:rPr>
          <w:lang w:val="en-GB"/>
        </w:rPr>
        <w:t>The intention to show their disapproval among those who said they would be bothered varied by the context, depending on:</w:t>
      </w:r>
    </w:p>
    <w:p w14:paraId="4B5A0B9D" w14:textId="77777777" w:rsidR="007D5CED" w:rsidRPr="007D5CED" w:rsidRDefault="007D5CED" w:rsidP="00A3239A">
      <w:pPr>
        <w:pStyle w:val="ListBullet"/>
        <w:rPr>
          <w:lang w:val="en-GB"/>
        </w:rPr>
      </w:pPr>
      <w:r w:rsidRPr="0073256E">
        <w:rPr>
          <w:rStyle w:val="Emphasis"/>
          <w:lang w:val="en-US"/>
        </w:rPr>
        <w:t>the type of abusive behaviour</w:t>
      </w:r>
      <w:r w:rsidRPr="007D5CED">
        <w:rPr>
          <w:lang w:val="en-GB"/>
        </w:rPr>
        <w:t>, with significantly more young respondents reporting that they would not say anything in response to the sexist joke scenarios (9–35%) than in response to the verbal abuse scenario (2%)</w:t>
      </w:r>
    </w:p>
    <w:p w14:paraId="587C711B" w14:textId="24FB1B85" w:rsidR="007D5CED" w:rsidRDefault="007D5CED" w:rsidP="00A3239A">
      <w:pPr>
        <w:pStyle w:val="ListBullet"/>
        <w:rPr>
          <w:lang w:val="en-GB"/>
        </w:rPr>
      </w:pPr>
      <w:r w:rsidRPr="0073256E">
        <w:rPr>
          <w:rStyle w:val="Emphasis"/>
          <w:lang w:val="en-US"/>
        </w:rPr>
        <w:t>the presence of a power differential</w:t>
      </w:r>
      <w:r w:rsidRPr="007D5CED">
        <w:rPr>
          <w:lang w:val="en-GB"/>
        </w:rPr>
        <w:t xml:space="preserve"> between the bystander and the perpetrator, with significantly more young respondents reporting that they would not say anything if a boss (35%) rather than a</w:t>
      </w:r>
      <w:r w:rsidR="00492704">
        <w:rPr>
          <w:lang w:val="en-GB"/>
        </w:rPr>
        <w:t> </w:t>
      </w:r>
      <w:r w:rsidRPr="007D5CED">
        <w:rPr>
          <w:lang w:val="en-GB"/>
        </w:rPr>
        <w:t>friend (9%) told a sexist joke.</w:t>
      </w:r>
    </w:p>
    <w:p w14:paraId="390C084D" w14:textId="36C2F2AF" w:rsidR="007D5CED" w:rsidRPr="007D5CED" w:rsidRDefault="005B3A89" w:rsidP="002A2C0C">
      <w:pPr>
        <w:pStyle w:val="figuretableheading"/>
      </w:pPr>
      <w:bookmarkStart w:id="195" w:name="_Toc187401263"/>
      <w:r>
        <w:t xml:space="preserve">Figure </w:t>
      </w:r>
      <w:r>
        <w:fldChar w:fldCharType="begin"/>
      </w:r>
      <w:r>
        <w:instrText xml:space="preserve"> STYLEREF 1 \s </w:instrText>
      </w:r>
      <w:r>
        <w:fldChar w:fldCharType="separate"/>
      </w:r>
      <w:r>
        <w:t>8</w:t>
      </w:r>
      <w:r>
        <w:fldChar w:fldCharType="end"/>
      </w:r>
      <w:r>
        <w:noBreakHyphen/>
      </w:r>
      <w:r>
        <w:fldChar w:fldCharType="begin"/>
      </w:r>
      <w:r>
        <w:instrText xml:space="preserve"> SEQ Figure \* ARABIC \s 1 </w:instrText>
      </w:r>
      <w:r>
        <w:fldChar w:fldCharType="separate"/>
      </w:r>
      <w:r>
        <w:t>1</w:t>
      </w:r>
      <w:r>
        <w:fldChar w:fldCharType="end"/>
      </w:r>
      <w:r w:rsidR="007D5CED" w:rsidRPr="007D5CED">
        <w:t>: Bystander intention to intervene if bothered by scenario, 16- to 24-year-olds, 2021</w:t>
      </w:r>
      <w:bookmarkEnd w:id="195"/>
    </w:p>
    <w:p w14:paraId="1DA7569B" w14:textId="2405CE29" w:rsidR="007D5CED" w:rsidRPr="00E06E76" w:rsidRDefault="00E06E76" w:rsidP="00A3239A">
      <w:pPr>
        <w:rPr>
          <w:lang w:val="en-GB"/>
        </w:rPr>
      </w:pPr>
      <w:r>
        <w:rPr>
          <w:noProof/>
          <w:lang w:val="en-GB"/>
        </w:rPr>
        <w:drawing>
          <wp:inline distT="0" distB="0" distL="0" distR="0" wp14:anchorId="0DC2B14C" wp14:editId="39BF7F5D">
            <wp:extent cx="6120130" cy="2711450"/>
            <wp:effectExtent l="0" t="0" r="0" b="6350"/>
            <wp:docPr id="1032327233" name="Immagine 37" descr="A bar graph that shows 16 to 24 year old respondents responding to a bystander response scenario. Next to it is are 3 pie charts showing the percentage of respondents who were bothered by the action taken in the scenario.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7233" name="Immagine 37" descr="A bar graph that shows 16 to 24 year old respondents responding to a bystander response scenario. Next to it is are 3 pie charts showing the percentage of respondents who were bothered by the action taken in the scenario. The data in this graph is in the table below."/>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2711450"/>
                    </a:xfrm>
                    <a:prstGeom prst="rect">
                      <a:avLst/>
                    </a:prstGeom>
                  </pic:spPr>
                </pic:pic>
              </a:graphicData>
            </a:graphic>
          </wp:inline>
        </w:drawing>
      </w:r>
    </w:p>
    <w:p w14:paraId="713B8A6D" w14:textId="7C9D6E7C" w:rsidR="00FD755E" w:rsidRDefault="00FD755E" w:rsidP="002A2C0C">
      <w:pPr>
        <w:pStyle w:val="datatableheading"/>
      </w:pPr>
      <w:r>
        <w:t>Data table for figure 8-2: Percentage of 16-24-year-old respondents</w:t>
      </w:r>
    </w:p>
    <w:tbl>
      <w:tblPr>
        <w:tblStyle w:val="Table-SingleHeaderRow"/>
        <w:tblW w:w="0" w:type="auto"/>
        <w:tblLayout w:type="fixed"/>
        <w:tblLook w:val="04A0" w:firstRow="1" w:lastRow="0" w:firstColumn="1" w:lastColumn="0" w:noHBand="0" w:noVBand="1"/>
      </w:tblPr>
      <w:tblGrid>
        <w:gridCol w:w="2552"/>
        <w:gridCol w:w="1417"/>
        <w:gridCol w:w="1417"/>
        <w:gridCol w:w="1417"/>
        <w:gridCol w:w="1417"/>
        <w:gridCol w:w="1417"/>
      </w:tblGrid>
      <w:tr w:rsidR="00FD755E" w:rsidRPr="008E6594" w14:paraId="54D6AE7C" w14:textId="77777777" w:rsidTr="00FD75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D093F35" w14:textId="77777777" w:rsidR="00FD755E" w:rsidRPr="007E1C6F" w:rsidRDefault="00FD755E" w:rsidP="00A3239A">
            <w:pPr>
              <w:pStyle w:val="Tablebody"/>
            </w:pPr>
          </w:p>
        </w:tc>
        <w:tc>
          <w:tcPr>
            <w:tcW w:w="1417" w:type="dxa"/>
          </w:tcPr>
          <w:p w14:paraId="269FD640" w14:textId="363D2958" w:rsidR="00FD755E" w:rsidRPr="008E6594" w:rsidRDefault="00FD755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Passive – would not intervene</w:t>
            </w:r>
          </w:p>
        </w:tc>
        <w:tc>
          <w:tcPr>
            <w:tcW w:w="1417" w:type="dxa"/>
          </w:tcPr>
          <w:p w14:paraId="5CEB0E32" w14:textId="21D3CA28" w:rsidR="00FD755E" w:rsidRPr="008E6594" w:rsidRDefault="00FD755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Prosocial – private disapproval</w:t>
            </w:r>
          </w:p>
        </w:tc>
        <w:tc>
          <w:tcPr>
            <w:tcW w:w="1417" w:type="dxa"/>
          </w:tcPr>
          <w:p w14:paraId="408C6FCD" w14:textId="4C71254B" w:rsidR="00FD755E" w:rsidRPr="008E6594" w:rsidRDefault="00FD755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Prosocial – public disapproval</w:t>
            </w:r>
          </w:p>
        </w:tc>
        <w:tc>
          <w:tcPr>
            <w:tcW w:w="1417" w:type="dxa"/>
          </w:tcPr>
          <w:p w14:paraId="66A9EAEE" w14:textId="1DFFC05A" w:rsidR="00FD755E" w:rsidRPr="008E6594" w:rsidRDefault="00FD755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Unsure</w:t>
            </w:r>
          </w:p>
        </w:tc>
        <w:tc>
          <w:tcPr>
            <w:tcW w:w="1417" w:type="dxa"/>
          </w:tcPr>
          <w:p w14:paraId="1FA6960A" w14:textId="77777777" w:rsidR="00FD755E" w:rsidRPr="008E6594" w:rsidRDefault="00FD755E" w:rsidP="00A3239A">
            <w:pPr>
              <w:pStyle w:val="Tablebody"/>
              <w:cnfStyle w:val="100000000000" w:firstRow="1" w:lastRow="0" w:firstColumn="0" w:lastColumn="0" w:oddVBand="0" w:evenVBand="0" w:oddHBand="0" w:evenHBand="0" w:firstRowFirstColumn="0" w:firstRowLastColumn="0" w:lastRowFirstColumn="0" w:lastRowLastColumn="0"/>
              <w:rPr>
                <w:b w:val="0"/>
                <w:bCs/>
              </w:rPr>
            </w:pPr>
            <w:r w:rsidRPr="008E6594">
              <w:rPr>
                <w:bCs/>
              </w:rPr>
              <w:t>Un</w:t>
            </w:r>
            <w:r>
              <w:rPr>
                <w:bCs/>
              </w:rPr>
              <w:t>answered</w:t>
            </w:r>
          </w:p>
        </w:tc>
      </w:tr>
      <w:tr w:rsidR="00FD755E" w14:paraId="10885C1D" w14:textId="77777777" w:rsidTr="00FD755E">
        <w:tc>
          <w:tcPr>
            <w:cnfStyle w:val="001000000000" w:firstRow="0" w:lastRow="0" w:firstColumn="1" w:lastColumn="0" w:oddVBand="0" w:evenVBand="0" w:oddHBand="0" w:evenHBand="0" w:firstRowFirstColumn="0" w:firstRowLastColumn="0" w:lastRowFirstColumn="0" w:lastRowLastColumn="0"/>
            <w:tcW w:w="2552" w:type="dxa"/>
          </w:tcPr>
          <w:p w14:paraId="4AF0B55F" w14:textId="43C31F04" w:rsidR="00FD755E" w:rsidRPr="007E1C6F" w:rsidRDefault="00FD755E" w:rsidP="00A3239A">
            <w:pPr>
              <w:pStyle w:val="Tablebody"/>
            </w:pPr>
            <w:r>
              <w:t>Friend sexist joke</w:t>
            </w:r>
          </w:p>
        </w:tc>
        <w:tc>
          <w:tcPr>
            <w:tcW w:w="1417" w:type="dxa"/>
          </w:tcPr>
          <w:p w14:paraId="0F619A0E" w14:textId="368945CB" w:rsidR="00FD755E" w:rsidRPr="007E1C6F"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9</w:t>
            </w:r>
          </w:p>
        </w:tc>
        <w:tc>
          <w:tcPr>
            <w:tcW w:w="1417" w:type="dxa"/>
          </w:tcPr>
          <w:p w14:paraId="2E5FB8A5" w14:textId="5044E3BF" w:rsidR="00FD755E" w:rsidRPr="00D621A7" w:rsidRDefault="00CF4999"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35</w:t>
            </w:r>
          </w:p>
        </w:tc>
        <w:tc>
          <w:tcPr>
            <w:tcW w:w="1417" w:type="dxa"/>
          </w:tcPr>
          <w:p w14:paraId="293B5634" w14:textId="7282BF3C" w:rsidR="00FD755E" w:rsidRPr="007E1C6F"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52</w:t>
            </w:r>
          </w:p>
        </w:tc>
        <w:tc>
          <w:tcPr>
            <w:tcW w:w="1417" w:type="dxa"/>
          </w:tcPr>
          <w:p w14:paraId="6466CE92" w14:textId="4D992D60"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3</w:t>
            </w:r>
          </w:p>
        </w:tc>
        <w:tc>
          <w:tcPr>
            <w:tcW w:w="1417" w:type="dxa"/>
          </w:tcPr>
          <w:p w14:paraId="570FB465" w14:textId="3FD59641"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1</w:t>
            </w:r>
          </w:p>
        </w:tc>
      </w:tr>
      <w:tr w:rsidR="00FD755E" w14:paraId="4F2143E2" w14:textId="77777777" w:rsidTr="00FD755E">
        <w:tc>
          <w:tcPr>
            <w:cnfStyle w:val="001000000000" w:firstRow="0" w:lastRow="0" w:firstColumn="1" w:lastColumn="0" w:oddVBand="0" w:evenVBand="0" w:oddHBand="0" w:evenHBand="0" w:firstRowFirstColumn="0" w:firstRowLastColumn="0" w:lastRowFirstColumn="0" w:lastRowLastColumn="0"/>
            <w:tcW w:w="2552" w:type="dxa"/>
          </w:tcPr>
          <w:p w14:paraId="5A427AB5" w14:textId="7CADBA1D" w:rsidR="00FD755E" w:rsidRDefault="00FD755E" w:rsidP="00A3239A">
            <w:pPr>
              <w:pStyle w:val="Tablebody"/>
            </w:pPr>
            <w:r>
              <w:t>Boss sexist joke</w:t>
            </w:r>
          </w:p>
        </w:tc>
        <w:tc>
          <w:tcPr>
            <w:tcW w:w="1417" w:type="dxa"/>
          </w:tcPr>
          <w:p w14:paraId="61C2E24B" w14:textId="0C0DBBF1" w:rsidR="00FD755E" w:rsidRPr="007E1C6F"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35</w:t>
            </w:r>
          </w:p>
        </w:tc>
        <w:tc>
          <w:tcPr>
            <w:tcW w:w="1417" w:type="dxa"/>
          </w:tcPr>
          <w:p w14:paraId="0C7032F6" w14:textId="62FCEDE2" w:rsidR="00FD755E" w:rsidRPr="00D621A7" w:rsidRDefault="00CF4999"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35</w:t>
            </w:r>
          </w:p>
        </w:tc>
        <w:tc>
          <w:tcPr>
            <w:tcW w:w="1417" w:type="dxa"/>
          </w:tcPr>
          <w:p w14:paraId="475FC76E" w14:textId="26748E3B" w:rsidR="00FD755E" w:rsidRPr="007E1C6F"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28</w:t>
            </w:r>
          </w:p>
        </w:tc>
        <w:tc>
          <w:tcPr>
            <w:tcW w:w="1417" w:type="dxa"/>
          </w:tcPr>
          <w:p w14:paraId="4072AC6A" w14:textId="086EA501"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417" w:type="dxa"/>
          </w:tcPr>
          <w:p w14:paraId="0A4D361A" w14:textId="77777777" w:rsidR="00FD755E" w:rsidRDefault="00FD755E" w:rsidP="00A3239A">
            <w:pPr>
              <w:pStyle w:val="Tablebody"/>
              <w:cnfStyle w:val="000000000000" w:firstRow="0" w:lastRow="0" w:firstColumn="0" w:lastColumn="0" w:oddVBand="0" w:evenVBand="0" w:oddHBand="0" w:evenHBand="0" w:firstRowFirstColumn="0" w:firstRowLastColumn="0" w:lastRowFirstColumn="0" w:lastRowLastColumn="0"/>
            </w:pPr>
          </w:p>
        </w:tc>
      </w:tr>
      <w:tr w:rsidR="00FD755E" w14:paraId="45DE3A91" w14:textId="77777777" w:rsidTr="00FD755E">
        <w:tc>
          <w:tcPr>
            <w:cnfStyle w:val="001000000000" w:firstRow="0" w:lastRow="0" w:firstColumn="1" w:lastColumn="0" w:oddVBand="0" w:evenVBand="0" w:oddHBand="0" w:evenHBand="0" w:firstRowFirstColumn="0" w:firstRowLastColumn="0" w:lastRowFirstColumn="0" w:lastRowLastColumn="0"/>
            <w:tcW w:w="2552" w:type="dxa"/>
          </w:tcPr>
          <w:p w14:paraId="767E1AA5" w14:textId="6334C946" w:rsidR="00FD755E" w:rsidRDefault="00FD755E" w:rsidP="00A3239A">
            <w:pPr>
              <w:pStyle w:val="Tablebody"/>
            </w:pPr>
            <w:r>
              <w:lastRenderedPageBreak/>
              <w:t>Friend verbal abuse</w:t>
            </w:r>
          </w:p>
        </w:tc>
        <w:tc>
          <w:tcPr>
            <w:tcW w:w="1417" w:type="dxa"/>
          </w:tcPr>
          <w:p w14:paraId="1A85EE88" w14:textId="05EFC6A0"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417" w:type="dxa"/>
          </w:tcPr>
          <w:p w14:paraId="1F1C9B98" w14:textId="330A6665"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37</w:t>
            </w:r>
          </w:p>
        </w:tc>
        <w:tc>
          <w:tcPr>
            <w:tcW w:w="1417" w:type="dxa"/>
          </w:tcPr>
          <w:p w14:paraId="2789D4F0" w14:textId="5919CB4D"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59</w:t>
            </w:r>
          </w:p>
        </w:tc>
        <w:tc>
          <w:tcPr>
            <w:tcW w:w="1417" w:type="dxa"/>
          </w:tcPr>
          <w:p w14:paraId="6DBAAFEF" w14:textId="17BCC4C6" w:rsidR="00FD755E" w:rsidRDefault="00CF4999" w:rsidP="00A3239A">
            <w:pPr>
              <w:pStyle w:val="Tablebody"/>
              <w:cnfStyle w:val="000000000000" w:firstRow="0" w:lastRow="0" w:firstColumn="0" w:lastColumn="0" w:oddVBand="0" w:evenVBand="0" w:oddHBand="0" w:evenHBand="0" w:firstRowFirstColumn="0" w:firstRowLastColumn="0" w:lastRowFirstColumn="0" w:lastRowLastColumn="0"/>
            </w:pPr>
            <w:r>
              <w:t>2</w:t>
            </w:r>
          </w:p>
        </w:tc>
        <w:tc>
          <w:tcPr>
            <w:tcW w:w="1417" w:type="dxa"/>
          </w:tcPr>
          <w:p w14:paraId="2DFC5F3C" w14:textId="77777777" w:rsidR="00FD755E" w:rsidRDefault="00FD755E" w:rsidP="00A3239A">
            <w:pPr>
              <w:pStyle w:val="Tablebody"/>
              <w:cnfStyle w:val="000000000000" w:firstRow="0" w:lastRow="0" w:firstColumn="0" w:lastColumn="0" w:oddVBand="0" w:evenVBand="0" w:oddHBand="0" w:evenHBand="0" w:firstRowFirstColumn="0" w:firstRowLastColumn="0" w:lastRowFirstColumn="0" w:lastRowLastColumn="0"/>
            </w:pPr>
          </w:p>
        </w:tc>
      </w:tr>
    </w:tbl>
    <w:p w14:paraId="140A41D0" w14:textId="32F5CE99" w:rsidR="00EA1044" w:rsidRDefault="00EA1044" w:rsidP="00A3239A">
      <w:pPr>
        <w:pStyle w:val="Normal8pt"/>
        <w:rPr>
          <w:b/>
        </w:rPr>
      </w:pPr>
    </w:p>
    <w:tbl>
      <w:tblPr>
        <w:tblStyle w:val="Table-SingleHeaderRow"/>
        <w:tblW w:w="9639" w:type="dxa"/>
        <w:tblLayout w:type="fixed"/>
        <w:tblLook w:val="04A0" w:firstRow="1" w:lastRow="0" w:firstColumn="1" w:lastColumn="0" w:noHBand="0" w:noVBand="1"/>
      </w:tblPr>
      <w:tblGrid>
        <w:gridCol w:w="2552"/>
        <w:gridCol w:w="3544"/>
        <w:gridCol w:w="3543"/>
      </w:tblGrid>
      <w:tr w:rsidR="00EA1044" w:rsidRPr="008E6594" w14:paraId="0681AA45" w14:textId="77777777" w:rsidTr="00EA10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63A05C9" w14:textId="77777777" w:rsidR="00EA1044" w:rsidRPr="007E1C6F" w:rsidRDefault="00EA1044" w:rsidP="008A49D4">
            <w:pPr>
              <w:pStyle w:val="Tablebody"/>
            </w:pPr>
          </w:p>
        </w:tc>
        <w:tc>
          <w:tcPr>
            <w:tcW w:w="3544" w:type="dxa"/>
          </w:tcPr>
          <w:p w14:paraId="5AFCECA0" w14:textId="2AF3B184" w:rsidR="00EA1044" w:rsidRPr="008E6594" w:rsidRDefault="00EA1044" w:rsidP="008A49D4">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Bothered</w:t>
            </w:r>
          </w:p>
        </w:tc>
        <w:tc>
          <w:tcPr>
            <w:tcW w:w="3543" w:type="dxa"/>
          </w:tcPr>
          <w:p w14:paraId="340E9296" w14:textId="62AE13C9" w:rsidR="00EA1044" w:rsidRPr="008E6594" w:rsidRDefault="00EA1044" w:rsidP="008A49D4">
            <w:pPr>
              <w:pStyle w:val="Tablebody"/>
              <w:cnfStyle w:val="100000000000" w:firstRow="1" w:lastRow="0" w:firstColumn="0" w:lastColumn="0" w:oddVBand="0" w:evenVBand="0" w:oddHBand="0" w:evenHBand="0" w:firstRowFirstColumn="0" w:firstRowLastColumn="0" w:lastRowFirstColumn="0" w:lastRowLastColumn="0"/>
              <w:rPr>
                <w:b w:val="0"/>
                <w:bCs/>
              </w:rPr>
            </w:pPr>
            <w:r>
              <w:rPr>
                <w:bCs/>
              </w:rPr>
              <w:t>Not bothered</w:t>
            </w:r>
          </w:p>
        </w:tc>
      </w:tr>
      <w:tr w:rsidR="00EA1044" w14:paraId="5D77E576" w14:textId="77777777" w:rsidTr="00EA1044">
        <w:tc>
          <w:tcPr>
            <w:cnfStyle w:val="001000000000" w:firstRow="0" w:lastRow="0" w:firstColumn="1" w:lastColumn="0" w:oddVBand="0" w:evenVBand="0" w:oddHBand="0" w:evenHBand="0" w:firstRowFirstColumn="0" w:firstRowLastColumn="0" w:lastRowFirstColumn="0" w:lastRowLastColumn="0"/>
            <w:tcW w:w="2552" w:type="dxa"/>
          </w:tcPr>
          <w:p w14:paraId="376DC68C" w14:textId="77777777" w:rsidR="00EA1044" w:rsidRPr="007E1C6F" w:rsidRDefault="00EA1044" w:rsidP="008A49D4">
            <w:pPr>
              <w:pStyle w:val="Tablebody"/>
            </w:pPr>
            <w:r>
              <w:t>Friend sexist joke</w:t>
            </w:r>
          </w:p>
        </w:tc>
        <w:tc>
          <w:tcPr>
            <w:tcW w:w="3544" w:type="dxa"/>
          </w:tcPr>
          <w:p w14:paraId="0966CC85" w14:textId="75BE658D" w:rsidR="00EA1044" w:rsidRPr="007E1C6F" w:rsidRDefault="00EA1044" w:rsidP="008A49D4">
            <w:pPr>
              <w:pStyle w:val="Tablebody"/>
              <w:cnfStyle w:val="000000000000" w:firstRow="0" w:lastRow="0" w:firstColumn="0" w:lastColumn="0" w:oddVBand="0" w:evenVBand="0" w:oddHBand="0" w:evenHBand="0" w:firstRowFirstColumn="0" w:firstRowLastColumn="0" w:lastRowFirstColumn="0" w:lastRowLastColumn="0"/>
            </w:pPr>
            <w:r>
              <w:t>78</w:t>
            </w:r>
          </w:p>
        </w:tc>
        <w:tc>
          <w:tcPr>
            <w:tcW w:w="3543" w:type="dxa"/>
          </w:tcPr>
          <w:p w14:paraId="47C0ADC2" w14:textId="5D61DE1A" w:rsidR="00EA1044" w:rsidRPr="00D621A7" w:rsidRDefault="00EA1044" w:rsidP="008A49D4">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22</w:t>
            </w:r>
          </w:p>
        </w:tc>
      </w:tr>
      <w:tr w:rsidR="00EA1044" w14:paraId="2B206513" w14:textId="77777777" w:rsidTr="00EA1044">
        <w:tc>
          <w:tcPr>
            <w:cnfStyle w:val="001000000000" w:firstRow="0" w:lastRow="0" w:firstColumn="1" w:lastColumn="0" w:oddVBand="0" w:evenVBand="0" w:oddHBand="0" w:evenHBand="0" w:firstRowFirstColumn="0" w:firstRowLastColumn="0" w:lastRowFirstColumn="0" w:lastRowLastColumn="0"/>
            <w:tcW w:w="2552" w:type="dxa"/>
          </w:tcPr>
          <w:p w14:paraId="5BAACFF6" w14:textId="77777777" w:rsidR="00EA1044" w:rsidRDefault="00EA1044" w:rsidP="008A49D4">
            <w:pPr>
              <w:pStyle w:val="Tablebody"/>
            </w:pPr>
            <w:r>
              <w:t>Boss sexist joke</w:t>
            </w:r>
          </w:p>
        </w:tc>
        <w:tc>
          <w:tcPr>
            <w:tcW w:w="3544" w:type="dxa"/>
          </w:tcPr>
          <w:p w14:paraId="42F8F705" w14:textId="25B6BFFB" w:rsidR="00EA1044" w:rsidRPr="007E1C6F" w:rsidRDefault="00EA1044" w:rsidP="008A49D4">
            <w:pPr>
              <w:pStyle w:val="Tablebody"/>
              <w:cnfStyle w:val="000000000000" w:firstRow="0" w:lastRow="0" w:firstColumn="0" w:lastColumn="0" w:oddVBand="0" w:evenVBand="0" w:oddHBand="0" w:evenHBand="0" w:firstRowFirstColumn="0" w:firstRowLastColumn="0" w:lastRowFirstColumn="0" w:lastRowLastColumn="0"/>
            </w:pPr>
            <w:r>
              <w:t>89</w:t>
            </w:r>
          </w:p>
        </w:tc>
        <w:tc>
          <w:tcPr>
            <w:tcW w:w="3543" w:type="dxa"/>
          </w:tcPr>
          <w:p w14:paraId="64294ECF" w14:textId="7F614E51" w:rsidR="00EA1044" w:rsidRPr="00D621A7" w:rsidRDefault="00EA1044" w:rsidP="008A49D4">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11</w:t>
            </w:r>
          </w:p>
        </w:tc>
      </w:tr>
      <w:tr w:rsidR="00EA1044" w14:paraId="76BFC0E2" w14:textId="77777777" w:rsidTr="00EA1044">
        <w:tc>
          <w:tcPr>
            <w:cnfStyle w:val="001000000000" w:firstRow="0" w:lastRow="0" w:firstColumn="1" w:lastColumn="0" w:oddVBand="0" w:evenVBand="0" w:oddHBand="0" w:evenHBand="0" w:firstRowFirstColumn="0" w:firstRowLastColumn="0" w:lastRowFirstColumn="0" w:lastRowLastColumn="0"/>
            <w:tcW w:w="2552" w:type="dxa"/>
          </w:tcPr>
          <w:p w14:paraId="14D251D6" w14:textId="77777777" w:rsidR="00EA1044" w:rsidRDefault="00EA1044" w:rsidP="008A49D4">
            <w:pPr>
              <w:pStyle w:val="Tablebody"/>
            </w:pPr>
            <w:r>
              <w:t>Friend verbal abuse</w:t>
            </w:r>
          </w:p>
        </w:tc>
        <w:tc>
          <w:tcPr>
            <w:tcW w:w="3544" w:type="dxa"/>
          </w:tcPr>
          <w:p w14:paraId="639A409A" w14:textId="3C12D49D" w:rsidR="00EA1044" w:rsidRDefault="00EA1044" w:rsidP="008A49D4">
            <w:pPr>
              <w:pStyle w:val="Tablebody"/>
              <w:cnfStyle w:val="000000000000" w:firstRow="0" w:lastRow="0" w:firstColumn="0" w:lastColumn="0" w:oddVBand="0" w:evenVBand="0" w:oddHBand="0" w:evenHBand="0" w:firstRowFirstColumn="0" w:firstRowLastColumn="0" w:lastRowFirstColumn="0" w:lastRowLastColumn="0"/>
            </w:pPr>
            <w:r>
              <w:t>98</w:t>
            </w:r>
          </w:p>
        </w:tc>
        <w:tc>
          <w:tcPr>
            <w:tcW w:w="3543" w:type="dxa"/>
          </w:tcPr>
          <w:p w14:paraId="2FAD4730" w14:textId="39735969" w:rsidR="00EA1044" w:rsidRDefault="00EA1044" w:rsidP="008A49D4">
            <w:pPr>
              <w:pStyle w:val="Tablebody"/>
              <w:cnfStyle w:val="000000000000" w:firstRow="0" w:lastRow="0" w:firstColumn="0" w:lastColumn="0" w:oddVBand="0" w:evenVBand="0" w:oddHBand="0" w:evenHBand="0" w:firstRowFirstColumn="0" w:firstRowLastColumn="0" w:lastRowFirstColumn="0" w:lastRowLastColumn="0"/>
              <w:rPr>
                <w:szCs w:val="18"/>
              </w:rPr>
            </w:pPr>
            <w:r>
              <w:rPr>
                <w:szCs w:val="18"/>
              </w:rPr>
              <w:t>2</w:t>
            </w:r>
          </w:p>
        </w:tc>
      </w:tr>
    </w:tbl>
    <w:p w14:paraId="1657317A" w14:textId="19ACC4E5" w:rsidR="00CF4999" w:rsidRDefault="00CF4999" w:rsidP="00A3239A">
      <w:pPr>
        <w:pStyle w:val="Normal8pt"/>
      </w:pPr>
      <w:r w:rsidRPr="008C29F3">
        <w:rPr>
          <w:b/>
        </w:rPr>
        <w:t>Note</w:t>
      </w:r>
      <w:r w:rsidRPr="007D5CED">
        <w:rPr>
          <w:bCs/>
        </w:rPr>
        <w:t>:</w:t>
      </w:r>
      <w:r w:rsidRPr="007D5CED">
        <w:t xml:space="preserve"> </w:t>
      </w:r>
      <w:r w:rsidRPr="0073256E">
        <w:rPr>
          <w:rStyle w:val="Emphasis"/>
        </w:rPr>
        <w:t xml:space="preserve">N </w:t>
      </w:r>
      <w:r w:rsidRPr="007D5CED">
        <w:t>= 322 (B1); 385 (B2); 385 (B3). The bar figure includes only young respondents bothered by the sexist joke (B1, B2) or verbal abuse (B3). The pie figures are based on all young respondents. Only young respondents who indicated they would be bothered were asked how they would react.</w:t>
      </w:r>
    </w:p>
    <w:p w14:paraId="70D7157D" w14:textId="65C729A3" w:rsidR="007A49FC" w:rsidRDefault="007D5CED" w:rsidP="0084332B">
      <w:pPr>
        <w:pStyle w:val="Quote"/>
      </w:pPr>
      <w:r w:rsidRPr="007D5CED">
        <w:t>I’ve heard stories of people reporting things at work and stuff, but it just goes nowhere and so it’s, like, it’s just gonna take a lot of energy. And where is it gonna go? And it’s scary, you have to stand up to an authority figure and then if it doesn’t go anywhere, then it’s just you had to do all of that and, jeopardise yourself, and then</w:t>
      </w:r>
      <w:r w:rsidR="007A49FC">
        <w:t xml:space="preserve"> </w:t>
      </w:r>
      <w:r w:rsidRPr="007D5CED">
        <w:t>achieve nothing.</w:t>
      </w:r>
    </w:p>
    <w:p w14:paraId="48F33371" w14:textId="1B39AD70" w:rsidR="007D5CED" w:rsidRPr="007D5CED" w:rsidRDefault="007D5CED" w:rsidP="0084332B">
      <w:pPr>
        <w:pStyle w:val="QuoteSignatureLine"/>
        <w:rPr>
          <w:rFonts w:ascii="Hind Medium" w:hAnsi="Hind Medium" w:cs="Hind Medium"/>
        </w:rPr>
      </w:pPr>
      <w:r w:rsidRPr="007D5CED">
        <w:t>– Youth Ambassador</w:t>
      </w:r>
    </w:p>
    <w:p w14:paraId="350953DD" w14:textId="59AA08CA" w:rsidR="007D5CED" w:rsidRPr="007D5CED" w:rsidRDefault="007D5CED" w:rsidP="00DC3FE8">
      <w:pPr>
        <w:pStyle w:val="Heading3"/>
      </w:pPr>
      <w:bookmarkStart w:id="196" w:name="_Toc152532412"/>
      <w:bookmarkStart w:id="197" w:name="_Toc190941698"/>
      <w:bookmarkStart w:id="198" w:name="_Toc190942398"/>
      <w:r w:rsidRPr="007D5CED">
        <w:t>8.3</w:t>
      </w:r>
      <w:r w:rsidR="0064322A">
        <w:t xml:space="preserve"> </w:t>
      </w:r>
      <w:r w:rsidRPr="007D5CED">
        <w:t>Anticipated peer support or criticism</w:t>
      </w:r>
      <w:bookmarkEnd w:id="196"/>
      <w:bookmarkEnd w:id="197"/>
      <w:bookmarkEnd w:id="198"/>
    </w:p>
    <w:p w14:paraId="41E308A5" w14:textId="77777777" w:rsidR="007D5CED" w:rsidRPr="007D5CED" w:rsidRDefault="007D5CED" w:rsidP="00A3239A">
      <w:pPr>
        <w:rPr>
          <w:lang w:val="en-GB"/>
        </w:rPr>
      </w:pPr>
      <w:r w:rsidRPr="007D5CED">
        <w:rPr>
          <w:lang w:val="en-GB"/>
        </w:rPr>
        <w:t>For the two scenarios of witnessing a friend’s sexist joke (B1) and a friend’s verbal abuse (B3), young respondents who said they would show their disapproval (either immediately in public or later in private) were asked to imagine how their friends would react if the respondent showed disapproval immediately in public. Most of these young respondents expected that if they showed their disapproval publicly in these two scenarios, their peers would support them, either then and there in public or later in private (79% for B1; 89% for B3). Only a minority of young respondents expected that showing their disapproval publicly would result in peer criticism or peer silence (17% for B1; 9% for B3).</w:t>
      </w:r>
    </w:p>
    <w:p w14:paraId="7B29B99C" w14:textId="0B4BF54D" w:rsidR="007A49FC" w:rsidRDefault="007D5CED" w:rsidP="0084332B">
      <w:pPr>
        <w:pStyle w:val="Quote"/>
      </w:pPr>
      <w:r w:rsidRPr="007D5CED">
        <w:t>I think for people to be comfortable to speak out … is … [about] other people recognising that that was wrong. You know, having a bit of, almost like a backup. Just of people being able to say, OK, you know that was wrong, and this isn’t</w:t>
      </w:r>
      <w:r w:rsidR="007A49FC">
        <w:t xml:space="preserve"> </w:t>
      </w:r>
      <w:r w:rsidRPr="007D5CED">
        <w:t>necessarily on.</w:t>
      </w:r>
    </w:p>
    <w:p w14:paraId="66939353" w14:textId="53C5A2F2" w:rsidR="001D32BA" w:rsidRPr="00CF7E88" w:rsidRDefault="007D5CED" w:rsidP="0084332B">
      <w:pPr>
        <w:pStyle w:val="QuoteSignatureLine"/>
      </w:pPr>
      <w:r w:rsidRPr="007D5CED">
        <w:t>– Youth Ambassador</w:t>
      </w:r>
    </w:p>
    <w:p w14:paraId="5D7E85CC" w14:textId="4B0BF5FA" w:rsidR="007D5CED" w:rsidRPr="007D5CED" w:rsidRDefault="007D5CED" w:rsidP="00DC3FE8">
      <w:pPr>
        <w:pStyle w:val="Heading3"/>
      </w:pPr>
      <w:bookmarkStart w:id="199" w:name="_Toc152532413"/>
      <w:bookmarkStart w:id="200" w:name="_Toc190941699"/>
      <w:bookmarkStart w:id="201" w:name="_Toc190942399"/>
      <w:r w:rsidRPr="007D5CED">
        <w:t>8.4</w:t>
      </w:r>
      <w:r w:rsidR="0064322A">
        <w:t xml:space="preserve"> </w:t>
      </w:r>
      <w:r w:rsidRPr="007D5CED">
        <w:t>Barriers to bystander intention to intervene</w:t>
      </w:r>
      <w:bookmarkEnd w:id="199"/>
      <w:bookmarkEnd w:id="200"/>
      <w:bookmarkEnd w:id="201"/>
    </w:p>
    <w:p w14:paraId="59DFDA65" w14:textId="6239E65B" w:rsidR="007D5CED" w:rsidRPr="007D5CED" w:rsidRDefault="007D5CED" w:rsidP="00A3239A">
      <w:pPr>
        <w:rPr>
          <w:vertAlign w:val="superscript"/>
          <w:lang w:val="en-GB"/>
        </w:rPr>
      </w:pPr>
      <w:r w:rsidRPr="007D5CED">
        <w:rPr>
          <w:lang w:val="en-GB"/>
        </w:rPr>
        <w:t>In 2021, items were added to the NCAS to investigate why some people do not intervene when witnessing abuse or disrespect. Respondents who said they would be bothered by a scenario but that they would not intervene (passive bystanders) were asked about their reasons for not speaking up. The</w:t>
      </w:r>
      <w:r w:rsidR="00492704">
        <w:rPr>
          <w:lang w:val="en-GB"/>
        </w:rPr>
        <w:t> </w:t>
      </w:r>
      <w:r w:rsidRPr="007D5CED">
        <w:rPr>
          <w:lang w:val="en-GB"/>
        </w:rPr>
        <w:t>most common reasons provided by young respondents who said they would not speak up in response to the sexist joke scenarios were:</w:t>
      </w:r>
      <w:r w:rsidRPr="007D5CED">
        <w:rPr>
          <w:vertAlign w:val="superscript"/>
          <w:lang w:val="en-GB"/>
        </w:rPr>
        <w:footnoteReference w:id="43"/>
      </w:r>
    </w:p>
    <w:p w14:paraId="7BCA351F" w14:textId="77777777" w:rsidR="007D5CED" w:rsidRPr="007D5CED" w:rsidRDefault="007D5CED" w:rsidP="00A3239A">
      <w:pPr>
        <w:pStyle w:val="ListBullet"/>
        <w:rPr>
          <w:lang w:val="en-GB"/>
        </w:rPr>
      </w:pPr>
      <w:r w:rsidRPr="007D5CED">
        <w:rPr>
          <w:lang w:val="en-GB"/>
        </w:rPr>
        <w:t>“It might have negative consequences” (65% for B1; 92% for B2).</w:t>
      </w:r>
    </w:p>
    <w:p w14:paraId="1764DDB3" w14:textId="77777777" w:rsidR="007D5CED" w:rsidRPr="007D5CED" w:rsidRDefault="007D5CED" w:rsidP="00A3239A">
      <w:pPr>
        <w:pStyle w:val="ListBullet"/>
        <w:rPr>
          <w:lang w:val="en-GB"/>
        </w:rPr>
      </w:pPr>
      <w:r w:rsidRPr="007D5CED">
        <w:rPr>
          <w:lang w:val="en-GB"/>
        </w:rPr>
        <w:t>“You wouldn’t feel comfortable speaking up” (74%;</w:t>
      </w:r>
      <w:r w:rsidRPr="007D5CED">
        <w:rPr>
          <w:lang w:val="en-US"/>
        </w:rPr>
        <w:t xml:space="preserve"> </w:t>
      </w:r>
      <w:r w:rsidRPr="007D5CED">
        <w:rPr>
          <w:lang w:val="en-GB"/>
        </w:rPr>
        <w:t>79%).</w:t>
      </w:r>
    </w:p>
    <w:p w14:paraId="1399E430" w14:textId="77777777" w:rsidR="007D5CED" w:rsidRPr="007D5CED" w:rsidRDefault="007D5CED" w:rsidP="00A3239A">
      <w:pPr>
        <w:pStyle w:val="ListBullet"/>
        <w:rPr>
          <w:lang w:val="en-GB"/>
        </w:rPr>
      </w:pPr>
      <w:r w:rsidRPr="007D5CED">
        <w:rPr>
          <w:lang w:val="en-GB"/>
        </w:rPr>
        <w:lastRenderedPageBreak/>
        <w:t>“You wouldn’t know what to say” (69%; 65%).</w:t>
      </w:r>
    </w:p>
    <w:p w14:paraId="11D3B5D8" w14:textId="77777777" w:rsidR="007D5CED" w:rsidRPr="007D5CED" w:rsidRDefault="007D5CED" w:rsidP="00A3239A">
      <w:pPr>
        <w:pStyle w:val="ListBullet"/>
        <w:rPr>
          <w:lang w:val="en-GB"/>
        </w:rPr>
      </w:pPr>
      <w:r w:rsidRPr="007D5CED">
        <w:rPr>
          <w:lang w:val="en-GB"/>
        </w:rPr>
        <w:t>“It wouldn’t make any difference” (33%;</w:t>
      </w:r>
      <w:r w:rsidRPr="007D5CED">
        <w:rPr>
          <w:lang w:val="en-US"/>
        </w:rPr>
        <w:t xml:space="preserve"> </w:t>
      </w:r>
      <w:r w:rsidRPr="007D5CED">
        <w:rPr>
          <w:lang w:val="en-GB"/>
        </w:rPr>
        <w:t>43%).</w:t>
      </w:r>
    </w:p>
    <w:p w14:paraId="01F3DFFC" w14:textId="77777777" w:rsidR="007D5CED" w:rsidRPr="007D5CED" w:rsidRDefault="007D5CED" w:rsidP="00A3239A">
      <w:pPr>
        <w:pStyle w:val="ListBullet"/>
        <w:rPr>
          <w:lang w:val="en-GB"/>
        </w:rPr>
      </w:pPr>
      <w:r w:rsidRPr="007D5CED">
        <w:rPr>
          <w:lang w:val="en-GB"/>
        </w:rPr>
        <w:t>“It’s not your business” (22%; 21%).</w:t>
      </w:r>
    </w:p>
    <w:p w14:paraId="288EE08B" w14:textId="4C4A533F" w:rsidR="007A49FC" w:rsidRDefault="007D5CED" w:rsidP="0084332B">
      <w:pPr>
        <w:pStyle w:val="Quote"/>
      </w:pPr>
      <w:r w:rsidRPr="007D5CED">
        <w:t>It’s definitely that power dynamic, right? If you have, like, a boss or someone in</w:t>
      </w:r>
      <w:r w:rsidR="00492704">
        <w:t> </w:t>
      </w:r>
      <w:r w:rsidRPr="007D5CED">
        <w:t>charge, even sometimes, like, if it’s a parent, it may be harder to call it out because</w:t>
      </w:r>
      <w:r w:rsidR="007A49FC">
        <w:t xml:space="preserve"> </w:t>
      </w:r>
      <w:r w:rsidRPr="007D5CED">
        <w:t>of the consequences that may have, especially if it’s unsafe. If you could lose your job, or if you could experience some kind of emotional abuse from a</w:t>
      </w:r>
      <w:r w:rsidR="00492704">
        <w:t> </w:t>
      </w:r>
      <w:r w:rsidRPr="007D5CED">
        <w:t>parent or a</w:t>
      </w:r>
      <w:r w:rsidR="007A49FC">
        <w:t xml:space="preserve"> </w:t>
      </w:r>
      <w:r w:rsidRPr="007D5CED">
        <w:t>loved one.</w:t>
      </w:r>
    </w:p>
    <w:p w14:paraId="03E48916" w14:textId="2C24B40E" w:rsidR="007D5CED" w:rsidRPr="007D5CED" w:rsidRDefault="007D5CED" w:rsidP="0084332B">
      <w:pPr>
        <w:pStyle w:val="QuoteSignatureLine"/>
      </w:pPr>
      <w:r w:rsidRPr="007D5CED">
        <w:t>–</w:t>
      </w:r>
      <w:r w:rsidR="007A49FC">
        <w:t xml:space="preserve"> </w:t>
      </w:r>
      <w:r w:rsidRPr="007D5CED">
        <w:t>Youth Ambassador</w:t>
      </w:r>
    </w:p>
    <w:p w14:paraId="716BCFDB" w14:textId="7F4C952B" w:rsidR="007D5CED" w:rsidRPr="007D5CED" w:rsidRDefault="007D5CED" w:rsidP="00DC3FE8">
      <w:pPr>
        <w:pStyle w:val="Heading3"/>
      </w:pPr>
      <w:bookmarkStart w:id="202" w:name="_Toc152532414"/>
      <w:bookmarkStart w:id="203" w:name="_Toc190941700"/>
      <w:bookmarkStart w:id="204" w:name="_Toc190942400"/>
      <w:r w:rsidRPr="007D5CED">
        <w:t>8.5</w:t>
      </w:r>
      <w:r w:rsidR="0064322A">
        <w:t xml:space="preserve"> </w:t>
      </w:r>
      <w:r w:rsidRPr="007D5CED">
        <w:t>Comparing by gender: Young people’s bystander responses</w:t>
      </w:r>
      <w:bookmarkEnd w:id="202"/>
      <w:bookmarkEnd w:id="203"/>
      <w:bookmarkEnd w:id="204"/>
    </w:p>
    <w:p w14:paraId="5012049A" w14:textId="41C13BF9" w:rsidR="007D5CED" w:rsidRPr="007D5CED" w:rsidRDefault="007D5CED" w:rsidP="00A3239A">
      <w:pPr>
        <w:rPr>
          <w:lang w:val="en-GB"/>
        </w:rPr>
      </w:pPr>
      <w:r w:rsidRPr="007D5CED">
        <w:rPr>
          <w:lang w:val="en-GB"/>
        </w:rPr>
        <w:t>Many of the findings on gender differences in young respondents’ bystander responses were similar to</w:t>
      </w:r>
      <w:r w:rsidR="00492704">
        <w:rPr>
          <w:lang w:val="en-GB"/>
        </w:rPr>
        <w:t> </w:t>
      </w:r>
      <w:r w:rsidRPr="007D5CED">
        <w:rPr>
          <w:lang w:val="en-GB"/>
        </w:rPr>
        <w:t xml:space="preserve">those in the Main report, which is based on all respondents. An exception was that, among young respondents, there were no significant gender differences in the reactions they anticipated from peers or reasons for not intervening. </w:t>
      </w:r>
    </w:p>
    <w:p w14:paraId="5E4762D5" w14:textId="3E26FB05" w:rsidR="007D5CED" w:rsidRPr="007D5CED" w:rsidRDefault="007D5CED" w:rsidP="00A3239A">
      <w:pPr>
        <w:rPr>
          <w:lang w:val="en-GB"/>
        </w:rPr>
      </w:pPr>
      <w:r w:rsidRPr="007D5CED">
        <w:rPr>
          <w:lang w:val="en-GB"/>
        </w:rPr>
        <w:t>Examining, first, the friend sexist joke scenario (B1), young men (63%) were significantly less likely than young women (90%) to say they would be bothered by this scenario. Of those who said they would be</w:t>
      </w:r>
      <w:r w:rsidR="00492704">
        <w:rPr>
          <w:lang w:val="en-GB"/>
        </w:rPr>
        <w:t> </w:t>
      </w:r>
      <w:r w:rsidRPr="007D5CED">
        <w:rPr>
          <w:lang w:val="en-GB"/>
        </w:rPr>
        <w:t xml:space="preserve">bothered by this scenario, young men were significantly less likely than young women to report that they would express their disapproval immediately in public (41% versus 62%) and significantly more likely to express disapproval later in private (45% versus 27%). </w:t>
      </w:r>
    </w:p>
    <w:p w14:paraId="73A76BE1" w14:textId="77777777" w:rsidR="007D5CED" w:rsidRPr="007D5CED" w:rsidRDefault="007D5CED" w:rsidP="00A3239A">
      <w:pPr>
        <w:rPr>
          <w:lang w:val="en-GB"/>
        </w:rPr>
      </w:pPr>
      <w:r w:rsidRPr="007D5CED">
        <w:rPr>
          <w:lang w:val="en-GB"/>
        </w:rPr>
        <w:t xml:space="preserve">For the boss sexist joke scenario (B2), young men (80%) were significantly less likely than young women (97%) to say they would be bothered by this scenario. There was no gender difference for young respondents in their reported likelihood of intervening in this scenario. </w:t>
      </w:r>
    </w:p>
    <w:p w14:paraId="24CE8F71" w14:textId="0BC6B51E" w:rsidR="007D5CED" w:rsidRDefault="007D5CED" w:rsidP="00A3239A">
      <w:pPr>
        <w:rPr>
          <w:lang w:val="en-GB"/>
        </w:rPr>
      </w:pPr>
      <w:r w:rsidRPr="007D5CED">
        <w:rPr>
          <w:lang w:val="en-GB"/>
        </w:rPr>
        <w:t>For the friend verbal abuse scenario (B3), there were no significant gender differences for young respondents in their intention to intervene if bothered, their reasons for not intervening and the reaction they anticipated from peers if they were to intervene publicly.</w:t>
      </w:r>
    </w:p>
    <w:p w14:paraId="2361A9E9" w14:textId="79A6571B" w:rsidR="007D5CED" w:rsidRPr="007D5CED" w:rsidRDefault="007D5CED" w:rsidP="00DC3FE8">
      <w:pPr>
        <w:pStyle w:val="Heading3"/>
      </w:pPr>
      <w:bookmarkStart w:id="205" w:name="_Toc152532415"/>
      <w:bookmarkStart w:id="206" w:name="_Toc190941701"/>
      <w:bookmarkStart w:id="207" w:name="_Toc190942401"/>
      <w:r w:rsidRPr="007D5CED">
        <w:t>8.6</w:t>
      </w:r>
      <w:r w:rsidR="0064322A">
        <w:t xml:space="preserve"> </w:t>
      </w:r>
      <w:r w:rsidRPr="007D5CED">
        <w:t>Comparing bystander responses by age</w:t>
      </w:r>
      <w:bookmarkEnd w:id="205"/>
      <w:bookmarkEnd w:id="206"/>
      <w:bookmarkEnd w:id="207"/>
    </w:p>
    <w:p w14:paraId="74C00A89" w14:textId="2DC38A4F" w:rsidR="007D5CED" w:rsidRPr="007D5CED" w:rsidRDefault="007D5CED" w:rsidP="00A3239A">
      <w:pPr>
        <w:rPr>
          <w:lang w:val="en-GB"/>
        </w:rPr>
      </w:pPr>
      <w:r w:rsidRPr="007D5CED">
        <w:rPr>
          <w:lang w:val="en-GB"/>
        </w:rPr>
        <w:t>There were no significant differences between 16- to 17-year-olds and 18- to 24-year-olds in their bystander responses for any of the three scenarios.</w:t>
      </w:r>
    </w:p>
    <w:p w14:paraId="06612122" w14:textId="4E829203" w:rsidR="007D5CED" w:rsidRPr="007D5CED" w:rsidRDefault="007D5CED" w:rsidP="00A3239A">
      <w:pPr>
        <w:rPr>
          <w:lang w:val="en-GB"/>
        </w:rPr>
      </w:pPr>
      <w:r w:rsidRPr="007D5CED">
        <w:rPr>
          <w:lang w:val="en-GB"/>
        </w:rPr>
        <w:t>However, some differences in bystander responses were found between young respondents aged 16</w:t>
      </w:r>
      <w:r w:rsidR="00492704">
        <w:rPr>
          <w:lang w:val="en-GB"/>
        </w:rPr>
        <w:t> </w:t>
      </w:r>
      <w:r w:rsidRPr="007D5CED">
        <w:rPr>
          <w:lang w:val="en-GB"/>
        </w:rPr>
        <w:t>to 24 years and respondents aged 25 years or older:</w:t>
      </w:r>
    </w:p>
    <w:p w14:paraId="5740D677" w14:textId="5EA8898B" w:rsidR="007D5CED" w:rsidRPr="007D5CED" w:rsidRDefault="007D5CED" w:rsidP="00A3239A">
      <w:pPr>
        <w:pStyle w:val="ListBullet"/>
        <w:rPr>
          <w:lang w:val="en-GB"/>
        </w:rPr>
      </w:pPr>
      <w:r w:rsidRPr="007D5CED">
        <w:rPr>
          <w:lang w:val="en-GB"/>
        </w:rPr>
        <w:t>For the friend sexist joke scenario (B1), young respondents (75%) were significantly more likely than respondents aged 25 years or older (64%) to say they would be bothered.</w:t>
      </w:r>
    </w:p>
    <w:p w14:paraId="6D706726" w14:textId="5F7C4710" w:rsidR="007D5CED" w:rsidRPr="007D5CED" w:rsidRDefault="007D5CED" w:rsidP="00A3239A">
      <w:pPr>
        <w:pStyle w:val="ListBullet"/>
        <w:rPr>
          <w:lang w:val="en-GB"/>
        </w:rPr>
      </w:pPr>
      <w:r w:rsidRPr="007D5CED">
        <w:rPr>
          <w:lang w:val="en-GB"/>
        </w:rPr>
        <w:t>For the boss sexist joke scenario (B2), young respondents aged 16 to 24 years (31%) were significantly more likely than respondents aged 25 years or older (17%) to say that they would be</w:t>
      </w:r>
      <w:r w:rsidR="00492704">
        <w:rPr>
          <w:lang w:val="en-GB"/>
        </w:rPr>
        <w:t> </w:t>
      </w:r>
      <w:r w:rsidRPr="007D5CED">
        <w:rPr>
          <w:lang w:val="en-GB"/>
        </w:rPr>
        <w:t>bothered but would not intervene.</w:t>
      </w:r>
      <w:r w:rsidRPr="007D5CED">
        <w:rPr>
          <w:vertAlign w:val="superscript"/>
          <w:lang w:val="en-GB"/>
        </w:rPr>
        <w:footnoteReference w:id="44"/>
      </w:r>
    </w:p>
    <w:p w14:paraId="740FD197" w14:textId="1DE87B2E" w:rsidR="007A49FC" w:rsidRPr="00D63FDF" w:rsidRDefault="007A49FC" w:rsidP="00A3239A">
      <w:pPr>
        <w:spacing w:before="0" w:after="0" w:line="240" w:lineRule="auto"/>
        <w:rPr>
          <w:lang w:val="en-US"/>
        </w:rPr>
      </w:pPr>
      <w:r w:rsidRPr="00D63FDF">
        <w:rPr>
          <w:lang w:val="en-US"/>
        </w:rPr>
        <w:br w:type="page"/>
      </w:r>
    </w:p>
    <w:bookmarkStart w:id="208" w:name="_Toc190941702"/>
    <w:bookmarkStart w:id="209" w:name="_Toc190942402"/>
    <w:p w14:paraId="46EDA106" w14:textId="5F74C738" w:rsidR="007D5CED" w:rsidRPr="00D32C21" w:rsidRDefault="00492704" w:rsidP="008C29F3">
      <w:pPr>
        <w:pStyle w:val="H2SectionTitle"/>
      </w:pPr>
      <w:r>
        <w:rPr>
          <w:noProof/>
        </w:rPr>
        <w:lastRenderedPageBreak/>
        <mc:AlternateContent>
          <mc:Choice Requires="wps">
            <w:drawing>
              <wp:anchor distT="0" distB="0" distL="114300" distR="114300" simplePos="0" relativeHeight="251658263" behindDoc="0" locked="0" layoutInCell="1" allowOverlap="1" wp14:anchorId="0C835A6C" wp14:editId="382A7424">
                <wp:simplePos x="0" y="0"/>
                <wp:positionH relativeFrom="column">
                  <wp:posOffset>5124</wp:posOffset>
                </wp:positionH>
                <wp:positionV relativeFrom="paragraph">
                  <wp:posOffset>109</wp:posOffset>
                </wp:positionV>
                <wp:extent cx="382138" cy="382138"/>
                <wp:effectExtent l="0" t="0" r="0" b="0"/>
                <wp:wrapSquare wrapText="bothSides"/>
                <wp:docPr id="106893739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84A04" id="Rectangle 2" o:spid="_x0000_s1026" alt="&quot;&quot;" style="position:absolute;margin-left:.4pt;margin-top:0;width:30.1pt;height:30.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9 </w:t>
      </w:r>
      <w:bookmarkStart w:id="210" w:name="_Toc152532416"/>
      <w:r w:rsidR="007D5CED" w:rsidRPr="00D32C21">
        <w:t>Findings: Young people’s demographic characteristics and contexts</w:t>
      </w:r>
      <w:bookmarkEnd w:id="208"/>
      <w:bookmarkEnd w:id="209"/>
      <w:bookmarkEnd w:id="210"/>
    </w:p>
    <w:tbl>
      <w:tblPr>
        <w:tblStyle w:val="Yellowcalloutboxlayout"/>
        <w:tblW w:w="0" w:type="auto"/>
        <w:tblLayout w:type="fixed"/>
        <w:tblLook w:val="0000" w:firstRow="0" w:lastRow="0" w:firstColumn="0" w:lastColumn="0" w:noHBand="0" w:noVBand="0"/>
      </w:tblPr>
      <w:tblGrid>
        <w:gridCol w:w="8901"/>
      </w:tblGrid>
      <w:tr w:rsidR="007D5CED" w:rsidRPr="00EA1044" w14:paraId="37A989C0" w14:textId="77777777" w:rsidTr="0064322A">
        <w:trPr>
          <w:trHeight w:val="3087"/>
        </w:trPr>
        <w:tc>
          <w:tcPr>
            <w:tcW w:w="8901" w:type="dxa"/>
          </w:tcPr>
          <w:p w14:paraId="2547342E" w14:textId="539DDD52" w:rsidR="007D5CED" w:rsidRPr="007D5CED" w:rsidRDefault="007D5CED" w:rsidP="007D5CED">
            <w:pPr>
              <w:suppressAutoHyphens/>
              <w:autoSpaceDE w:val="0"/>
              <w:autoSpaceDN w:val="0"/>
              <w:adjustRightInd w:val="0"/>
              <w:spacing w:before="0" w:after="113" w:line="340" w:lineRule="atLeast"/>
              <w:textAlignment w:val="center"/>
              <w:rPr>
                <w:rFonts w:ascii="Open Sans SemiBold" w:hAnsi="Open Sans SemiBold" w:cs="Open Sans SemiBold"/>
                <w:color w:val="000000"/>
                <w:kern w:val="0"/>
                <w:sz w:val="22"/>
                <w:szCs w:val="22"/>
                <w:lang w:val="en-GB"/>
              </w:rPr>
            </w:pPr>
            <w:r w:rsidRPr="007D5CED">
              <w:rPr>
                <w:rFonts w:ascii="Open Sans SemiBold" w:hAnsi="Open Sans SemiBold" w:cs="Open Sans SemiBold"/>
                <w:color w:val="000000"/>
                <w:kern w:val="0"/>
                <w:sz w:val="22"/>
                <w:szCs w:val="22"/>
                <w:lang w:val="en-GB"/>
              </w:rPr>
              <w:t>The demographic group, population or culture surrounding an</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individual may shape or influence their attitudes, beliefs and behaviour, including their attitudes towards social issues (Brennan</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et</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al., 2015; Broćić &amp; Miles, 2021; Olson, 2019; Pavlíček et al., 2021; Roberts, 2019). This chapter presents results from multiple regression analyses on the relationships between young people’s demographic characteristics and their understanding and attitudes regarding violence against women and gender equality. The</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demographic factors examined as predictors of understanding and</w:t>
            </w:r>
            <w:r w:rsidR="00492704">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attitudes are outlined in</w:t>
            </w:r>
            <w:r w:rsidR="007A49FC">
              <w:rPr>
                <w:rFonts w:ascii="Open Sans SemiBold" w:hAnsi="Open Sans SemiBold" w:cs="Open Sans SemiBold"/>
                <w:color w:val="000000"/>
                <w:kern w:val="0"/>
                <w:sz w:val="22"/>
                <w:szCs w:val="22"/>
                <w:lang w:val="en-GB"/>
              </w:rPr>
              <w:t xml:space="preserve"> </w:t>
            </w:r>
            <w:r w:rsidRPr="007D5CED">
              <w:rPr>
                <w:rFonts w:ascii="Open Sans SemiBold" w:hAnsi="Open Sans SemiBold" w:cs="Open Sans SemiBold"/>
                <w:color w:val="000000"/>
                <w:kern w:val="0"/>
                <w:sz w:val="22"/>
                <w:szCs w:val="22"/>
                <w:lang w:val="en-GB"/>
              </w:rPr>
              <w:t>Chapter</w:t>
            </w:r>
            <w:r w:rsidR="007A49FC">
              <w:rPr>
                <w:rFonts w:ascii="Open Sans SemiBold" w:hAnsi="Open Sans SemiBold" w:cs="Open Sans SemiBold"/>
                <w:color w:val="000000"/>
                <w:kern w:val="0"/>
                <w:sz w:val="22"/>
                <w:szCs w:val="22"/>
                <w:lang w:val="en-GB"/>
              </w:rPr>
              <w:t xml:space="preserve"> </w:t>
            </w:r>
            <w:r w:rsidRPr="007D5CED">
              <w:rPr>
                <w:rFonts w:ascii="Open Sans SemiBold" w:hAnsi="Open Sans SemiBold" w:cs="Open Sans SemiBold"/>
                <w:color w:val="000000"/>
                <w:kern w:val="0"/>
                <w:sz w:val="22"/>
                <w:szCs w:val="22"/>
                <w:lang w:val="en-GB"/>
              </w:rPr>
              <w:t>2.</w:t>
            </w:r>
          </w:p>
        </w:tc>
      </w:tr>
    </w:tbl>
    <w:p w14:paraId="17C0E5DC" w14:textId="5E3EF5B9" w:rsidR="00E06E76" w:rsidRPr="00D63FDF" w:rsidRDefault="00E06E76" w:rsidP="00E06E76">
      <w:pPr>
        <w:spacing w:before="0" w:after="0" w:line="240" w:lineRule="auto"/>
        <w:rPr>
          <w:lang w:val="en-US"/>
        </w:rPr>
      </w:pPr>
      <w:r>
        <w:rPr>
          <w:lang w:val="en-US"/>
        </w:rPr>
        <w:br w:type="page"/>
      </w:r>
    </w:p>
    <w:p w14:paraId="7808058D" w14:textId="77777777" w:rsidR="007A49FC" w:rsidRPr="007D5CED" w:rsidRDefault="007A49FC" w:rsidP="00750FEF">
      <w:pPr>
        <w:pStyle w:val="ResultsSummaryHeading"/>
      </w:pPr>
      <w:r w:rsidRPr="007D5CED">
        <w:lastRenderedPageBreak/>
        <w:t>Young people’s demographic characteristics and contexts results summary</w:t>
      </w:r>
    </w:p>
    <w:p w14:paraId="66C9E6F5" w14:textId="77777777" w:rsidR="007A49FC" w:rsidRPr="007D5CED" w:rsidRDefault="007A49FC" w:rsidP="00750FEF">
      <w:pPr>
        <w:pStyle w:val="ResultsSummary"/>
      </w:pPr>
      <w:r w:rsidRPr="007D5CED">
        <w:t>Demographic differences in young people’s understanding and attitudes can inform the barriers and facilitators of violence prevention initiatives with different groups of young people. Importantly, however, demographic factors explained only a fraction of the picture, suggesting there is room for improvement across the population of young Australians. The strongest predictor of young respondents’ attitudes towards violence against women was their attitudes towards gender inequality, explaining 36 per cent of the variance in AVAWS scores.</w:t>
      </w:r>
    </w:p>
    <w:p w14:paraId="6AAE4534" w14:textId="46491A81" w:rsidR="007A49FC" w:rsidRPr="007D5CED" w:rsidRDefault="007A49FC" w:rsidP="00750FEF">
      <w:pPr>
        <w:pStyle w:val="ResultsSummary"/>
      </w:pPr>
      <w:r w:rsidRPr="007D5CED">
        <w:t>There were some differences in young respondents’ understanding and attitudes that were related to</w:t>
      </w:r>
      <w:r w:rsidR="00492704">
        <w:t> </w:t>
      </w:r>
      <w:r w:rsidRPr="007D5CED">
        <w:t>their gender, sexuality, country of birth and language spoken at home. Gender was the most important demographic predictor of young respondents’ understanding and attitudes towards violence against women (UVAWS and AVAWS) and attitudes towards gender inequality (AGIS), explaining between 3 to 10 per cent of the variance in scale scores.</w:t>
      </w:r>
    </w:p>
    <w:p w14:paraId="7BB002C4" w14:textId="1673F31F" w:rsidR="007D5CED" w:rsidRPr="007D5CED" w:rsidRDefault="007D5CED" w:rsidP="00DC3FE8">
      <w:pPr>
        <w:pStyle w:val="Heading3"/>
      </w:pPr>
      <w:bookmarkStart w:id="211" w:name="_Toc152532417"/>
      <w:bookmarkStart w:id="212" w:name="_Toc190941703"/>
      <w:bookmarkStart w:id="213" w:name="_Toc190942403"/>
      <w:r w:rsidRPr="007D5CED">
        <w:t>9.1</w:t>
      </w:r>
      <w:r w:rsidR="0064322A">
        <w:t xml:space="preserve"> </w:t>
      </w:r>
      <w:r w:rsidRPr="007D5CED">
        <w:t>Young people’s understanding of violence against women: Assessing the importance of demographics</w:t>
      </w:r>
      <w:bookmarkEnd w:id="211"/>
      <w:bookmarkEnd w:id="212"/>
      <w:bookmarkEnd w:id="213"/>
    </w:p>
    <w:p w14:paraId="2A670EEB" w14:textId="24AB594A" w:rsidR="007D5CED" w:rsidRPr="007D5CED" w:rsidRDefault="007D5CED" w:rsidP="00A3239A">
      <w:pPr>
        <w:rPr>
          <w:lang w:val="en-GB"/>
        </w:rPr>
      </w:pPr>
      <w:r w:rsidRPr="007D5CED">
        <w:rPr>
          <w:lang w:val="en-GB"/>
        </w:rPr>
        <w:t>Based on multiple regression analysis (UVAWS Model 1, Table 2-1), demographics explained 11</w:t>
      </w:r>
      <w:r w:rsidR="00492704">
        <w:rPr>
          <w:lang w:val="en-GB"/>
        </w:rPr>
        <w:t> </w:t>
      </w:r>
      <w:r w:rsidRPr="007D5CED">
        <w:rPr>
          <w:lang w:val="en-GB"/>
        </w:rPr>
        <w:t>per</w:t>
      </w:r>
      <w:r w:rsidR="00492704">
        <w:rPr>
          <w:lang w:val="en-GB"/>
        </w:rPr>
        <w:t> </w:t>
      </w:r>
      <w:r w:rsidRPr="007D5CED">
        <w:rPr>
          <w:lang w:val="en-GB"/>
        </w:rPr>
        <w:t>cent</w:t>
      </w:r>
      <w:r w:rsidR="00492704">
        <w:rPr>
          <w:lang w:val="en-GB"/>
        </w:rPr>
        <w:t> </w:t>
      </w:r>
      <w:r w:rsidRPr="007D5CED">
        <w:rPr>
          <w:lang w:val="en-GB"/>
        </w:rPr>
        <w:t>of the difference in young people’s understanding of violence against women. Thus, most of the difference in respondents’ understanding of violence against women (89%) cannot be explained by</w:t>
      </w:r>
      <w:r w:rsidR="00492704">
        <w:rPr>
          <w:lang w:val="en-GB"/>
        </w:rPr>
        <w:t> </w:t>
      </w:r>
      <w:r w:rsidRPr="007D5CED">
        <w:rPr>
          <w:lang w:val="en-GB"/>
        </w:rPr>
        <w:t>demographics alone, suggesting other factors are also important in predicting or</w:t>
      </w:r>
      <w:r w:rsidR="00492704">
        <w:rPr>
          <w:lang w:val="en-GB"/>
        </w:rPr>
        <w:t> </w:t>
      </w:r>
      <w:r w:rsidRPr="007D5CED">
        <w:rPr>
          <w:lang w:val="en-GB"/>
        </w:rPr>
        <w:t>shaping</w:t>
      </w:r>
      <w:r w:rsidR="00492704">
        <w:rPr>
          <w:lang w:val="en-GB"/>
        </w:rPr>
        <w:t> </w:t>
      </w:r>
      <w:r w:rsidRPr="007D5CED">
        <w:rPr>
          <w:lang w:val="en-GB"/>
        </w:rPr>
        <w:t>understanding.</w:t>
      </w:r>
    </w:p>
    <w:p w14:paraId="4EB40EA2" w14:textId="3DEC7BD6" w:rsidR="007D5CED" w:rsidRPr="007D5CED" w:rsidRDefault="007D5CED" w:rsidP="00A3239A">
      <w:pPr>
        <w:rPr>
          <w:lang w:val="en-GB"/>
        </w:rPr>
      </w:pPr>
      <w:r w:rsidRPr="007D5CED">
        <w:rPr>
          <w:lang w:val="en-GB"/>
        </w:rPr>
        <w:t>Gender and language spoken at home were the most important demographic predictors of young respondents’ understanding of violence against women, each explaining 3 per cent of the variance in</w:t>
      </w:r>
      <w:r w:rsidR="00492704">
        <w:rPr>
          <w:lang w:val="en-GB"/>
        </w:rPr>
        <w:t> </w:t>
      </w:r>
      <w:r w:rsidRPr="007D5CED">
        <w:rPr>
          <w:lang w:val="en-GB"/>
        </w:rPr>
        <w:t xml:space="preserve">understanding, followed by country of birth (2%). Based on the regression, the demographic characteristics of young respondents associated with </w:t>
      </w:r>
      <w:r w:rsidRPr="0073256E">
        <w:rPr>
          <w:rStyle w:val="Emphasis"/>
          <w:lang w:val="en-US"/>
        </w:rPr>
        <w:t xml:space="preserve">significantly higher understanding of violence against women </w:t>
      </w:r>
      <w:r w:rsidRPr="007D5CED">
        <w:rPr>
          <w:lang w:val="en-GB"/>
        </w:rPr>
        <w:t>were:</w:t>
      </w:r>
    </w:p>
    <w:p w14:paraId="6CA23EB5" w14:textId="77777777" w:rsidR="007D5CED" w:rsidRPr="007D5CED" w:rsidRDefault="007D5CED" w:rsidP="00A3239A">
      <w:pPr>
        <w:pStyle w:val="ListBullet"/>
        <w:rPr>
          <w:vertAlign w:val="superscript"/>
          <w:lang w:val="en-GB"/>
        </w:rPr>
      </w:pPr>
      <w:r w:rsidRPr="007D5CED">
        <w:rPr>
          <w:lang w:val="en-GB"/>
        </w:rPr>
        <w:t>gender: young women compared to young men</w:t>
      </w:r>
      <w:r w:rsidRPr="007D5CED">
        <w:rPr>
          <w:vertAlign w:val="superscript"/>
          <w:lang w:val="en-GB"/>
        </w:rPr>
        <w:footnoteReference w:id="45"/>
      </w:r>
    </w:p>
    <w:p w14:paraId="274C8823" w14:textId="477DF974" w:rsidR="007D5CED" w:rsidRPr="007D5CED" w:rsidRDefault="007D5CED" w:rsidP="00A3239A">
      <w:pPr>
        <w:pStyle w:val="ListBullet"/>
        <w:rPr>
          <w:vertAlign w:val="superscript"/>
          <w:lang w:val="en-GB"/>
        </w:rPr>
      </w:pPr>
      <w:r w:rsidRPr="007D5CED">
        <w:rPr>
          <w:lang w:val="en-GB"/>
        </w:rPr>
        <w:t>language spoken at home: young respondents who spoke English at home compared to those who spoke a</w:t>
      </w:r>
      <w:r w:rsidR="007A49FC">
        <w:rPr>
          <w:lang w:val="en-GB"/>
        </w:rPr>
        <w:t xml:space="preserve"> </w:t>
      </w:r>
      <w:r w:rsidRPr="007D5CED">
        <w:rPr>
          <w:lang w:val="en-GB"/>
        </w:rPr>
        <w:t>language other than English at home.</w:t>
      </w:r>
      <w:r w:rsidRPr="007D5CED">
        <w:rPr>
          <w:vertAlign w:val="superscript"/>
          <w:lang w:val="en-GB"/>
        </w:rPr>
        <w:footnoteReference w:id="46"/>
      </w:r>
    </w:p>
    <w:p w14:paraId="3E0F6D39" w14:textId="77777777" w:rsidR="007D5CED" w:rsidRDefault="007D5CED" w:rsidP="00A3239A">
      <w:pPr>
        <w:rPr>
          <w:lang w:val="en-GB"/>
        </w:rPr>
      </w:pPr>
      <w:r w:rsidRPr="007D5CED">
        <w:rPr>
          <w:lang w:val="en-GB"/>
        </w:rPr>
        <w:t>The UVAWS regression on all respondents (Main report) showed similar results for gender and language spoken at home.</w:t>
      </w:r>
    </w:p>
    <w:p w14:paraId="70DDFA9F" w14:textId="0FAB7CA8" w:rsidR="007D5CED" w:rsidRPr="007D5CED" w:rsidRDefault="007D5CED" w:rsidP="00DC3FE8">
      <w:pPr>
        <w:pStyle w:val="Heading3"/>
      </w:pPr>
      <w:bookmarkStart w:id="214" w:name="_Toc152532418"/>
      <w:bookmarkStart w:id="215" w:name="_Toc190941704"/>
      <w:bookmarkStart w:id="216" w:name="_Toc190942404"/>
      <w:r w:rsidRPr="007D5CED">
        <w:t>9.2</w:t>
      </w:r>
      <w:r w:rsidR="0064322A">
        <w:t xml:space="preserve"> </w:t>
      </w:r>
      <w:r w:rsidRPr="007D5CED">
        <w:t>Young people’s attitudes towards gender inequality: Assessing the importance of demographics</w:t>
      </w:r>
      <w:bookmarkEnd w:id="214"/>
      <w:bookmarkEnd w:id="215"/>
      <w:bookmarkEnd w:id="216"/>
      <w:r w:rsidRPr="007D5CED">
        <w:t xml:space="preserve"> </w:t>
      </w:r>
    </w:p>
    <w:p w14:paraId="0EE49A94" w14:textId="305A172B" w:rsidR="007D5CED" w:rsidRPr="007D5CED" w:rsidRDefault="007D5CED" w:rsidP="00A3239A">
      <w:pPr>
        <w:rPr>
          <w:lang w:val="en-GB"/>
        </w:rPr>
      </w:pPr>
      <w:r w:rsidRPr="007D5CED">
        <w:rPr>
          <w:lang w:val="en-GB"/>
        </w:rPr>
        <w:t>Based on multiple regression analysis (AGIS Model 1, Table 2-1), demographic factors explained almost one fifth (19%) of the difference in young people’s attitudes towards gender inequality. However, most of the difference in respondents’ attitudes towards gender inequality cannot be explained based only on their demographic characteristics, suggesting that other factors are also important in predicting or</w:t>
      </w:r>
      <w:r w:rsidR="00492704">
        <w:rPr>
          <w:lang w:val="en-GB"/>
        </w:rPr>
        <w:t> </w:t>
      </w:r>
      <w:r w:rsidRPr="007D5CED">
        <w:rPr>
          <w:lang w:val="en-GB"/>
        </w:rPr>
        <w:t>shaping these attitudes.</w:t>
      </w:r>
    </w:p>
    <w:p w14:paraId="730ADA22" w14:textId="77777777" w:rsidR="007D5CED" w:rsidRPr="007D5CED" w:rsidRDefault="007D5CED" w:rsidP="00A3239A">
      <w:pPr>
        <w:rPr>
          <w:lang w:val="en-GB"/>
        </w:rPr>
      </w:pPr>
      <w:r w:rsidRPr="007D5CED">
        <w:rPr>
          <w:lang w:val="en-GB"/>
        </w:rPr>
        <w:t xml:space="preserve">Gender was the most important demographic predictor of young respondents’ attitudes towards gender inequality and explained 10 per cent of the variance, followed by sexuality (4%) and language spoken at home (4%). Based on the regression, the demographic characteristics of young respondents associated with </w:t>
      </w:r>
      <w:r w:rsidRPr="0073256E">
        <w:rPr>
          <w:rStyle w:val="Emphasis"/>
          <w:lang w:val="en-US"/>
        </w:rPr>
        <w:t xml:space="preserve">significantly stronger rejection of gender inequality </w:t>
      </w:r>
      <w:r w:rsidRPr="007D5CED">
        <w:rPr>
          <w:lang w:val="en-GB"/>
        </w:rPr>
        <w:t>were:</w:t>
      </w:r>
    </w:p>
    <w:p w14:paraId="025F374D" w14:textId="77777777" w:rsidR="007D5CED" w:rsidRPr="007D5CED" w:rsidRDefault="007D5CED" w:rsidP="00A3239A">
      <w:pPr>
        <w:pStyle w:val="ListBullet"/>
        <w:rPr>
          <w:lang w:val="en-GB"/>
        </w:rPr>
      </w:pPr>
      <w:r w:rsidRPr="007D5CED">
        <w:rPr>
          <w:lang w:val="en-GB"/>
        </w:rPr>
        <w:lastRenderedPageBreak/>
        <w:t>gender: young women and non-binary respondents compared to young men</w:t>
      </w:r>
    </w:p>
    <w:p w14:paraId="19D93CA6" w14:textId="7BCE3803" w:rsidR="007D5CED" w:rsidRPr="007D5CED" w:rsidRDefault="007D5CED" w:rsidP="00A3239A">
      <w:pPr>
        <w:pStyle w:val="ListBullet"/>
        <w:rPr>
          <w:lang w:val="en-US"/>
        </w:rPr>
      </w:pPr>
      <w:r w:rsidRPr="007D5CED">
        <w:rPr>
          <w:lang w:val="en-GB"/>
        </w:rPr>
        <w:t xml:space="preserve">sexuality: young respondents who were </w:t>
      </w:r>
      <w:r w:rsidRPr="007D5CED">
        <w:rPr>
          <w:lang w:val="en-US"/>
        </w:rPr>
        <w:t>lesbian, gay, bisexual or pansexual, or asexual, queer</w:t>
      </w:r>
      <w:r w:rsidR="00492704">
        <w:rPr>
          <w:lang w:val="en-US"/>
        </w:rPr>
        <w:t> </w:t>
      </w:r>
      <w:r w:rsidRPr="007D5CED">
        <w:rPr>
          <w:lang w:val="en-US"/>
        </w:rPr>
        <w:t>or</w:t>
      </w:r>
      <w:r w:rsidR="00492704">
        <w:rPr>
          <w:lang w:val="en-US"/>
        </w:rPr>
        <w:t> </w:t>
      </w:r>
      <w:r w:rsidRPr="007D5CED">
        <w:rPr>
          <w:lang w:val="en-US"/>
        </w:rPr>
        <w:t>sexuality-diverse compared to heterosexual young respondents</w:t>
      </w:r>
    </w:p>
    <w:p w14:paraId="3DF85E36" w14:textId="77777777" w:rsidR="007D5CED" w:rsidRPr="007D5CED" w:rsidRDefault="007D5CED" w:rsidP="00A3239A">
      <w:pPr>
        <w:pStyle w:val="ListBullet"/>
        <w:rPr>
          <w:vertAlign w:val="superscript"/>
          <w:lang w:val="en-GB"/>
        </w:rPr>
      </w:pPr>
      <w:r w:rsidRPr="007D5CED">
        <w:rPr>
          <w:lang w:val="en-US"/>
        </w:rPr>
        <w:t xml:space="preserve">language spoken at home: </w:t>
      </w:r>
      <w:r w:rsidRPr="007D5CED">
        <w:rPr>
          <w:lang w:val="en-GB"/>
        </w:rPr>
        <w:t>young respondents who spoke English at home compared to those who spoke a language other than English at home.</w:t>
      </w:r>
      <w:r w:rsidRPr="007D5CED">
        <w:rPr>
          <w:vertAlign w:val="superscript"/>
          <w:lang w:val="en-GB"/>
        </w:rPr>
        <w:footnoteReference w:id="47"/>
      </w:r>
    </w:p>
    <w:p w14:paraId="7C43070B" w14:textId="77777777" w:rsidR="007D5CED" w:rsidRPr="007D5CED" w:rsidRDefault="007D5CED" w:rsidP="00A3239A">
      <w:pPr>
        <w:rPr>
          <w:lang w:val="en-GB"/>
        </w:rPr>
      </w:pPr>
      <w:r w:rsidRPr="007D5CED">
        <w:rPr>
          <w:lang w:val="en-GB"/>
        </w:rPr>
        <w:t>The AGIS regression on all respondents (Main report) revealed similar results for gender, sexuality and English proficiency. However, gender explained somewhat less of the variance in attitudes towards gender inequality for all respondents (5%) than it did for young respondents (10%).</w:t>
      </w:r>
    </w:p>
    <w:p w14:paraId="32723180" w14:textId="066C6535" w:rsidR="007D5CED" w:rsidRPr="007D5CED" w:rsidRDefault="007D5CED" w:rsidP="00DC3FE8">
      <w:pPr>
        <w:pStyle w:val="Heading3"/>
      </w:pPr>
      <w:bookmarkStart w:id="217" w:name="_Toc152532419"/>
      <w:bookmarkStart w:id="218" w:name="_Toc190941705"/>
      <w:bookmarkStart w:id="219" w:name="_Toc190942405"/>
      <w:r w:rsidRPr="007D5CED">
        <w:t>9.3</w:t>
      </w:r>
      <w:r w:rsidR="0064322A">
        <w:t xml:space="preserve"> </w:t>
      </w:r>
      <w:r w:rsidRPr="007D5CED">
        <w:t>Young people’s attitudes towards violence against women: Assessing the importance of demographics, understanding and attitudes</w:t>
      </w:r>
      <w:bookmarkEnd w:id="217"/>
      <w:bookmarkEnd w:id="218"/>
      <w:bookmarkEnd w:id="219"/>
    </w:p>
    <w:p w14:paraId="61E1C2C1" w14:textId="77777777" w:rsidR="007D5CED" w:rsidRPr="007D5CED" w:rsidRDefault="007D5CED" w:rsidP="00A3239A">
      <w:pPr>
        <w:rPr>
          <w:lang w:val="en-GB"/>
        </w:rPr>
      </w:pPr>
      <w:r w:rsidRPr="007D5CED">
        <w:rPr>
          <w:lang w:val="en-GB"/>
        </w:rPr>
        <w:t xml:space="preserve">Based on the AVAWS regression models (Table 2-1), attitudes towards gender inequality explained the largest portion (31%) of the difference in young respondents’ attitudes towards violence against women, understanding of violence against women explained 13 per cent and demographic factors explained 10 per cent (AVAWS Model 3). These findings confirm the important relationship between young people’s attitudes towards gender inequality and their attitudes towards violence against women, and suggest that these attitudes need to be tackled together. </w:t>
      </w:r>
    </w:p>
    <w:p w14:paraId="2CF95C5A" w14:textId="77777777" w:rsidR="007D5CED" w:rsidRPr="007D5CED" w:rsidRDefault="007D5CED" w:rsidP="00A3239A">
      <w:pPr>
        <w:rPr>
          <w:lang w:val="en-GB"/>
        </w:rPr>
      </w:pPr>
      <w:r w:rsidRPr="007D5CED">
        <w:rPr>
          <w:lang w:val="en-GB"/>
        </w:rPr>
        <w:t>Of the UVAWS and AGIS subscales, the Deny Inequality Subscale of the AGIS was the most important predictor of attitudes towards violence against women. Thus, shifting attitudes that deny women’s experiences of gender inequality may be an important component of initiatives that aim to improve rejection of violence against women by increasing rejection of gender inequality.</w:t>
      </w:r>
    </w:p>
    <w:p w14:paraId="7558B44C" w14:textId="1878387B" w:rsidR="007D5CED" w:rsidRPr="007D5CED" w:rsidRDefault="007D5CED" w:rsidP="00A3239A">
      <w:pPr>
        <w:rPr>
          <w:lang w:val="en-GB"/>
        </w:rPr>
      </w:pPr>
      <w:r w:rsidRPr="007D5CED">
        <w:rPr>
          <w:lang w:val="en-GB"/>
        </w:rPr>
        <w:t xml:space="preserve">Of the demographic factors, gender was the most important predictor (6%) of attitudes towards violence against women, followed by sexuality (4%), language spoken at home (4%) and country of birth (3%). Based on the regression, the demographic characteristics of young respondents associated with </w:t>
      </w:r>
      <w:r w:rsidRPr="0073256E">
        <w:rPr>
          <w:rStyle w:val="Emphasis"/>
          <w:lang w:val="en-US"/>
        </w:rPr>
        <w:t xml:space="preserve">significantly stronger rejection of violence against women </w:t>
      </w:r>
      <w:r w:rsidRPr="007D5CED">
        <w:rPr>
          <w:lang w:val="en-GB"/>
        </w:rPr>
        <w:t>were:</w:t>
      </w:r>
    </w:p>
    <w:p w14:paraId="6709AC03" w14:textId="77777777" w:rsidR="007D5CED" w:rsidRPr="007D5CED" w:rsidRDefault="007D5CED" w:rsidP="00A3239A">
      <w:pPr>
        <w:pStyle w:val="ListBullet"/>
        <w:rPr>
          <w:lang w:val="en-GB"/>
        </w:rPr>
      </w:pPr>
      <w:r w:rsidRPr="007D5CED">
        <w:rPr>
          <w:lang w:val="en-GB"/>
        </w:rPr>
        <w:t>gender: young women compared to young men</w:t>
      </w:r>
    </w:p>
    <w:p w14:paraId="7918D836" w14:textId="4F38F9B0" w:rsidR="007D5CED" w:rsidRPr="007D5CED" w:rsidRDefault="007D5CED" w:rsidP="00A3239A">
      <w:pPr>
        <w:pStyle w:val="ListBullet"/>
        <w:rPr>
          <w:lang w:val="en-GB"/>
        </w:rPr>
      </w:pPr>
      <w:r w:rsidRPr="007D5CED">
        <w:rPr>
          <w:lang w:val="en-GB"/>
        </w:rPr>
        <w:t>sexuality: young respondents who were lesbian, gay, bisexual or pansexual, asexual, queer</w:t>
      </w:r>
      <w:r w:rsidR="00C02282">
        <w:rPr>
          <w:lang w:val="en-GB"/>
        </w:rPr>
        <w:t> </w:t>
      </w:r>
      <w:r w:rsidRPr="007D5CED">
        <w:rPr>
          <w:lang w:val="en-GB"/>
        </w:rPr>
        <w:t>or</w:t>
      </w:r>
      <w:r w:rsidR="00C02282">
        <w:rPr>
          <w:lang w:val="en-GB"/>
        </w:rPr>
        <w:t> </w:t>
      </w:r>
      <w:r w:rsidRPr="007D5CED">
        <w:rPr>
          <w:lang w:val="en-GB"/>
        </w:rPr>
        <w:t>sexuality-diverse compared to heterosexual young respondents</w:t>
      </w:r>
    </w:p>
    <w:p w14:paraId="492B89C0" w14:textId="77777777" w:rsidR="007D5CED" w:rsidRPr="007D5CED" w:rsidRDefault="007D5CED" w:rsidP="00A3239A">
      <w:pPr>
        <w:pStyle w:val="ListBullet"/>
        <w:rPr>
          <w:lang w:val="en-GB"/>
        </w:rPr>
      </w:pPr>
      <w:r w:rsidRPr="007D5CED">
        <w:rPr>
          <w:lang w:val="en-GB"/>
        </w:rPr>
        <w:t>language spoken at home: young respondents who spoke English at home compared to those who spoke a language other than English at home</w:t>
      </w:r>
    </w:p>
    <w:p w14:paraId="26506797" w14:textId="084A6885" w:rsidR="007D5CED" w:rsidRPr="007D5CED" w:rsidRDefault="007D5CED" w:rsidP="00A3239A">
      <w:pPr>
        <w:pStyle w:val="ListBullet"/>
        <w:rPr>
          <w:vertAlign w:val="superscript"/>
          <w:lang w:val="en-GB"/>
        </w:rPr>
      </w:pPr>
      <w:r w:rsidRPr="007D5CED">
        <w:rPr>
          <w:lang w:val="en-GB"/>
        </w:rPr>
        <w:t>country of birth: young respondents born in Australia compared to young respondents born in</w:t>
      </w:r>
      <w:r w:rsidR="00C02282">
        <w:rPr>
          <w:lang w:val="en-GB"/>
        </w:rPr>
        <w:t> </w:t>
      </w:r>
      <w:r w:rsidRPr="007D5CED">
        <w:rPr>
          <w:lang w:val="en-GB"/>
        </w:rPr>
        <w:t>a</w:t>
      </w:r>
      <w:r w:rsidR="00C02282">
        <w:rPr>
          <w:lang w:val="en-GB"/>
        </w:rPr>
        <w:t> </w:t>
      </w:r>
      <w:r w:rsidRPr="007D5CED">
        <w:rPr>
          <w:lang w:val="en-GB"/>
        </w:rPr>
        <w:t>non-main English–speaking country.</w:t>
      </w:r>
      <w:r w:rsidRPr="007D5CED">
        <w:rPr>
          <w:vertAlign w:val="superscript"/>
          <w:lang w:val="en-GB"/>
        </w:rPr>
        <w:footnoteReference w:id="48"/>
      </w:r>
    </w:p>
    <w:p w14:paraId="75A2C15A" w14:textId="77777777" w:rsidR="007D5CED" w:rsidRPr="007D5CED" w:rsidRDefault="007D5CED" w:rsidP="00A3239A">
      <w:pPr>
        <w:rPr>
          <w:lang w:val="en-GB"/>
        </w:rPr>
      </w:pPr>
      <w:r w:rsidRPr="007D5CED">
        <w:rPr>
          <w:lang w:val="en-GB"/>
        </w:rPr>
        <w:t>Regression analysis of the data for all respondents (Main report) revealed that attitudes towards gender inequality were the strongest predictor of attitudes to violence against women, with the AGIS Deny Inequality Subscale being the strongest of the subscale predictors. These models based on all respondents also revealed similar results for gender, sexuality, language spoken at home and country of birth.</w:t>
      </w:r>
    </w:p>
    <w:bookmarkStart w:id="220" w:name="_Toc152532420"/>
    <w:bookmarkStart w:id="221" w:name="_Toc190941706"/>
    <w:bookmarkStart w:id="222" w:name="_Toc190942406"/>
    <w:p w14:paraId="64B6B2BC" w14:textId="4FB650B5" w:rsidR="007D5CED" w:rsidRPr="00D32C21" w:rsidRDefault="00C02282" w:rsidP="008C29F3">
      <w:pPr>
        <w:pStyle w:val="H2SectionTitle"/>
      </w:pPr>
      <w:r>
        <w:rPr>
          <w:noProof/>
        </w:rPr>
        <w:lastRenderedPageBreak/>
        <mc:AlternateContent>
          <mc:Choice Requires="wps">
            <w:drawing>
              <wp:anchor distT="0" distB="0" distL="114300" distR="114300" simplePos="0" relativeHeight="251658264" behindDoc="0" locked="0" layoutInCell="1" allowOverlap="1" wp14:anchorId="371FBF58" wp14:editId="47829A4C">
                <wp:simplePos x="0" y="0"/>
                <wp:positionH relativeFrom="column">
                  <wp:posOffset>5124</wp:posOffset>
                </wp:positionH>
                <wp:positionV relativeFrom="paragraph">
                  <wp:posOffset>109</wp:posOffset>
                </wp:positionV>
                <wp:extent cx="382138" cy="382138"/>
                <wp:effectExtent l="0" t="0" r="0" b="0"/>
                <wp:wrapSquare wrapText="bothSides"/>
                <wp:docPr id="9763432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38EE1" id="Rectangle 2" o:spid="_x0000_s1026" alt="&quot;&quot;" style="position:absolute;margin-left:.4pt;margin-top:0;width:30.1pt;height:30.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10 </w:t>
      </w:r>
      <w:r w:rsidR="007D5CED" w:rsidRPr="00D32C21">
        <w:t>Implications for policy, practice and future research regarding young Australians</w:t>
      </w:r>
      <w:bookmarkEnd w:id="220"/>
      <w:bookmarkEnd w:id="221"/>
      <w:bookmarkEnd w:id="222"/>
    </w:p>
    <w:tbl>
      <w:tblPr>
        <w:tblStyle w:val="Yellowcalloutboxlayout"/>
        <w:tblW w:w="0" w:type="auto"/>
        <w:tblLayout w:type="fixed"/>
        <w:tblLook w:val="0000" w:firstRow="0" w:lastRow="0" w:firstColumn="0" w:lastColumn="0" w:noHBand="0" w:noVBand="0"/>
      </w:tblPr>
      <w:tblGrid>
        <w:gridCol w:w="8901"/>
      </w:tblGrid>
      <w:tr w:rsidR="007D5CED" w:rsidRPr="00EA1044" w14:paraId="538DB6D1" w14:textId="77777777" w:rsidTr="0064322A">
        <w:trPr>
          <w:trHeight w:val="60"/>
        </w:trPr>
        <w:tc>
          <w:tcPr>
            <w:tcW w:w="8901" w:type="dxa"/>
          </w:tcPr>
          <w:p w14:paraId="4FF3B5AE" w14:textId="5F8F3BEC" w:rsidR="007D5CED" w:rsidRPr="007D5CED" w:rsidRDefault="007D5CED" w:rsidP="007D5CED">
            <w:pPr>
              <w:suppressAutoHyphens/>
              <w:autoSpaceDE w:val="0"/>
              <w:autoSpaceDN w:val="0"/>
              <w:adjustRightInd w:val="0"/>
              <w:spacing w:before="0" w:after="113" w:line="340" w:lineRule="atLeast"/>
              <w:textAlignment w:val="center"/>
              <w:rPr>
                <w:rFonts w:ascii="Open Sans SemiBold" w:hAnsi="Open Sans SemiBold" w:cs="Open Sans SemiBold"/>
                <w:color w:val="000000"/>
                <w:kern w:val="0"/>
                <w:sz w:val="22"/>
                <w:szCs w:val="22"/>
                <w:lang w:val="en-GB"/>
              </w:rPr>
            </w:pPr>
            <w:r w:rsidRPr="007D5CED">
              <w:rPr>
                <w:rFonts w:ascii="Open Sans SemiBold" w:hAnsi="Open Sans SemiBold" w:cs="Open Sans SemiBold"/>
                <w:color w:val="000000"/>
                <w:kern w:val="0"/>
                <w:sz w:val="22"/>
                <w:szCs w:val="22"/>
                <w:lang w:val="en-GB"/>
              </w:rPr>
              <w:t>As this chapter details, the NCAS findings indicate that careful consideration needs to be given to the timing, setting and focus of</w:t>
            </w:r>
            <w:r w:rsidR="00C02282">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effective violence prevention strategies with young people. We</w:t>
            </w:r>
            <w:r w:rsidR="00C02282">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suggest that violence prevention initiatives with young people should begin in early childhood and continue into adulthood and should be conducted across multiple settings. The findings also highlight specific areas where prevention efforts should focus to</w:t>
            </w:r>
            <w:r w:rsidR="00C02282">
              <w:rPr>
                <w:rFonts w:ascii="Open Sans SemiBold" w:hAnsi="Open Sans SemiBold" w:cs="Open Sans SemiBold"/>
                <w:color w:val="000000"/>
                <w:kern w:val="0"/>
                <w:sz w:val="22"/>
                <w:szCs w:val="22"/>
                <w:lang w:val="en-GB"/>
              </w:rPr>
              <w:t> </w:t>
            </w:r>
            <w:r w:rsidRPr="007D5CED">
              <w:rPr>
                <w:rFonts w:ascii="Open Sans SemiBold" w:hAnsi="Open Sans SemiBold" w:cs="Open Sans SemiBold"/>
                <w:color w:val="000000"/>
                <w:kern w:val="0"/>
                <w:sz w:val="22"/>
                <w:szCs w:val="22"/>
                <w:lang w:val="en-GB"/>
              </w:rPr>
              <w:t>address gaps in young people’s understanding and challenge persisting harmful attitudes towards gender inequality and violence against women.</w:t>
            </w:r>
          </w:p>
        </w:tc>
      </w:tr>
    </w:tbl>
    <w:p w14:paraId="7D6C3FD2" w14:textId="3CD959FE" w:rsidR="00E06E76" w:rsidRDefault="00E06E76">
      <w:pPr>
        <w:spacing w:before="0" w:after="0" w:line="240" w:lineRule="auto"/>
        <w:rPr>
          <w:rFonts w:cs="Open Sans"/>
          <w:color w:val="000000"/>
          <w:kern w:val="0"/>
          <w:szCs w:val="18"/>
          <w:lang w:val="en-GB"/>
        </w:rPr>
      </w:pPr>
      <w:r>
        <w:rPr>
          <w:rFonts w:cs="Open Sans"/>
          <w:color w:val="000000"/>
          <w:kern w:val="0"/>
          <w:szCs w:val="18"/>
          <w:lang w:val="en-GB"/>
        </w:rPr>
        <w:br w:type="page"/>
      </w:r>
    </w:p>
    <w:p w14:paraId="3A8371BA" w14:textId="77777777" w:rsidR="007D5CED" w:rsidRPr="007D5CED" w:rsidRDefault="007D5CED" w:rsidP="007A49FC">
      <w:pPr>
        <w:rPr>
          <w:lang w:val="en-GB"/>
        </w:rPr>
      </w:pPr>
      <w:r w:rsidRPr="007D5CED">
        <w:rPr>
          <w:lang w:val="en-GB"/>
        </w:rPr>
        <w:lastRenderedPageBreak/>
        <w:t>It is well established that young people’s attitudes and beliefs are shaped by their experiences in the world around them, including by their peers and families, in communities and in institutional settings such as educational and vocational settings, as well as via media, digital and online technologies (Chandra-Mouli et al., 2017; Fox &amp; Potocki, 2016; Heyder et al., 2021; Kahlor, 2011). Given this broad context of influence, prevention strategies aiming to facilitate positive attitudes and understandings among young people regarding gender equality and violence against women need to be conducted across multiple settings to address any adverse influence of social norms, practices, structures and systems (Our Watch, 2021a). Further, in light of research demonstrating the early development of gender stereotypes and attitudes, primary prevention efforts focusing on children’s development from the age of three years have been recommended to mitigate gender inequity within educational and familial settings (Moura et al., 2023; Organisation for Economic Co</w:t>
      </w:r>
      <w:r w:rsidRPr="007D5CED">
        <w:rPr>
          <w:rFonts w:ascii="Cambria Math" w:hAnsi="Cambria Math" w:cs="Cambria Math"/>
          <w:lang w:val="en-GB"/>
        </w:rPr>
        <w:t>‑</w:t>
      </w:r>
      <w:r w:rsidRPr="007D5CED">
        <w:rPr>
          <w:lang w:val="en-GB"/>
        </w:rPr>
        <w:t>operation and Development, 2021).</w:t>
      </w:r>
    </w:p>
    <w:p w14:paraId="5FAED039" w14:textId="47402709" w:rsidR="007D5CED" w:rsidRPr="007D5CED" w:rsidRDefault="007D5CED" w:rsidP="007A49FC">
      <w:pPr>
        <w:rPr>
          <w:lang w:val="en-GB"/>
        </w:rPr>
      </w:pPr>
      <w:r w:rsidRPr="007D5CED">
        <w:rPr>
          <w:lang w:val="en-GB"/>
        </w:rPr>
        <w:t>In addition, it is important that efforts to prevent violence against women among young Australians are</w:t>
      </w:r>
      <w:r w:rsidR="00C02282">
        <w:rPr>
          <w:lang w:val="en-GB"/>
        </w:rPr>
        <w:t> </w:t>
      </w:r>
      <w:r w:rsidRPr="007D5CED">
        <w:rPr>
          <w:lang w:val="en-GB"/>
        </w:rPr>
        <w:t>framed with their particular social experiences and ways of engaging with the world in mind. For</w:t>
      </w:r>
      <w:r w:rsidR="00C02282">
        <w:rPr>
          <w:lang w:val="en-GB"/>
        </w:rPr>
        <w:t> </w:t>
      </w:r>
      <w:r w:rsidRPr="007D5CED">
        <w:rPr>
          <w:lang w:val="en-GB"/>
        </w:rPr>
        <w:t xml:space="preserve">example, the young Australians (aged 16 to 24 years) represented in this report are from the Gen Z cohort (ABS, 2021). This cohort grew up as digital natives, which, while not implying they are a homogenous group, means they often seamlessly integrate virtual and offline experiences and knowledge sources (Gentina &amp; Parry, 2021). Thus, prevention initiatives that include online and other digital components may be particularly useful for young Australians. </w:t>
      </w:r>
    </w:p>
    <w:p w14:paraId="50770AE0" w14:textId="70659BD1" w:rsidR="007D5CED" w:rsidRPr="007D5CED" w:rsidRDefault="007D5CED" w:rsidP="007A49FC">
      <w:pPr>
        <w:rPr>
          <w:lang w:val="en-GB"/>
        </w:rPr>
      </w:pPr>
      <w:r w:rsidRPr="007D5CED">
        <w:rPr>
          <w:lang w:val="en-GB"/>
        </w:rPr>
        <w:t>Prevention efforts with young Australians should also consider any recent shifts in the environments and contexts influencing this cohort. For example, according to the Australian Institute of Family Studies (2023), the COVID-19 pandemic and the subsequent cost of living crisis has resulted in young people remaining living with their parents for longer. Approximately 63 per cent of 19-year-olds were living with their parents in 2006, which increased to 72 per cent in 2021 (Australian Institute of Family Studies, 2023). Young people living with parents were more likely to be engaged in secondary, tertiary or vocational study than those who were not (Australian Institute of Family Studies, 2023). These</w:t>
      </w:r>
      <w:r w:rsidR="00C02282">
        <w:rPr>
          <w:lang w:val="en-GB"/>
        </w:rPr>
        <w:t> </w:t>
      </w:r>
      <w:r w:rsidRPr="007D5CED">
        <w:rPr>
          <w:lang w:val="en-GB"/>
        </w:rPr>
        <w:t>findings suggest that technical colleges and universities will be an important site for prevention initiatives aimed at young Australians while the cost of living remains high. It is critical that such initiatives with tertiary students are preceded by and build on intervention at earlier ages, given that recent research shows that children have clearly defined gender stereotypes by the age of five years (Organisation for Economic Co-operation and Development, 2021). Therefore, intervention in early childhood and school-aged settings are timely for beginning to address stereotyped ideas, attitudes and practices about gender roles and relationships that underpin gender inequalities and violence against women (Moura et al., 2023).</w:t>
      </w:r>
    </w:p>
    <w:p w14:paraId="01E909FF" w14:textId="7BE021C7" w:rsidR="007D5CED" w:rsidRPr="0073256E" w:rsidRDefault="007D5CED" w:rsidP="007A49FC">
      <w:pPr>
        <w:rPr>
          <w:rStyle w:val="Emphasis"/>
          <w:lang w:val="en-US"/>
        </w:rPr>
      </w:pPr>
      <w:r w:rsidRPr="007D5CED">
        <w:rPr>
          <w:lang w:val="en-GB"/>
        </w:rPr>
        <w:t>Many of the 2021 NCAS findings regarding young respondents’ understanding and attitudes regarding violence against women and gender inequality were similar to those for respondents of all ages outlined in the Main report. This pattern suggests that many of the factors influencing understanding and attitudes in the community as a whole also influence young Australians. Thus, it is important to</w:t>
      </w:r>
      <w:r w:rsidR="00C02282">
        <w:rPr>
          <w:lang w:val="en-GB"/>
        </w:rPr>
        <w:t> </w:t>
      </w:r>
      <w:r w:rsidRPr="007D5CED">
        <w:rPr>
          <w:lang w:val="en-GB"/>
        </w:rPr>
        <w:t>emphasise that most of the implications about ending violence against women detailed in</w:t>
      </w:r>
      <w:r w:rsidR="00C02282">
        <w:rPr>
          <w:lang w:val="en-GB"/>
        </w:rPr>
        <w:t> </w:t>
      </w:r>
      <w:r w:rsidRPr="007D5CED">
        <w:rPr>
          <w:lang w:val="en-GB"/>
        </w:rPr>
        <w:t>Chapter</w:t>
      </w:r>
      <w:r w:rsidR="00C02282">
        <w:rPr>
          <w:lang w:val="en-GB"/>
        </w:rPr>
        <w:t> </w:t>
      </w:r>
      <w:r w:rsidRPr="007D5CED">
        <w:rPr>
          <w:lang w:val="en-GB"/>
        </w:rPr>
        <w:t>10 of the Main report for Australians of all ages are also relevant for young Australians. To</w:t>
      </w:r>
      <w:r w:rsidR="00C02282">
        <w:rPr>
          <w:lang w:val="en-GB"/>
        </w:rPr>
        <w:t> </w:t>
      </w:r>
      <w:r w:rsidRPr="007D5CED">
        <w:rPr>
          <w:lang w:val="en-GB"/>
        </w:rPr>
        <w:t xml:space="preserve">avoid repetition, the present chapter refers the reader to the Main report for the detailed discussion of the implications that are relevant to both young Australians (16- to 24-year-olds) and Australians aged 25 years or older and focuses on </w:t>
      </w:r>
      <w:r w:rsidRPr="0073256E">
        <w:rPr>
          <w:rStyle w:val="Emphasis"/>
          <w:lang w:val="en-US"/>
        </w:rPr>
        <w:t xml:space="preserve">the </w:t>
      </w:r>
      <w:r w:rsidRPr="0013577A">
        <w:rPr>
          <w:rStyle w:val="Emphasis"/>
          <w:b/>
          <w:bCs/>
          <w:lang w:val="en-US"/>
        </w:rPr>
        <w:t>additional</w:t>
      </w:r>
      <w:r w:rsidRPr="0073256E">
        <w:rPr>
          <w:rStyle w:val="Emphasis"/>
          <w:lang w:val="en-US"/>
        </w:rPr>
        <w:t xml:space="preserve"> implications relevant to young people</w:t>
      </w:r>
      <w:r w:rsidRPr="007D5CED">
        <w:rPr>
          <w:lang w:val="en-GB"/>
        </w:rPr>
        <w:t xml:space="preserve"> arising from the unique results for young people. </w:t>
      </w:r>
      <w:r w:rsidRPr="0073256E">
        <w:rPr>
          <w:rStyle w:val="Emphasis"/>
          <w:lang w:val="en-US"/>
        </w:rPr>
        <w:t xml:space="preserve">Thus, the implications in the present report about young people’s understanding and attitudes regarding violence against women should be read as a </w:t>
      </w:r>
      <w:r w:rsidRPr="0013577A">
        <w:rPr>
          <w:rStyle w:val="Emphasis"/>
          <w:b/>
          <w:bCs/>
          <w:lang w:val="en-US"/>
        </w:rPr>
        <w:t>supplement</w:t>
      </w:r>
      <w:r w:rsidRPr="0073256E">
        <w:rPr>
          <w:rStyle w:val="Emphasis"/>
          <w:lang w:val="en-US"/>
        </w:rPr>
        <w:t xml:space="preserve"> to the relevant implications in the Main report.</w:t>
      </w:r>
    </w:p>
    <w:p w14:paraId="64312E36" w14:textId="198B8B6B" w:rsidR="007D5CED" w:rsidRPr="007D5CED" w:rsidRDefault="007D5CED" w:rsidP="007A49FC">
      <w:pPr>
        <w:rPr>
          <w:lang w:val="en-GB"/>
        </w:rPr>
      </w:pPr>
      <w:r w:rsidRPr="007D5CED">
        <w:rPr>
          <w:lang w:val="en-GB"/>
        </w:rPr>
        <w:t xml:space="preserve">The 2021 NCAS data is correlational. Thus, while the NCAS data can provide us with insights into young people’s understandings and attitudes, it cannot tell us </w:t>
      </w:r>
      <w:r w:rsidRPr="0073256E">
        <w:rPr>
          <w:rStyle w:val="Emphasis"/>
          <w:lang w:val="en-US"/>
        </w:rPr>
        <w:t xml:space="preserve">why </w:t>
      </w:r>
      <w:r w:rsidRPr="007D5CED">
        <w:rPr>
          <w:lang w:val="en-GB"/>
        </w:rPr>
        <w:t>young people have these understandings and attitudes. Effective prevention efforts with young people would be bolstered by qualitative research to gain further insight into the findings contained in this report. For example, concerning results from the 2017 NCAS about young Australians’ understanding of the gendered nature of</w:t>
      </w:r>
      <w:r w:rsidR="00C02282">
        <w:rPr>
          <w:lang w:val="en-GB"/>
        </w:rPr>
        <w:t> </w:t>
      </w:r>
      <w:r w:rsidRPr="007D5CED">
        <w:rPr>
          <w:lang w:val="en-GB"/>
        </w:rPr>
        <w:t>domestic violence were unpacked in a qualitative study by Carlisle et al., (2022). This study found that</w:t>
      </w:r>
      <w:r w:rsidR="00C02282">
        <w:rPr>
          <w:lang w:val="en-GB"/>
        </w:rPr>
        <w:t> </w:t>
      </w:r>
      <w:r w:rsidRPr="007D5CED">
        <w:rPr>
          <w:lang w:val="en-GB"/>
        </w:rPr>
        <w:t>young people’s rejection of the gendered nature of domestic violence was based on notions of</w:t>
      </w:r>
      <w:r w:rsidR="00C02282">
        <w:rPr>
          <w:lang w:val="en-GB"/>
        </w:rPr>
        <w:t> </w:t>
      </w:r>
      <w:r w:rsidRPr="007D5CED">
        <w:rPr>
          <w:lang w:val="en-GB"/>
        </w:rPr>
        <w:t xml:space="preserve">“fairness” and treating all individuals the same (Carlisle et al., 2022). The participants conceptualised domestic violence through a “gender-ignoring lens” influenced by an idealised notion of gender equality rather than through an understanding of the existing structural inequalities that result in women being the predominant victims of domestic violence. The qualitative findings of the study elucidate the need for education initiatives targeting young people’s understanding of the </w:t>
      </w:r>
      <w:r w:rsidRPr="007D5CED">
        <w:rPr>
          <w:lang w:val="en-GB"/>
        </w:rPr>
        <w:lastRenderedPageBreak/>
        <w:t>gendered nature of domestic violence, the structural inequalities underlying violence against women and the difference between equity versus equality. Thus, the implications from the 2021 NCAS about young Australians’ understanding and attitudes regarding violence against women could be complemented by further qualitative research that delves more deeply into the NCAS findings to provide additional insights about specific areas for prevention initiatives.</w:t>
      </w:r>
    </w:p>
    <w:p w14:paraId="4DC6BEC3" w14:textId="1B3A75CF" w:rsidR="007D5CED" w:rsidRPr="007D5CED" w:rsidRDefault="007D5CED" w:rsidP="00DC3FE8">
      <w:pPr>
        <w:pStyle w:val="Heading3"/>
      </w:pPr>
      <w:bookmarkStart w:id="223" w:name="_Toc152532421"/>
      <w:bookmarkStart w:id="224" w:name="_Toc190941707"/>
      <w:bookmarkStart w:id="225" w:name="_Toc190942407"/>
      <w:r w:rsidRPr="007D5CED">
        <w:t>10.1</w:t>
      </w:r>
      <w:r w:rsidR="0064322A">
        <w:t xml:space="preserve"> </w:t>
      </w:r>
      <w:r w:rsidRPr="007D5CED">
        <w:t>High-level implications for young people</w:t>
      </w:r>
      <w:bookmarkEnd w:id="223"/>
      <w:bookmarkEnd w:id="224"/>
      <w:bookmarkEnd w:id="225"/>
    </w:p>
    <w:p w14:paraId="5C9113F5" w14:textId="77777777" w:rsidR="007D5CED" w:rsidRPr="007D5CED" w:rsidRDefault="007D5CED" w:rsidP="0084332B">
      <w:pPr>
        <w:pStyle w:val="Heading4"/>
      </w:pPr>
      <w:r w:rsidRPr="007D5CED">
        <w:t>Begin violence prevention early because understanding and attitudes develop early</w:t>
      </w:r>
    </w:p>
    <w:p w14:paraId="44B78508" w14:textId="0BCC19BE" w:rsidR="007D5CED" w:rsidRPr="007D5CED" w:rsidRDefault="007D5CED" w:rsidP="007A49FC">
      <w:pPr>
        <w:rPr>
          <w:lang w:val="en-GB"/>
        </w:rPr>
      </w:pPr>
      <w:r w:rsidRPr="007D5CED">
        <w:rPr>
          <w:lang w:val="en-GB"/>
        </w:rPr>
        <w:t>The finding that young Australians and Australians aged 25 years or older have many similar understandings and attitudes regarding violence against women and gender inequality supports research demonstrating that gender socialisation begins in early childhood and continues to</w:t>
      </w:r>
      <w:r w:rsidR="00C02282">
        <w:rPr>
          <w:lang w:val="en-GB"/>
        </w:rPr>
        <w:t> </w:t>
      </w:r>
      <w:r w:rsidRPr="007D5CED">
        <w:rPr>
          <w:lang w:val="en-GB"/>
        </w:rPr>
        <w:t>be</w:t>
      </w:r>
      <w:r w:rsidR="00C02282">
        <w:rPr>
          <w:lang w:val="en-GB"/>
        </w:rPr>
        <w:t> </w:t>
      </w:r>
      <w:r w:rsidRPr="007D5CED">
        <w:rPr>
          <w:lang w:val="en-GB"/>
        </w:rPr>
        <w:t>constructed in adolescence (Moura et al., 2023). Evidence of the early development of</w:t>
      </w:r>
      <w:r w:rsidR="00C02282">
        <w:rPr>
          <w:lang w:val="en-GB"/>
        </w:rPr>
        <w:t> </w:t>
      </w:r>
      <w:r w:rsidRPr="007D5CED">
        <w:rPr>
          <w:lang w:val="en-GB"/>
        </w:rPr>
        <w:t>gender</w:t>
      </w:r>
      <w:r w:rsidR="00C02282">
        <w:rPr>
          <w:lang w:val="en-GB"/>
        </w:rPr>
        <w:noBreakHyphen/>
      </w:r>
      <w:r w:rsidRPr="007D5CED">
        <w:rPr>
          <w:lang w:val="en-GB"/>
        </w:rPr>
        <w:t>stereotyped beliefs, attitudes and gender roles supports parenting- and schools-based primary prevention initiatives with children from the age of three (Moura et al., 2023; Organisation for</w:t>
      </w:r>
      <w:r w:rsidR="00C02282">
        <w:rPr>
          <w:lang w:val="en-GB"/>
        </w:rPr>
        <w:t> </w:t>
      </w:r>
      <w:r w:rsidRPr="007D5CED">
        <w:rPr>
          <w:lang w:val="en-GB"/>
        </w:rPr>
        <w:t>Economic Co-operation and Development, 2021). For example, gender-transformative parenting models aim to</w:t>
      </w:r>
      <w:r w:rsidR="00C02282">
        <w:rPr>
          <w:lang w:val="en-GB"/>
        </w:rPr>
        <w:t> </w:t>
      </w:r>
      <w:r w:rsidRPr="007D5CED">
        <w:rPr>
          <w:lang w:val="en-GB"/>
        </w:rPr>
        <w:t>shift inequitable gender norms and power dynamics in the family and increase caregiving among fathers (Henry et al., 2020; van der Gaag et al., 2019). There is strong global evidence that such programs can improve parent–child interactions, reduce child maltreatment and abusive punishment, and prevent violence in adolescence (Coore Desai et al., 2017; Heise, 2011; Kerr-Wilson et</w:t>
      </w:r>
      <w:r w:rsidR="00C02282" w:rsidRPr="00EA1044">
        <w:rPr>
          <w:lang w:val="en-AU"/>
        </w:rPr>
        <w:t> </w:t>
      </w:r>
      <w:r w:rsidRPr="007D5CED">
        <w:rPr>
          <w:lang w:val="en-GB"/>
        </w:rPr>
        <w:t xml:space="preserve">al., 2020; Saran et al., 2021; Stern et al., 2023). There is also emerging evidence that such programs can reduce the experience and perpetration of intimate partner violence (Digolo et al., 2019). </w:t>
      </w:r>
    </w:p>
    <w:p w14:paraId="4F775461" w14:textId="7ECA93A8" w:rsidR="007D5CED" w:rsidRPr="007D5CED" w:rsidRDefault="007D5CED" w:rsidP="007A49FC">
      <w:pPr>
        <w:rPr>
          <w:lang w:val="en-GB"/>
        </w:rPr>
      </w:pPr>
      <w:r w:rsidRPr="007D5CED">
        <w:rPr>
          <w:lang w:val="en-GB"/>
        </w:rPr>
        <w:t>This high-level implication is consistent with the prevention initiative already commenced by the Australian Government regarding consent and respectful relationships education (RRE). This</w:t>
      </w:r>
      <w:r w:rsidR="00C02282">
        <w:rPr>
          <w:lang w:val="en-GB"/>
        </w:rPr>
        <w:t> </w:t>
      </w:r>
      <w:r w:rsidRPr="007D5CED">
        <w:rPr>
          <w:lang w:val="en-GB"/>
        </w:rPr>
        <w:t>initiative</w:t>
      </w:r>
      <w:r w:rsidR="00C02282">
        <w:rPr>
          <w:lang w:val="en-GB"/>
        </w:rPr>
        <w:t> </w:t>
      </w:r>
      <w:r w:rsidRPr="007D5CED">
        <w:rPr>
          <w:lang w:val="en-GB"/>
        </w:rPr>
        <w:t>includes:</w:t>
      </w:r>
    </w:p>
    <w:p w14:paraId="2FECEA3A" w14:textId="6D5E7AB6" w:rsidR="007D5CED" w:rsidRPr="007D5CED" w:rsidRDefault="007D5CED" w:rsidP="006F1EB8">
      <w:pPr>
        <w:pStyle w:val="ListBullet"/>
        <w:rPr>
          <w:lang w:val="en-GB"/>
        </w:rPr>
      </w:pPr>
      <w:r w:rsidRPr="007D5CED">
        <w:rPr>
          <w:lang w:val="en-GB"/>
        </w:rPr>
        <w:t>the Australia-wide mandate to teach consent and respectful relationships explicitly in an age-appropriate way throughout primary and secondary school via an updated Australian Foundation to</w:t>
      </w:r>
      <w:r w:rsidR="00C02282">
        <w:rPr>
          <w:lang w:val="en-GB"/>
        </w:rPr>
        <w:t> </w:t>
      </w:r>
      <w:r w:rsidRPr="007D5CED">
        <w:rPr>
          <w:lang w:val="en-GB"/>
        </w:rPr>
        <w:t>Year 10 Curriculum (Version 9.0) (Visentin &amp; Chrysanthos, 2022)</w:t>
      </w:r>
    </w:p>
    <w:p w14:paraId="2EE27682" w14:textId="77777777" w:rsidR="007D5CED" w:rsidRPr="007D5CED" w:rsidRDefault="007D5CED" w:rsidP="006F1EB8">
      <w:pPr>
        <w:pStyle w:val="ListBullet"/>
        <w:rPr>
          <w:lang w:val="en-GB"/>
        </w:rPr>
      </w:pPr>
      <w:r w:rsidRPr="007D5CED">
        <w:rPr>
          <w:lang w:val="en-GB"/>
        </w:rPr>
        <w:t>the commitment in the 2022–2023 Budget of $83.5 million over four years for the Respectful Relationships Education Program (Department of Education, 2023)</w:t>
      </w:r>
    </w:p>
    <w:p w14:paraId="40E91EFC" w14:textId="77777777" w:rsidR="007D5CED" w:rsidRPr="006114D5" w:rsidRDefault="007D5CED" w:rsidP="006F1EB8">
      <w:pPr>
        <w:pStyle w:val="ListBullet"/>
        <w:rPr>
          <w:spacing w:val="-4"/>
          <w:lang w:val="en-GB"/>
        </w:rPr>
      </w:pPr>
      <w:r w:rsidRPr="006114D5">
        <w:rPr>
          <w:spacing w:val="-4"/>
          <w:lang w:val="en-GB"/>
        </w:rPr>
        <w:t>the appointment of a National Respectful Relationships Education Expert Working Group to support the delivery of RRE in schools through national collaboration (Ministers of the Education Portfolio, 2023).</w:t>
      </w:r>
    </w:p>
    <w:p w14:paraId="4A568782" w14:textId="6BE9F727" w:rsidR="007D5CED" w:rsidRPr="007D5CED" w:rsidRDefault="007D5CED" w:rsidP="006F1EB8">
      <w:pPr>
        <w:rPr>
          <w:lang w:val="en-GB"/>
        </w:rPr>
      </w:pPr>
      <w:r w:rsidRPr="007D5CED">
        <w:rPr>
          <w:lang w:val="en-GB"/>
        </w:rPr>
        <w:t>Other ANROWS research in this area supports further measures regarding RRE, including ensuring adequate time, space and support are provided for RRE in the curriculum and school timetables, and taking a school-wide or “whole-of-school” approach that ensures all members of the school community, including parents and carers, feel respected and included (Cahill et al., 2023). The available evidence suggests that RRE is a promising intervention for reducing violence against women if it addresses the drivers of this violence via an age-appropriate curriculum, takes a whole-of-school approach, includes professional learning support for teachers and involves cross-sectoral collaboration and coordination (Jaime et al., 2018; Meyer &amp; Leonardi, 2020; Our Watch, 2021d, 2023a; Weingarten et al., 2018; Williams</w:t>
      </w:r>
      <w:r w:rsidR="006114D5">
        <w:rPr>
          <w:lang w:val="en-GB"/>
        </w:rPr>
        <w:t> </w:t>
      </w:r>
      <w:r w:rsidRPr="007D5CED">
        <w:rPr>
          <w:lang w:val="en-GB"/>
        </w:rPr>
        <w:t>&amp; Rueda, 2018). Ongoing evaluation of RRE is also important to inform its continuous improvement (for</w:t>
      </w:r>
      <w:r w:rsidR="006114D5">
        <w:rPr>
          <w:lang w:val="en-GB"/>
        </w:rPr>
        <w:t> </w:t>
      </w:r>
      <w:r w:rsidRPr="007D5CED">
        <w:rPr>
          <w:lang w:val="en-GB"/>
        </w:rPr>
        <w:t xml:space="preserve">evaluations to date, see ANROWS, 2023; Our Watch, 2023a). </w:t>
      </w:r>
    </w:p>
    <w:p w14:paraId="74995785" w14:textId="77777777" w:rsidR="007D5CED" w:rsidRPr="007D5CED" w:rsidRDefault="007D5CED" w:rsidP="0084332B">
      <w:pPr>
        <w:pStyle w:val="Heading4"/>
      </w:pPr>
      <w:r w:rsidRPr="007D5CED">
        <w:t>Continue prevention efforts throughout the formative years in an age-appropriate way</w:t>
      </w:r>
    </w:p>
    <w:p w14:paraId="39BF8C97" w14:textId="6B4927B8" w:rsidR="007D5CED"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The NCAS findings indicate that understanding and attitudes are not uniform among young Australians, with 16- to 17-year-olds lagging behind 18- to 24-year-olds in a number of respects. Compared</w:t>
      </w:r>
      <w:r w:rsidR="006114D5">
        <w:rPr>
          <w:rFonts w:cs="Open Sans"/>
          <w:color w:val="000000"/>
          <w:kern w:val="0"/>
          <w:szCs w:val="18"/>
          <w:lang w:val="en-GB"/>
        </w:rPr>
        <w:t> </w:t>
      </w:r>
      <w:r w:rsidRPr="007D5CED">
        <w:rPr>
          <w:rFonts w:cs="Open Sans"/>
          <w:color w:val="000000"/>
          <w:kern w:val="0"/>
          <w:szCs w:val="18"/>
          <w:lang w:val="en-GB"/>
        </w:rPr>
        <w:t>to</w:t>
      </w:r>
      <w:r w:rsidR="006114D5">
        <w:rPr>
          <w:rFonts w:cs="Open Sans"/>
          <w:color w:val="000000"/>
          <w:kern w:val="0"/>
          <w:szCs w:val="18"/>
          <w:lang w:val="en-GB"/>
        </w:rPr>
        <w:t> </w:t>
      </w:r>
      <w:r w:rsidRPr="007D5CED">
        <w:rPr>
          <w:rFonts w:cs="Open Sans"/>
          <w:color w:val="000000"/>
          <w:kern w:val="0"/>
          <w:szCs w:val="18"/>
          <w:lang w:val="en-GB"/>
        </w:rPr>
        <w:t>18-</w:t>
      </w:r>
      <w:r w:rsidR="006114D5">
        <w:rPr>
          <w:rFonts w:cs="Open Sans"/>
          <w:color w:val="000000"/>
          <w:kern w:val="0"/>
          <w:szCs w:val="18"/>
          <w:lang w:val="en-GB"/>
        </w:rPr>
        <w:t> </w:t>
      </w:r>
      <w:r w:rsidRPr="007D5CED">
        <w:rPr>
          <w:rFonts w:cs="Open Sans"/>
          <w:color w:val="000000"/>
          <w:kern w:val="0"/>
          <w:szCs w:val="18"/>
          <w:lang w:val="en-GB"/>
        </w:rPr>
        <w:t>to</w:t>
      </w:r>
      <w:r w:rsidR="006114D5">
        <w:rPr>
          <w:rFonts w:cs="Open Sans"/>
          <w:color w:val="000000"/>
          <w:kern w:val="0"/>
          <w:szCs w:val="18"/>
          <w:lang w:val="en-GB"/>
        </w:rPr>
        <w:t> </w:t>
      </w:r>
      <w:r w:rsidRPr="007D5CED">
        <w:rPr>
          <w:rFonts w:cs="Open Sans"/>
          <w:color w:val="000000"/>
          <w:kern w:val="0"/>
          <w:szCs w:val="18"/>
          <w:lang w:val="en-GB"/>
        </w:rPr>
        <w:t>24-year-olds, 16- to 17-year-olds demonstrated:</w:t>
      </w:r>
    </w:p>
    <w:p w14:paraId="04815FB1" w14:textId="77777777" w:rsidR="007D5CED" w:rsidRPr="007D5CED" w:rsidRDefault="007D5CED" w:rsidP="006F1EB8">
      <w:pPr>
        <w:pStyle w:val="ListBullet"/>
        <w:rPr>
          <w:lang w:val="en-GB"/>
        </w:rPr>
      </w:pPr>
      <w:r w:rsidRPr="007D5CED">
        <w:rPr>
          <w:lang w:val="en-GB"/>
        </w:rPr>
        <w:t>significantly weaker rejection of violence against women (based on the AVAWS overall, all three AVAWS subscales and all type of violence scales)</w:t>
      </w:r>
    </w:p>
    <w:p w14:paraId="7240ACD0" w14:textId="77777777" w:rsidR="007D5CED" w:rsidRPr="007D5CED" w:rsidRDefault="007D5CED" w:rsidP="006F1EB8">
      <w:pPr>
        <w:pStyle w:val="ListBullet"/>
        <w:rPr>
          <w:lang w:val="en-GB"/>
        </w:rPr>
      </w:pPr>
      <w:r w:rsidRPr="007D5CED">
        <w:rPr>
          <w:lang w:val="en-GB"/>
        </w:rPr>
        <w:t>areas of significantly weaker understanding of violence against women (1 of 3 UVAWS subscales)</w:t>
      </w:r>
    </w:p>
    <w:p w14:paraId="3632AB83" w14:textId="77777777" w:rsidR="007D5CED" w:rsidRPr="007D5CED" w:rsidRDefault="007D5CED" w:rsidP="006F1EB8">
      <w:pPr>
        <w:pStyle w:val="ListBullet"/>
        <w:rPr>
          <w:lang w:val="en-GB"/>
        </w:rPr>
      </w:pPr>
      <w:r w:rsidRPr="007D5CED">
        <w:rPr>
          <w:lang w:val="en-GB"/>
        </w:rPr>
        <w:lastRenderedPageBreak/>
        <w:t xml:space="preserve">areas of significantly weaker rejection of gender inequality (2 of 5 AGIS subscales). </w:t>
      </w:r>
    </w:p>
    <w:p w14:paraId="50EA957C" w14:textId="53494197" w:rsidR="007D5CED" w:rsidRPr="007D5CED" w:rsidRDefault="007D5CED" w:rsidP="006F1EB8">
      <w:pPr>
        <w:rPr>
          <w:lang w:val="en-GB"/>
        </w:rPr>
      </w:pPr>
      <w:r w:rsidRPr="007D5CED">
        <w:rPr>
          <w:lang w:val="en-GB"/>
        </w:rPr>
        <w:t>Accordingly, 16- to 17-year-olds’ responses on some individual items indicated that their rejection of</w:t>
      </w:r>
      <w:r w:rsidR="006114D5">
        <w:rPr>
          <w:lang w:val="en-GB"/>
        </w:rPr>
        <w:t> </w:t>
      </w:r>
      <w:r w:rsidRPr="007D5CED">
        <w:rPr>
          <w:lang w:val="en-GB"/>
        </w:rPr>
        <w:t xml:space="preserve">violence was less certain or weaker than that of 18- to 24-year-old respondents. </w:t>
      </w:r>
    </w:p>
    <w:p w14:paraId="5275882B" w14:textId="77777777" w:rsidR="007D5CED" w:rsidRPr="007D5CED" w:rsidRDefault="007D5CED" w:rsidP="006F1EB8">
      <w:pPr>
        <w:rPr>
          <w:lang w:val="en-GB"/>
        </w:rPr>
      </w:pPr>
      <w:r w:rsidRPr="007D5CED">
        <w:rPr>
          <w:lang w:val="en-GB"/>
        </w:rPr>
        <w:t>These NCAS findings that 16- to 17-year-olds lagged behind 18- to 24-year-olds in some areas indicate that understanding and attitudes regarding gender inequality and violence continue to change and mature throughout adolescence and young adulthood. Thus, primary prevention initiatives with young people should be conducted throughout the formative years and into adulthood and should be tailored appropriately by age. For example, the present findings cohere with other ANROWS research that makes a strong case for extending the RRE curriculum beyond Years 3 to 10 to address the changing additional complexities and opportunities young people face in their intimate relationships (Australian Curriculum Assessment and Reporting Authority, 2023; Cahill et al., 2023). RRE in schools presents a unique opportunity to reach all young people. Nonetheless, a more wholistic approach to violence prevention with young people would involve supplementing RRE with other types of violence prevention initiatives, such as positive parenting, online social marketing and communications, and community mobilisation (Abramsky et al., 2016; D’Ambrosi et al., 2018; Minckas et al., 2020; Saran et al., 2021; Stern et al., 2023).</w:t>
      </w:r>
    </w:p>
    <w:p w14:paraId="01F5B676" w14:textId="0B215EE3" w:rsidR="007D5CED" w:rsidRPr="007D5CED" w:rsidRDefault="007D5CED" w:rsidP="006F1EB8">
      <w:pPr>
        <w:rPr>
          <w:lang w:val="en-GB"/>
        </w:rPr>
      </w:pPr>
      <w:r w:rsidRPr="007D5CED">
        <w:rPr>
          <w:lang w:val="en-GB"/>
        </w:rPr>
        <w:t>The importance of violence prevention efforts with young people throughout their formative years is</w:t>
      </w:r>
      <w:r w:rsidR="006114D5" w:rsidRPr="00EA1044">
        <w:rPr>
          <w:lang w:val="en-AU"/>
        </w:rPr>
        <w:t> </w:t>
      </w:r>
      <w:r w:rsidRPr="007D5CED">
        <w:rPr>
          <w:lang w:val="en-GB"/>
        </w:rPr>
        <w:t>consistent with the National Plan 2022–2032 focus on the prevention</w:t>
      </w:r>
      <w:r w:rsidR="006F1EB8">
        <w:rPr>
          <w:lang w:val="en-GB"/>
        </w:rPr>
        <w:t xml:space="preserve"> </w:t>
      </w:r>
      <w:r w:rsidRPr="007D5CED">
        <w:rPr>
          <w:lang w:val="en-GB"/>
        </w:rPr>
        <w:t>of first use of violence through the strengthening of positive, equal and respectful relationships for young Australians (DSS, 2022).</w:t>
      </w:r>
    </w:p>
    <w:p w14:paraId="4A65825E" w14:textId="3C66312C" w:rsidR="007D5CED" w:rsidRPr="007D5CED" w:rsidRDefault="007D5CED" w:rsidP="0084332B">
      <w:pPr>
        <w:pStyle w:val="Heading4"/>
      </w:pPr>
      <w:r w:rsidRPr="007D5CED">
        <w:t>Work across genders and particularly with boys and men to address gender differences</w:t>
      </w:r>
    </w:p>
    <w:p w14:paraId="33471E27" w14:textId="77777777" w:rsidR="007D5CED" w:rsidRPr="007D5CED" w:rsidRDefault="007D5CED" w:rsidP="006F1EB8">
      <w:pPr>
        <w:rPr>
          <w:lang w:val="en-GB"/>
        </w:rPr>
      </w:pPr>
      <w:r w:rsidRPr="007D5CED">
        <w:rPr>
          <w:lang w:val="en-GB"/>
        </w:rPr>
        <w:t>Consistent gender differences on many of the 2021 NCAS scales, subscales and items were found for both young respondents and the full NCAS sample (Main report). These gender differences saw young women consistently demonstrating significantly more “advanced” attitudes and understandings than young men. Young non-binary respondents also occasionally demonstrated significantly better attitudes than young men. These findings suggest that prevention efforts must consider the driving factors that may be influencing these gendered differences, as well as the tailored approaches that may be required to meaningfully engage young men, women and non-binary people. The Main report (Section 10.2, pp. 261–263) presents implications relevant to gender differences.</w:t>
      </w:r>
    </w:p>
    <w:p w14:paraId="4A5C8C05" w14:textId="49D3E59B" w:rsidR="007D5CED" w:rsidRPr="007D5CED" w:rsidRDefault="007D5CED" w:rsidP="006F1EB8">
      <w:pPr>
        <w:rPr>
          <w:lang w:val="en-GB"/>
        </w:rPr>
      </w:pPr>
      <w:r w:rsidRPr="007D5CED">
        <w:rPr>
          <w:lang w:val="en-GB"/>
        </w:rPr>
        <w:t>Other ANROWS research in this area suggests delivering RRE with collaborative learning tasks designed to mix students across friendship groups and gender divides (Cahill et al., 2023). Collaborative learning activities engage students actively and can shift understanding and attitudes towards positive peer norms by leveraging the diversity of attitudes across genders and friendship groups, rather than reinforcing problematic attitudes that may be shared within gender and friendship groups. The</w:t>
      </w:r>
      <w:r w:rsidR="006114D5">
        <w:rPr>
          <w:lang w:val="en-GB"/>
        </w:rPr>
        <w:t> </w:t>
      </w:r>
      <w:r w:rsidRPr="007D5CED">
        <w:rPr>
          <w:lang w:val="en-GB"/>
        </w:rPr>
        <w:t>research demonstrated that teachers need professional learning support in both content delivery and program methods to use collaborative learning activities rather than teacher-centric approaches (Cahill et al., 2023). A gap analysis of Australian RRE approaches identified the importance of</w:t>
      </w:r>
      <w:r w:rsidR="006114D5">
        <w:rPr>
          <w:lang w:val="en-GB"/>
        </w:rPr>
        <w:t> </w:t>
      </w:r>
      <w:r w:rsidRPr="007D5CED">
        <w:rPr>
          <w:lang w:val="en-GB"/>
        </w:rPr>
        <w:t xml:space="preserve">professional development that equips teachers with the knowledge and skills to confidently deliver this content (Pfitzner et al., 2022). </w:t>
      </w:r>
    </w:p>
    <w:p w14:paraId="5B746B17" w14:textId="131745AE" w:rsidR="007D5CED" w:rsidRPr="007D5CED" w:rsidRDefault="007D5CED" w:rsidP="006F1EB8">
      <w:pPr>
        <w:rPr>
          <w:lang w:val="en-GB"/>
        </w:rPr>
      </w:pPr>
      <w:r w:rsidRPr="007D5CED">
        <w:rPr>
          <w:lang w:val="en-GB"/>
        </w:rPr>
        <w:t>Recognition of teachers’ learning and support needs falls under a whole-of-school approach that views schools as workplaces, communities and places of learning (Our Watch, 2021c). Adopting this approach involves engagement with the overlapping domains underlying the social climate (e.g. school culture, environment, policies and practices, and modelling of relationships and gender role expectations to</w:t>
      </w:r>
      <w:r w:rsidR="006114D5">
        <w:rPr>
          <w:lang w:val="en-GB"/>
        </w:rPr>
        <w:t> </w:t>
      </w:r>
      <w:r w:rsidRPr="007D5CED">
        <w:rPr>
          <w:lang w:val="en-GB"/>
        </w:rPr>
        <w:t xml:space="preserve">students by parents, staff and community groups; Our Watch, 2021c). Evaluations of primary prevention programs with school students consistently link program effectiveness and sustainability with stakeholder involvement, suggesting that a whole-of-school approach is critical for program success (Lester et al., 2017; Savasuk-Luxton et al., 2018; Tancred et al., 2018). </w:t>
      </w:r>
    </w:p>
    <w:p w14:paraId="56ADE9A3" w14:textId="308E02DD" w:rsidR="006F1EB8" w:rsidRPr="006F1EB8" w:rsidRDefault="007D5CED" w:rsidP="005A15A9">
      <w:pPr>
        <w:rPr>
          <w:lang w:val="en-GB"/>
        </w:rPr>
      </w:pPr>
      <w:r w:rsidRPr="007D5CED">
        <w:rPr>
          <w:lang w:val="en-GB"/>
        </w:rPr>
        <w:t>Young people are also influenced by activities, social groups and communities outside of school. Therefore, community organisations that young people access should also be encouraged to examine how they model gender equality, call out disrespect and discourage violence. Some learnings from school interventions could be applicable to community organisations, especially those that provide further education, mentorship or training.</w:t>
      </w:r>
    </w:p>
    <w:p w14:paraId="23CE9B4B" w14:textId="2CC63674" w:rsidR="007D5CED" w:rsidRPr="007D5CED" w:rsidRDefault="007D5CED" w:rsidP="00DC3FE8">
      <w:pPr>
        <w:pStyle w:val="Heading3"/>
      </w:pPr>
      <w:bookmarkStart w:id="226" w:name="_Toc152532422"/>
      <w:bookmarkStart w:id="227" w:name="_Toc190941708"/>
      <w:bookmarkStart w:id="228" w:name="_Toc190942408"/>
      <w:r w:rsidRPr="007D5CED">
        <w:lastRenderedPageBreak/>
        <w:t>10.2</w:t>
      </w:r>
      <w:r w:rsidR="00023C3A">
        <w:t xml:space="preserve"> </w:t>
      </w:r>
      <w:r w:rsidRPr="007D5CED">
        <w:t>Benchmarking young people’s understanding and attitudes</w:t>
      </w:r>
      <w:bookmarkEnd w:id="226"/>
      <w:bookmarkEnd w:id="227"/>
      <w:bookmarkEnd w:id="228"/>
    </w:p>
    <w:tbl>
      <w:tblPr>
        <w:tblW w:w="5000" w:type="pct"/>
        <w:tblCellMar>
          <w:left w:w="0" w:type="dxa"/>
          <w:right w:w="0" w:type="dxa"/>
        </w:tblCellMar>
        <w:tblLook w:val="0000" w:firstRow="0" w:lastRow="0" w:firstColumn="0" w:lastColumn="0" w:noHBand="0" w:noVBand="0"/>
      </w:tblPr>
      <w:tblGrid>
        <w:gridCol w:w="9638"/>
      </w:tblGrid>
      <w:tr w:rsidR="007D5CED" w:rsidRPr="00EA1044" w14:paraId="159C89B4" w14:textId="77777777" w:rsidTr="005A15A9">
        <w:trPr>
          <w:trHeight w:val="60"/>
        </w:trPr>
        <w:tc>
          <w:tcPr>
            <w:tcW w:w="5000" w:type="pct"/>
            <w:shd w:val="clear" w:color="auto" w:fill="FEF5D5"/>
            <w:tcMar>
              <w:top w:w="283" w:type="dxa"/>
              <w:left w:w="227" w:type="dxa"/>
              <w:bottom w:w="340" w:type="dxa"/>
              <w:right w:w="227" w:type="dxa"/>
            </w:tcMar>
          </w:tcPr>
          <w:p w14:paraId="482855E7" w14:textId="19582FD4" w:rsidR="007D5CED" w:rsidRPr="007D5CED" w:rsidRDefault="007D5CED" w:rsidP="00DC3FE8">
            <w:pPr>
              <w:pStyle w:val="Heading4nospacing"/>
            </w:pPr>
            <w:r w:rsidRPr="007D5CED">
              <w:t>Key findings</w:t>
            </w:r>
          </w:p>
          <w:p w14:paraId="4E744799" w14:textId="77777777" w:rsidR="007D5CED" w:rsidRPr="007D5CED" w:rsidRDefault="007D5CED" w:rsidP="0084332B">
            <w:pPr>
              <w:pStyle w:val="Heading5"/>
            </w:pPr>
            <w:r w:rsidRPr="007D5CED">
              <w:t>Similarities in benchmarking findings for young and other respondents</w:t>
            </w:r>
          </w:p>
          <w:p w14:paraId="5DEB99C3" w14:textId="6E80EFB2" w:rsidR="007D5CED"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For young Australians, consistent with all Australians more generally (Main report), positive shifts in</w:t>
            </w:r>
            <w:r w:rsidR="006114D5">
              <w:rPr>
                <w:rFonts w:cs="Open Sans"/>
                <w:color w:val="000000"/>
                <w:kern w:val="0"/>
                <w:szCs w:val="18"/>
                <w:lang w:val="en-GB"/>
              </w:rPr>
              <w:t> </w:t>
            </w:r>
            <w:r w:rsidRPr="007D5CED">
              <w:rPr>
                <w:rFonts w:cs="Open Sans"/>
                <w:color w:val="000000"/>
                <w:kern w:val="0"/>
                <w:szCs w:val="18"/>
                <w:lang w:val="en-GB"/>
              </w:rPr>
              <w:t xml:space="preserve">understanding of violence against women and attitudes towards this violence and gender inequality are occurring slowly. For both young respondents and respondents of all ages: </w:t>
            </w:r>
          </w:p>
          <w:p w14:paraId="3276BE3C" w14:textId="77777777" w:rsidR="007D5CED" w:rsidRPr="007D5CED" w:rsidRDefault="007D5CED" w:rsidP="005A15A9">
            <w:pPr>
              <w:pStyle w:val="ListBullet"/>
              <w:rPr>
                <w:lang w:val="en-GB"/>
              </w:rPr>
            </w:pPr>
            <w:r w:rsidRPr="007D5CED">
              <w:rPr>
                <w:lang w:val="en-GB"/>
              </w:rPr>
              <w:t>All NCAS attitude and understanding scales showed significant improvement in 2021 compared to one or more previous years (2017, 2013 or 2009).</w:t>
            </w:r>
          </w:p>
          <w:p w14:paraId="106CC8F5" w14:textId="77777777" w:rsidR="007D5CED" w:rsidRPr="007D5CED" w:rsidRDefault="007D5CED" w:rsidP="005A15A9">
            <w:pPr>
              <w:pStyle w:val="ListBullet"/>
              <w:rPr>
                <w:lang w:val="en-GB"/>
              </w:rPr>
            </w:pPr>
            <w:r w:rsidRPr="007D5CED">
              <w:rPr>
                <w:lang w:val="en-GB"/>
              </w:rPr>
              <w:t xml:space="preserve">Between 2017 and 2021, understanding of violence against women, rejection of gender inequality and rejection of sexual violence significantly improved, but attitudes towards domestic violence plateaued. </w:t>
            </w:r>
          </w:p>
          <w:p w14:paraId="38662B95" w14:textId="1D02A51C" w:rsidR="007D5CED" w:rsidRPr="007D5CED" w:rsidRDefault="007D5CED" w:rsidP="005A15A9">
            <w:pPr>
              <w:pStyle w:val="ListBullet"/>
              <w:rPr>
                <w:lang w:val="en-GB"/>
              </w:rPr>
            </w:pPr>
            <w:r w:rsidRPr="007D5CED">
              <w:rPr>
                <w:lang w:val="en-GB"/>
              </w:rPr>
              <w:t>In 2021, levels of understanding of violence against women were comparable with levels of</w:t>
            </w:r>
            <w:r w:rsidR="006114D5">
              <w:rPr>
                <w:lang w:val="en-GB"/>
              </w:rPr>
              <w:t> </w:t>
            </w:r>
            <w:r w:rsidRPr="007D5CED">
              <w:rPr>
                <w:lang w:val="en-GB"/>
              </w:rPr>
              <w:t>rejection of gender inequality and violence against women.</w:t>
            </w:r>
          </w:p>
          <w:p w14:paraId="42A2BF08" w14:textId="7114C8B3" w:rsidR="007D5CED" w:rsidRPr="007D5CED" w:rsidRDefault="007D5CED" w:rsidP="005A15A9">
            <w:pPr>
              <w:pStyle w:val="ListBullet"/>
              <w:rPr>
                <w:lang w:val="en-GB"/>
              </w:rPr>
            </w:pPr>
            <w:r w:rsidRPr="007D5CED">
              <w:rPr>
                <w:lang w:val="en-GB"/>
              </w:rPr>
              <w:t>In 2021, understanding that violence against women is a problem in Australia was higher than understanding that this violence also occurs in one’s local area.</w:t>
            </w:r>
          </w:p>
          <w:p w14:paraId="78876FD1" w14:textId="77777777" w:rsidR="007D5CED" w:rsidRPr="007D5CED" w:rsidRDefault="007D5CED" w:rsidP="005A15A9">
            <w:pPr>
              <w:pStyle w:val="ListBullet"/>
              <w:rPr>
                <w:lang w:val="en-GB"/>
              </w:rPr>
            </w:pPr>
            <w:r w:rsidRPr="007D5CED">
              <w:rPr>
                <w:lang w:val="en-GB"/>
              </w:rPr>
              <w:t>Further positive change is needed to achieve more progressive understanding and attitudes across the Australian population.</w:t>
            </w:r>
          </w:p>
          <w:p w14:paraId="7ED9A3ED" w14:textId="77777777" w:rsidR="007D5CED" w:rsidRPr="007D5CED" w:rsidRDefault="007D5CED" w:rsidP="0084332B">
            <w:pPr>
              <w:pStyle w:val="Heading5"/>
            </w:pPr>
            <w:r w:rsidRPr="007D5CED">
              <w:t>Differences in benchmarking findings between young and other respondents</w:t>
            </w:r>
          </w:p>
          <w:p w14:paraId="7E72B6CD" w14:textId="77777777" w:rsidR="007D5CED" w:rsidRPr="007D5CED" w:rsidRDefault="007D5CED" w:rsidP="005A15A9">
            <w:pPr>
              <w:rPr>
                <w:lang w:val="en-GB"/>
              </w:rPr>
            </w:pPr>
            <w:r w:rsidRPr="007D5CED">
              <w:rPr>
                <w:lang w:val="en-GB"/>
              </w:rPr>
              <w:t>There were also a couple of differences between young respondents and other respondents in the benchmarking results:</w:t>
            </w:r>
          </w:p>
          <w:p w14:paraId="783AC83F" w14:textId="77777777" w:rsidR="007D5CED" w:rsidRDefault="007D5CED" w:rsidP="005A15A9">
            <w:pPr>
              <w:pStyle w:val="ListBullet"/>
              <w:rPr>
                <w:lang w:val="en-GB"/>
              </w:rPr>
            </w:pPr>
            <w:r w:rsidRPr="007D5CED">
              <w:rPr>
                <w:lang w:val="en-GB"/>
              </w:rPr>
              <w:t>Although rejection of violence against women significantly improved over the longer term for all NCAS respondents, this rejection continued to significantly improve between 2017 and 2021 for young respondents but plateaued for all NCAS respondents.</w:t>
            </w:r>
          </w:p>
          <w:p w14:paraId="392683D6" w14:textId="022100F7" w:rsidR="005A15A9" w:rsidRPr="007D5CED" w:rsidRDefault="005A15A9" w:rsidP="005A15A9">
            <w:pPr>
              <w:pStyle w:val="ListBullet"/>
              <w:rPr>
                <w:lang w:val="en-GB"/>
              </w:rPr>
            </w:pPr>
            <w:r w:rsidRPr="007D5CED">
              <w:rPr>
                <w:lang w:val="en-GB"/>
              </w:rPr>
              <w:t>Although Australians of all ages could substantially improve their understanding that violence against women occurs in their own suburb or town, this understanding was significantly higher for young respondents than respondents aged 25 years</w:t>
            </w:r>
            <w:r w:rsidRPr="007D5CED">
              <w:rPr>
                <w:lang w:val="en-US"/>
              </w:rPr>
              <w:t xml:space="preserve"> or older </w:t>
            </w:r>
            <w:r w:rsidRPr="007D5CED">
              <w:rPr>
                <w:lang w:val="en-GB"/>
              </w:rPr>
              <w:t>in 2021.</w:t>
            </w:r>
          </w:p>
        </w:tc>
      </w:tr>
    </w:tbl>
    <w:p w14:paraId="4874C966" w14:textId="52A414C3" w:rsidR="007D5CED" w:rsidRPr="007D5CED" w:rsidRDefault="007D5CED" w:rsidP="0084332B">
      <w:pPr>
        <w:pStyle w:val="Heading4"/>
      </w:pPr>
      <w:r w:rsidRPr="007D5CED">
        <w:t>Implications</w:t>
      </w:r>
    </w:p>
    <w:p w14:paraId="435F190F" w14:textId="2851DE86" w:rsidR="007D5CED" w:rsidRPr="007D5CED" w:rsidRDefault="007D5CED" w:rsidP="005A15A9">
      <w:pPr>
        <w:rPr>
          <w:lang w:val="en-GB"/>
        </w:rPr>
      </w:pPr>
      <w:r w:rsidRPr="007D5CED">
        <w:rPr>
          <w:lang w:val="en-GB"/>
        </w:rPr>
        <w:t>Implications relevant to the benchmarking findings that were similar for young respondents and</w:t>
      </w:r>
      <w:r w:rsidR="006114D5">
        <w:rPr>
          <w:lang w:val="en-GB"/>
        </w:rPr>
        <w:t> </w:t>
      </w:r>
      <w:r w:rsidRPr="007D5CED">
        <w:rPr>
          <w:lang w:val="en-GB"/>
        </w:rPr>
        <w:t>respondents aged 25 years or older are discussed in the Main report (pp. 238–239). Unique</w:t>
      </w:r>
      <w:r w:rsidR="006114D5">
        <w:rPr>
          <w:lang w:val="en-GB"/>
        </w:rPr>
        <w:t> </w:t>
      </w:r>
      <w:r w:rsidRPr="007D5CED">
        <w:rPr>
          <w:lang w:val="en-GB"/>
        </w:rPr>
        <w:t>implications for young Australians are as follows.</w:t>
      </w:r>
    </w:p>
    <w:p w14:paraId="32512779" w14:textId="77777777" w:rsidR="007D5CED" w:rsidRPr="007D5CED" w:rsidRDefault="007D5CED" w:rsidP="0084332B">
      <w:pPr>
        <w:pStyle w:val="Heading5"/>
      </w:pPr>
      <w:r w:rsidRPr="007D5CED">
        <w:t>Investigate drivers of continued improvement in young people’s rejection of violence against women</w:t>
      </w:r>
    </w:p>
    <w:p w14:paraId="6E640A52" w14:textId="77777777" w:rsidR="007D5CED" w:rsidRPr="007D5CED" w:rsidRDefault="007D5CED" w:rsidP="005A15A9">
      <w:pPr>
        <w:rPr>
          <w:lang w:val="en-GB"/>
        </w:rPr>
      </w:pPr>
      <w:r w:rsidRPr="007D5CED">
        <w:rPr>
          <w:lang w:val="en-GB"/>
        </w:rPr>
        <w:t>Further investigation could help to identify the drivers behind the continued improvement in young people’s rejection of violence against women between 2017 and 2021. Identifying these drivers could help facilitate further improvement in young people’s rejection of violence. In addition, these drivers may be able to be leveraged to also improve rejection of violence by all Australians.</w:t>
      </w:r>
    </w:p>
    <w:p w14:paraId="0EECE2EE" w14:textId="77777777" w:rsidR="007D5CED" w:rsidRPr="007D5CED" w:rsidRDefault="007D5CED" w:rsidP="0084332B">
      <w:pPr>
        <w:pStyle w:val="Heading5"/>
      </w:pPr>
      <w:r w:rsidRPr="007D5CED">
        <w:t xml:space="preserve">Investigate and support young people’s recognition that violence is a problem in their local area </w:t>
      </w:r>
    </w:p>
    <w:p w14:paraId="30CA70BF" w14:textId="0FAA9CC4" w:rsidR="007D5CED" w:rsidRPr="007D5CED" w:rsidRDefault="007D5CED" w:rsidP="005A15A9">
      <w:pPr>
        <w:rPr>
          <w:lang w:val="en-GB"/>
        </w:rPr>
      </w:pPr>
      <w:r w:rsidRPr="007D5CED">
        <w:rPr>
          <w:lang w:val="en-GB"/>
        </w:rPr>
        <w:t>Young people’s higher recognition that violence against women happens in their own suburb or town compared to Australians aged 25 years or older suggests greater awareness of violence against women as a concern that is close to home for young people. Further research could investigate the factors underlying this higher recognition and whether certain contexts, settings and relationships have an</w:t>
      </w:r>
      <w:r w:rsidR="006114D5">
        <w:rPr>
          <w:lang w:val="en-GB"/>
        </w:rPr>
        <w:t> </w:t>
      </w:r>
      <w:r w:rsidRPr="007D5CED">
        <w:rPr>
          <w:lang w:val="en-GB"/>
        </w:rPr>
        <w:t xml:space="preserve">impact. Understanding </w:t>
      </w:r>
      <w:r w:rsidRPr="007D5CED">
        <w:rPr>
          <w:lang w:val="en-GB"/>
        </w:rPr>
        <w:lastRenderedPageBreak/>
        <w:t>the reasons why some people better recognise that violence occurs locally and in their networks could inform the framing and focus of initiatives to increase awareness and action to address violence against women.</w:t>
      </w:r>
    </w:p>
    <w:p w14:paraId="61541046" w14:textId="7C93156C" w:rsidR="007D5CED" w:rsidRPr="007D5CED" w:rsidRDefault="007D5CED" w:rsidP="005A15A9">
      <w:pPr>
        <w:rPr>
          <w:lang w:val="en-GB"/>
        </w:rPr>
      </w:pPr>
      <w:r w:rsidRPr="007D5CED">
        <w:rPr>
          <w:lang w:val="en-GB"/>
        </w:rPr>
        <w:t>As outlined in the Main report, lower recognition that violence against women happens everywhere, including in one’s own networks, could deter responsiveness and prosocial bystander interaction. The</w:t>
      </w:r>
      <w:r w:rsidR="006114D5">
        <w:rPr>
          <w:lang w:val="en-GB"/>
        </w:rPr>
        <w:t> </w:t>
      </w:r>
      <w:r w:rsidRPr="007D5CED">
        <w:rPr>
          <w:lang w:val="en-GB"/>
        </w:rPr>
        <w:t>Main report</w:t>
      </w:r>
      <w:r w:rsidR="005A15A9">
        <w:rPr>
          <w:lang w:val="en-GB"/>
        </w:rPr>
        <w:t xml:space="preserve"> </w:t>
      </w:r>
      <w:r w:rsidRPr="007D5CED">
        <w:rPr>
          <w:lang w:val="en-GB"/>
        </w:rPr>
        <w:t>(p. 239) suggests that more work is needed to “personalise” violence against women by</w:t>
      </w:r>
      <w:r w:rsidR="006114D5">
        <w:rPr>
          <w:lang w:val="en-GB"/>
        </w:rPr>
        <w:t> </w:t>
      </w:r>
      <w:r w:rsidRPr="007D5CED">
        <w:rPr>
          <w:lang w:val="en-GB"/>
        </w:rPr>
        <w:t>emphasising that it can occur in any family, social group, workplace, institution or other setting, and sometimes occurs without wide recognition and visibility. Violence against women is therefore everyone’s problem and everyone’s responsibility. Raising awareness across settings that violence against women is a shared social problem, such as via discussions of the dynamics of abuse and victimisation and use of local prevalence data, may facilitate a sense of responsibility to act both individually and collectively.</w:t>
      </w:r>
      <w:r w:rsidRPr="007D5CED">
        <w:rPr>
          <w:vertAlign w:val="superscript"/>
          <w:lang w:val="en-GB"/>
        </w:rPr>
        <w:footnoteReference w:id="49"/>
      </w:r>
    </w:p>
    <w:p w14:paraId="710132CE" w14:textId="41D726F8" w:rsidR="007D5CED" w:rsidRPr="007D5CED" w:rsidRDefault="007D5CED" w:rsidP="00DC3FE8">
      <w:pPr>
        <w:pStyle w:val="Heading3"/>
      </w:pPr>
      <w:bookmarkStart w:id="229" w:name="_Toc152532423"/>
      <w:bookmarkStart w:id="230" w:name="_Toc190941709"/>
      <w:bookmarkStart w:id="231" w:name="_Toc190942409"/>
      <w:r w:rsidRPr="007D5CED">
        <w:t>10.3</w:t>
      </w:r>
      <w:r w:rsidR="0064322A">
        <w:t xml:space="preserve"> </w:t>
      </w:r>
      <w:r w:rsidRPr="007D5CED">
        <w:t>Young people’s understanding of violence against women</w:t>
      </w:r>
      <w:r w:rsidR="00DC3FE8">
        <w:t xml:space="preserve"> </w:t>
      </w:r>
      <w:r w:rsidRPr="007D5CED">
        <w:t>(UVAWS)</w:t>
      </w:r>
      <w:bookmarkEnd w:id="229"/>
      <w:bookmarkEnd w:id="230"/>
      <w:bookmarkEnd w:id="231"/>
    </w:p>
    <w:tbl>
      <w:tblPr>
        <w:tblW w:w="5000" w:type="pct"/>
        <w:tblCellMar>
          <w:left w:w="0" w:type="dxa"/>
          <w:right w:w="0" w:type="dxa"/>
        </w:tblCellMar>
        <w:tblLook w:val="0000" w:firstRow="0" w:lastRow="0" w:firstColumn="0" w:lastColumn="0" w:noHBand="0" w:noVBand="0"/>
      </w:tblPr>
      <w:tblGrid>
        <w:gridCol w:w="9638"/>
      </w:tblGrid>
      <w:tr w:rsidR="007D5CED" w:rsidRPr="00EA1044" w14:paraId="1DEF7A95" w14:textId="77777777" w:rsidTr="00DC3FE8">
        <w:trPr>
          <w:trHeight w:val="20"/>
        </w:trPr>
        <w:tc>
          <w:tcPr>
            <w:tcW w:w="5000" w:type="pct"/>
            <w:shd w:val="clear" w:color="auto" w:fill="FEF5D5"/>
            <w:tcMar>
              <w:top w:w="283" w:type="dxa"/>
              <w:left w:w="227" w:type="dxa"/>
              <w:bottom w:w="340" w:type="dxa"/>
              <w:right w:w="227" w:type="dxa"/>
            </w:tcMar>
          </w:tcPr>
          <w:p w14:paraId="5606FFD2" w14:textId="77777777" w:rsidR="007D5CED" w:rsidRPr="007D5CED" w:rsidRDefault="007D5CED" w:rsidP="00DC3FE8">
            <w:pPr>
              <w:pStyle w:val="Heading4nospacing"/>
            </w:pPr>
            <w:r w:rsidRPr="007D5CED">
              <w:t>Key findings</w:t>
            </w:r>
          </w:p>
          <w:p w14:paraId="65910636" w14:textId="77777777" w:rsidR="007D5CED" w:rsidRPr="007D5CED" w:rsidRDefault="007D5CED" w:rsidP="0084332B">
            <w:pPr>
              <w:pStyle w:val="Heading5"/>
            </w:pPr>
            <w:r w:rsidRPr="007D5CED">
              <w:t>Similarities in understanding between young and other respondents</w:t>
            </w:r>
          </w:p>
          <w:p w14:paraId="07A8272D" w14:textId="77777777" w:rsidR="007D5CED" w:rsidRPr="007D5CED" w:rsidRDefault="007D5CED" w:rsidP="005A15A9">
            <w:pPr>
              <w:rPr>
                <w:lang w:val="en-GB"/>
              </w:rPr>
            </w:pPr>
            <w:r w:rsidRPr="007D5CED">
              <w:rPr>
                <w:lang w:val="en-GB"/>
              </w:rPr>
              <w:t>There are many similarities between young Australians and Australians of all ages in terms of their understanding of violence against women. Specifically, young respondents, like all NCAS respondents:</w:t>
            </w:r>
          </w:p>
          <w:p w14:paraId="58F3AFDB" w14:textId="77777777" w:rsidR="007D5CED" w:rsidRPr="007D5CED" w:rsidRDefault="007D5CED" w:rsidP="005A15A9">
            <w:pPr>
              <w:pStyle w:val="ListBullet"/>
              <w:rPr>
                <w:lang w:val="en-GB"/>
              </w:rPr>
            </w:pPr>
            <w:r w:rsidRPr="007D5CED">
              <w:rPr>
                <w:lang w:val="en-GB"/>
              </w:rPr>
              <w:t xml:space="preserve">showed significant improvements in 2021 compared to previous years in understanding of violence against women </w:t>
            </w:r>
          </w:p>
          <w:p w14:paraId="17AE3B7A" w14:textId="77777777" w:rsidR="007D5CED" w:rsidRPr="007D5CED" w:rsidRDefault="007D5CED" w:rsidP="005A15A9">
            <w:pPr>
              <w:pStyle w:val="ListBullet"/>
              <w:rPr>
                <w:lang w:val="en-GB"/>
              </w:rPr>
            </w:pPr>
            <w:r w:rsidRPr="007D5CED">
              <w:rPr>
                <w:lang w:val="en-GB"/>
              </w:rPr>
              <w:t>recognised that domestic violence and violence against women more broadly can manifest as a diverse range of physical and non-physical behaviours</w:t>
            </w:r>
          </w:p>
          <w:p w14:paraId="122C85C6" w14:textId="77777777" w:rsidR="007D5CED" w:rsidRPr="007D5CED" w:rsidRDefault="007D5CED" w:rsidP="005A15A9">
            <w:pPr>
              <w:pStyle w:val="ListBullet"/>
              <w:rPr>
                <w:lang w:val="en-GB"/>
              </w:rPr>
            </w:pPr>
            <w:r w:rsidRPr="007D5CED">
              <w:rPr>
                <w:lang w:val="en-GB"/>
              </w:rPr>
              <w:t>had higher recognition of physical forms of domestic violence than:</w:t>
            </w:r>
          </w:p>
          <w:p w14:paraId="5114B739" w14:textId="77777777" w:rsidR="007D5CED" w:rsidRPr="005A15A9" w:rsidRDefault="007D5CED" w:rsidP="00C30B77">
            <w:pPr>
              <w:pStyle w:val="ListBullet2"/>
            </w:pPr>
            <w:r w:rsidRPr="005A15A9">
              <w:t>non-physical forms of domestic violence such as emotional abuse, financial abuse, technology-facilitated abuse and controlling behaviours</w:t>
            </w:r>
          </w:p>
          <w:p w14:paraId="2472E3B0" w14:textId="77777777" w:rsidR="007D5CED" w:rsidRDefault="007D5CED" w:rsidP="00C30B77">
            <w:pPr>
              <w:pStyle w:val="ListBullet2"/>
            </w:pPr>
            <w:r w:rsidRPr="007D5CED">
              <w:t>forms of domestic violence involving exploitation of aspects of a partner’s identity or experience, such as disability, sexual diversity, religion and migrant status</w:t>
            </w:r>
          </w:p>
          <w:p w14:paraId="22C5EBB0" w14:textId="13B1C8E0" w:rsidR="00B85B00" w:rsidRPr="006114D5" w:rsidRDefault="00B85B00" w:rsidP="006114D5">
            <w:pPr>
              <w:pStyle w:val="ListBullet"/>
              <w:rPr>
                <w:lang w:val="en-GB"/>
              </w:rPr>
            </w:pPr>
            <w:r w:rsidRPr="007D5CED">
              <w:rPr>
                <w:lang w:val="en-GB"/>
              </w:rPr>
              <w:t>had lower understanding of the gendered nature of domestic violence in 2021 than in 2009 and 2013, with considerable room for improvement.</w:t>
            </w:r>
            <w:r w:rsidRPr="007D5CED">
              <w:rPr>
                <w:vertAlign w:val="superscript"/>
                <w:lang w:val="en-GB"/>
              </w:rPr>
              <w:footnoteReference w:id="50"/>
            </w:r>
          </w:p>
        </w:tc>
      </w:tr>
      <w:tr w:rsidR="006114D5" w:rsidRPr="00EA1044" w14:paraId="3D0484D1" w14:textId="77777777" w:rsidTr="00DC3FE8">
        <w:trPr>
          <w:trHeight w:val="2987"/>
        </w:trPr>
        <w:tc>
          <w:tcPr>
            <w:tcW w:w="5000" w:type="pct"/>
            <w:shd w:val="clear" w:color="auto" w:fill="FEF5D5"/>
            <w:tcMar>
              <w:top w:w="283" w:type="dxa"/>
              <w:left w:w="227" w:type="dxa"/>
              <w:bottom w:w="340" w:type="dxa"/>
              <w:right w:w="227" w:type="dxa"/>
            </w:tcMar>
          </w:tcPr>
          <w:p w14:paraId="7D724668" w14:textId="77777777" w:rsidR="006114D5" w:rsidRPr="007D5CED" w:rsidRDefault="006114D5" w:rsidP="00DC3FE8">
            <w:pPr>
              <w:pStyle w:val="Heading4nospacing"/>
            </w:pPr>
            <w:r w:rsidRPr="007D5CED">
              <w:lastRenderedPageBreak/>
              <w:t>Differences in understanding between young and other respondents</w:t>
            </w:r>
          </w:p>
          <w:p w14:paraId="24040FE6" w14:textId="77777777" w:rsidR="006114D5" w:rsidRPr="007D5CED" w:rsidRDefault="006114D5" w:rsidP="006114D5">
            <w:pPr>
              <w:rPr>
                <w:lang w:val="en-GB"/>
              </w:rPr>
            </w:pPr>
            <w:r w:rsidRPr="007D5CED">
              <w:rPr>
                <w:lang w:val="en-GB"/>
              </w:rPr>
              <w:t>Although there is substantial room for improvement</w:t>
            </w:r>
            <w:r>
              <w:rPr>
                <w:lang w:val="en-GB"/>
              </w:rPr>
              <w:t xml:space="preserve"> </w:t>
            </w:r>
            <w:r w:rsidRPr="007D5CED">
              <w:rPr>
                <w:lang w:val="en-GB"/>
              </w:rPr>
              <w:t>in the understanding of violence against women across all age groups, a few key findings indicated lower understanding for young respondents than others. Compared to respondents aged 25 years or older, young respondents</w:t>
            </w:r>
            <w:r>
              <w:rPr>
                <w:lang w:val="en-GB"/>
              </w:rPr>
              <w:t> </w:t>
            </w:r>
            <w:r w:rsidRPr="007D5CED">
              <w:rPr>
                <w:lang w:val="en-GB"/>
              </w:rPr>
              <w:t>were:</w:t>
            </w:r>
          </w:p>
          <w:p w14:paraId="4AE2B7CE" w14:textId="77777777" w:rsidR="006114D5" w:rsidRPr="007D5CED" w:rsidRDefault="006114D5" w:rsidP="006114D5">
            <w:pPr>
              <w:pStyle w:val="ListBullet"/>
              <w:rPr>
                <w:lang w:val="en-GB"/>
              </w:rPr>
            </w:pPr>
            <w:r w:rsidRPr="007D5CED">
              <w:rPr>
                <w:lang w:val="en-GB"/>
              </w:rPr>
              <w:t>significantly less likely to demonstrate “advanced” understanding, displaying significantly lower understanding based on the UVAWS and all its subscales. For example, young respondents were:</w:t>
            </w:r>
          </w:p>
          <w:p w14:paraId="76B23E16" w14:textId="77777777" w:rsidR="006114D5" w:rsidRPr="007D5CED" w:rsidRDefault="006114D5" w:rsidP="00C30B77">
            <w:pPr>
              <w:pStyle w:val="ListBullet2"/>
            </w:pPr>
            <w:r w:rsidRPr="007D5CED">
              <w:t>significantly more likely to think that men and women are equally likely to experience fear as a result of domestic violence (</w:t>
            </w:r>
            <w:r w:rsidRPr="007D5CED">
              <w:rPr>
                <w:lang w:val="en-US"/>
              </w:rPr>
              <w:t xml:space="preserve">Understand </w:t>
            </w:r>
            <w:r w:rsidRPr="007D5CED">
              <w:t>Gendered DV Subscale)</w:t>
            </w:r>
          </w:p>
          <w:p w14:paraId="22FF73A7" w14:textId="2F04D38B" w:rsidR="006114D5" w:rsidRPr="007D5CED" w:rsidRDefault="006114D5" w:rsidP="00C30B77">
            <w:pPr>
              <w:pStyle w:val="ListBullet2"/>
            </w:pPr>
            <w:r w:rsidRPr="007D5CED">
              <w:t>significantly less likely to recognise technology-facilitated abuse involving harassment via repeated emails, text messages and so on as a form of violence against women (Recognise VAW Subscale).</w:t>
            </w:r>
          </w:p>
        </w:tc>
      </w:tr>
    </w:tbl>
    <w:p w14:paraId="374CE335" w14:textId="77777777" w:rsidR="007D5CED" w:rsidRPr="007D5CED" w:rsidRDefault="007D5CED" w:rsidP="0084332B">
      <w:pPr>
        <w:pStyle w:val="Heading4"/>
      </w:pPr>
      <w:r w:rsidRPr="007D5CED">
        <w:t>Implications</w:t>
      </w:r>
    </w:p>
    <w:p w14:paraId="1BB52805" w14:textId="0FDD8ABA" w:rsidR="007D5CED" w:rsidRPr="007D5CED" w:rsidRDefault="007D5CED" w:rsidP="00B85B00">
      <w:pPr>
        <w:rPr>
          <w:lang w:val="en-GB"/>
        </w:rPr>
      </w:pPr>
      <w:r w:rsidRPr="007D5CED">
        <w:rPr>
          <w:lang w:val="en-GB"/>
        </w:rPr>
        <w:t>Implications for the findings regarding understanding of violence against women that were similar for</w:t>
      </w:r>
      <w:r w:rsidR="006114D5">
        <w:rPr>
          <w:lang w:val="en-GB"/>
        </w:rPr>
        <w:t> </w:t>
      </w:r>
      <w:r w:rsidRPr="007D5CED">
        <w:rPr>
          <w:lang w:val="en-GB"/>
        </w:rPr>
        <w:t>young respondents and respondents aged 25 years or older are discussed in the Main report (pp.</w:t>
      </w:r>
      <w:r w:rsidR="006114D5">
        <w:rPr>
          <w:lang w:val="en-GB"/>
        </w:rPr>
        <w:t> </w:t>
      </w:r>
      <w:r w:rsidRPr="007D5CED">
        <w:rPr>
          <w:lang w:val="en-GB"/>
        </w:rPr>
        <w:t>239</w:t>
      </w:r>
      <w:r w:rsidR="006114D5">
        <w:rPr>
          <w:lang w:val="en-GB"/>
        </w:rPr>
        <w:noBreakHyphen/>
      </w:r>
      <w:r w:rsidRPr="007D5CED">
        <w:rPr>
          <w:lang w:val="en-GB"/>
        </w:rPr>
        <w:t>242). Unique implications for young Australians are discussed below.</w:t>
      </w:r>
    </w:p>
    <w:p w14:paraId="492137C4" w14:textId="7BD0AD9C" w:rsidR="007D5CED" w:rsidRPr="007D5CED" w:rsidRDefault="007D5CED" w:rsidP="00B85B00">
      <w:pPr>
        <w:rPr>
          <w:lang w:val="en-GB"/>
        </w:rPr>
      </w:pPr>
      <w:r w:rsidRPr="007D5CED">
        <w:rPr>
          <w:lang w:val="en-GB"/>
        </w:rPr>
        <w:t>The finding that fewer young respondents had an “advanced” understanding of violence against women compared to Australians aged 25 years or older highlights a need to support the development of young</w:t>
      </w:r>
      <w:r w:rsidR="00B85B00">
        <w:rPr>
          <w:lang w:val="en-GB"/>
        </w:rPr>
        <w:t xml:space="preserve"> </w:t>
      </w:r>
      <w:r w:rsidRPr="007D5CED">
        <w:rPr>
          <w:lang w:val="en-GB"/>
        </w:rPr>
        <w:t xml:space="preserve">people’s understanding. The NCAS findings identified particular areas to target in young people’s understanding of the gendered nature of domestic violence and their recognition of harassment via repeated electronic messages as violence against women. </w:t>
      </w:r>
    </w:p>
    <w:p w14:paraId="1A653F82" w14:textId="77777777" w:rsidR="007D5CED" w:rsidRPr="007D5CED" w:rsidRDefault="007D5CED" w:rsidP="00B85B00">
      <w:pPr>
        <w:rPr>
          <w:lang w:val="en-GB"/>
        </w:rPr>
      </w:pPr>
      <w:r w:rsidRPr="007D5CED">
        <w:rPr>
          <w:lang w:val="en-GB"/>
        </w:rPr>
        <w:t>Qualitative ANROWS research into young people’s understanding of violence against women suggests that young people may be prone to a gender-ignoring bias and to rationalising violence as “care and concern” (Carlisle et al., 2022). Implications regarding these two possibilities are outlined below.</w:t>
      </w:r>
    </w:p>
    <w:p w14:paraId="394227E2" w14:textId="77777777" w:rsidR="007D5CED" w:rsidRPr="007D5CED" w:rsidRDefault="007D5CED" w:rsidP="0084332B">
      <w:pPr>
        <w:pStyle w:val="Heading5"/>
      </w:pPr>
      <w:r w:rsidRPr="007D5CED">
        <w:t>Challenge gender-ignoring biases by highlighting pervasive gendered differences in structures and systems</w:t>
      </w:r>
    </w:p>
    <w:p w14:paraId="3A00D1C8" w14:textId="77777777" w:rsidR="007D5CED" w:rsidRPr="007D5CED" w:rsidRDefault="007D5CED" w:rsidP="00B85B00">
      <w:pPr>
        <w:rPr>
          <w:lang w:val="en-GB"/>
        </w:rPr>
      </w:pPr>
      <w:r w:rsidRPr="007D5CED">
        <w:rPr>
          <w:lang w:val="en-GB"/>
        </w:rPr>
        <w:t xml:space="preserve">The UVAWS findings suggest that young people may have a gender-ignoring bias. Although this gender-ignoring bias was suggested to explain population-level results in the Main report, it may also be uniquely expressed and experienced by young people. </w:t>
      </w:r>
    </w:p>
    <w:p w14:paraId="4C7CC6D6" w14:textId="3D3E1675" w:rsidR="007D5CED" w:rsidRPr="007D5CED" w:rsidRDefault="007D5CED" w:rsidP="00B85B00">
      <w:pPr>
        <w:rPr>
          <w:lang w:val="en-GB"/>
        </w:rPr>
      </w:pPr>
      <w:r w:rsidRPr="007D5CED">
        <w:rPr>
          <w:lang w:val="en-GB"/>
        </w:rPr>
        <w:t>A gender-ignoring bias overlooks the gender norms and gendered differences within structures and systems that drive gender-based violence and inequality (Main report, pp. 241–242). The 2017 NCAS identified that young people’s understanding of the greater impact of domestic violence on women than men had declined over time and suggested that advancements in gender equality may have led to</w:t>
      </w:r>
      <w:r w:rsidR="006114D5">
        <w:rPr>
          <w:lang w:val="en-GB"/>
        </w:rPr>
        <w:t> </w:t>
      </w:r>
      <w:r w:rsidRPr="007D5CED">
        <w:rPr>
          <w:lang w:val="en-GB"/>
        </w:rPr>
        <w:t>a perception among young people that gender equality has been attained (Politoff et al., 2019). In</w:t>
      </w:r>
      <w:r w:rsidR="006114D5">
        <w:rPr>
          <w:lang w:val="en-GB"/>
        </w:rPr>
        <w:t> </w:t>
      </w:r>
      <w:r w:rsidRPr="007D5CED">
        <w:rPr>
          <w:lang w:val="en-GB"/>
        </w:rPr>
        <w:t>turn, Politoff et al., (2019) suggested that greater acceptance of gender equality may lead to the mistaken belief that women and men are equally likely to experience domestic violence with comparable impacts. As discussed in the introduction to this chapter, a subsequent qualitative study found that young people’s rejection of the gendered nature of domestic violence was grounded in</w:t>
      </w:r>
      <w:r w:rsidR="006114D5">
        <w:rPr>
          <w:lang w:val="en-GB"/>
        </w:rPr>
        <w:t> </w:t>
      </w:r>
      <w:r w:rsidRPr="007D5CED">
        <w:rPr>
          <w:lang w:val="en-GB"/>
        </w:rPr>
        <w:t>notions of “fairness” (Carlisle et al., 2022). This qualitative study found that the gender-ignoring bias</w:t>
      </w:r>
      <w:r w:rsidR="006114D5">
        <w:rPr>
          <w:lang w:val="en-GB"/>
        </w:rPr>
        <w:t> </w:t>
      </w:r>
      <w:r w:rsidRPr="007D5CED">
        <w:rPr>
          <w:lang w:val="en-GB"/>
        </w:rPr>
        <w:t>appeared in four key forms for young people:</w:t>
      </w:r>
    </w:p>
    <w:p w14:paraId="69E4F022" w14:textId="77777777" w:rsidR="007D5CED" w:rsidRPr="007D5CED" w:rsidRDefault="007D5CED" w:rsidP="00B85B00">
      <w:pPr>
        <w:pStyle w:val="ListBullet"/>
        <w:rPr>
          <w:lang w:val="en-GB"/>
        </w:rPr>
      </w:pPr>
      <w:r w:rsidRPr="007D5CED">
        <w:rPr>
          <w:lang w:val="en-GB"/>
        </w:rPr>
        <w:t>discussing violence as occurring between individuals rather than genders</w:t>
      </w:r>
    </w:p>
    <w:p w14:paraId="0EDD33E1" w14:textId="77777777" w:rsidR="007D5CED" w:rsidRPr="007D5CED" w:rsidRDefault="007D5CED" w:rsidP="00B85B00">
      <w:pPr>
        <w:pStyle w:val="ListBullet"/>
        <w:rPr>
          <w:lang w:val="en-GB"/>
        </w:rPr>
      </w:pPr>
      <w:r w:rsidRPr="007D5CED">
        <w:rPr>
          <w:lang w:val="en-GB"/>
        </w:rPr>
        <w:t>highlighting violence as being wrong regardless of gender</w:t>
      </w:r>
    </w:p>
    <w:p w14:paraId="571BE4F3" w14:textId="77777777" w:rsidR="007D5CED" w:rsidRPr="007D5CED" w:rsidRDefault="007D5CED" w:rsidP="00B85B00">
      <w:pPr>
        <w:pStyle w:val="ListBullet"/>
        <w:rPr>
          <w:lang w:val="en-GB"/>
        </w:rPr>
      </w:pPr>
      <w:r w:rsidRPr="007D5CED">
        <w:rPr>
          <w:lang w:val="en-GB"/>
        </w:rPr>
        <w:t>arguing that men are unfairly represented as perpetrators, given that they are also victims</w:t>
      </w:r>
    </w:p>
    <w:p w14:paraId="642B308B" w14:textId="77777777" w:rsidR="007D5CED" w:rsidRPr="007D5CED" w:rsidRDefault="007D5CED" w:rsidP="00B85B00">
      <w:pPr>
        <w:pStyle w:val="ListBullet"/>
        <w:rPr>
          <w:lang w:val="en-GB"/>
        </w:rPr>
      </w:pPr>
      <w:r w:rsidRPr="007D5CED">
        <w:rPr>
          <w:lang w:val="en-GB"/>
        </w:rPr>
        <w:t>arguing that victims and survivors are treated unequally based on gender, with men being taken less seriously and receiving less support (Carlisle et al., 2022).</w:t>
      </w:r>
    </w:p>
    <w:p w14:paraId="67F21E68" w14:textId="64132014" w:rsidR="007D5CED" w:rsidRPr="007D5CED" w:rsidRDefault="007D5CED" w:rsidP="00B85B00">
      <w:pPr>
        <w:rPr>
          <w:lang w:val="en-GB"/>
        </w:rPr>
      </w:pPr>
      <w:r w:rsidRPr="007D5CED">
        <w:rPr>
          <w:lang w:val="en-GB"/>
        </w:rPr>
        <w:lastRenderedPageBreak/>
        <w:t>Using the language of progressive frameworks and goals like “equality” to defend and maintain unequal structures and practices is a form of resistance called “co-option” (Our Watch, 2022). Our Watch recommends using evidence, best practice and policy reform to address co-option and integrate gender equality into organisations and institutions (Our Watch, 2022). For example, organisations that employ or work with youth can use tools such as the Workplace Gender Equality Agency Gender Strategy Toolkit to diagnose and address barriers to gender equality (Workplace Gender Equality Agency, 2019). Implementation should occur alongside explanation to team members of the value and long-term potential of achieving gender equality (e.g. promoting wellbeing, social status and safety of</w:t>
      </w:r>
      <w:r w:rsidR="006114D5">
        <w:rPr>
          <w:lang w:val="en-GB"/>
        </w:rPr>
        <w:t> </w:t>
      </w:r>
      <w:r w:rsidRPr="007D5CED">
        <w:rPr>
          <w:lang w:val="en-GB"/>
        </w:rPr>
        <w:t>all staff, and increasing organisational/institutional performance). It is critical that these discussions illuminate how co-option can maintain unequal gender structures that preserve men’s privilege (Behre,</w:t>
      </w:r>
      <w:r w:rsidR="006114D5">
        <w:rPr>
          <w:lang w:val="en-GB"/>
        </w:rPr>
        <w:t> </w:t>
      </w:r>
      <w:r w:rsidRPr="007D5CED">
        <w:rPr>
          <w:lang w:val="en-GB"/>
        </w:rPr>
        <w:t>2015; Pease, 2008). Additionally, gender-transformative approaches that seek to reshape young people’s understanding of gender roles and promote gender-equitable relationships are also well supported in the literature (see, for example, the summary in Pfitzner et al., 2022, p. 20).</w:t>
      </w:r>
    </w:p>
    <w:p w14:paraId="4E857AC9" w14:textId="77777777" w:rsidR="007D5CED" w:rsidRPr="007D5CED" w:rsidRDefault="007D5CED" w:rsidP="0084332B">
      <w:pPr>
        <w:pStyle w:val="Heading5"/>
      </w:pPr>
      <w:r w:rsidRPr="007D5CED">
        <w:t>Reframe “care and concern” to support young people to recognise abusive behaviour</w:t>
      </w:r>
    </w:p>
    <w:p w14:paraId="71C44649" w14:textId="4ABEA365" w:rsidR="007D5CED" w:rsidRPr="007D5CED" w:rsidRDefault="007D5CED" w:rsidP="00B85B00">
      <w:pPr>
        <w:rPr>
          <w:lang w:val="en-GB"/>
        </w:rPr>
      </w:pPr>
      <w:r w:rsidRPr="007D5CED">
        <w:rPr>
          <w:lang w:val="en-GB"/>
        </w:rPr>
        <w:t>The UVAWS findings also highlight that young people may not always recognise harassment via repeated technology-facilitated contact (e.g. emails or text messages) as a form of abusive behaviour. Similarly, the Carlisle et al., (2022)</w:t>
      </w:r>
      <w:r w:rsidRPr="0073256E">
        <w:rPr>
          <w:rStyle w:val="Emphasis"/>
          <w:lang w:val="en-US"/>
        </w:rPr>
        <w:t xml:space="preserve"> </w:t>
      </w:r>
      <w:r w:rsidRPr="007D5CED">
        <w:rPr>
          <w:lang w:val="en-GB"/>
        </w:rPr>
        <w:t>qualitative study found that young people rationalised problematic or</w:t>
      </w:r>
      <w:r w:rsidR="006114D5">
        <w:rPr>
          <w:lang w:val="en-GB"/>
        </w:rPr>
        <w:t> </w:t>
      </w:r>
      <w:r w:rsidRPr="007D5CED">
        <w:rPr>
          <w:lang w:val="en-GB"/>
        </w:rPr>
        <w:t xml:space="preserve">abusive behaviours as acceptable in circumstances where they were perceived as being motivated by care and concern. </w:t>
      </w:r>
    </w:p>
    <w:p w14:paraId="7394845A" w14:textId="4A7FE225" w:rsidR="007D5CED" w:rsidRPr="007D5CED" w:rsidRDefault="007D5CED" w:rsidP="00B85B00">
      <w:pPr>
        <w:rPr>
          <w:lang w:val="en-GB"/>
        </w:rPr>
      </w:pPr>
      <w:r w:rsidRPr="007D5CED">
        <w:rPr>
          <w:lang w:val="en-GB"/>
        </w:rPr>
        <w:t xml:space="preserve">Rationalising non-consensual technological tracking and harassment as care and concern may reflect the ubiquity of technology in young people’s lives. For example, social norms revolving around chat-based and informal repeated daily contact may feed into perceptions that such behaviour is expected and acceptable in intimate relationships even when not consensual (Carlisle et al., 2022). This misperception that certain forms of technology-facilitated abuse are a normal part of a healthy relationship, or are rationalised based on other factors, should be addressed. Technology-facilitated abuse is a common problem in Australia, especially for young people, with approximately three in four young people (71%) having experienced technology-facilitated abuse (Powell et al., 2022). </w:t>
      </w:r>
    </w:p>
    <w:p w14:paraId="23A65567" w14:textId="26DE1866" w:rsidR="007D5CED" w:rsidRPr="00CF7E88" w:rsidRDefault="007D5CED" w:rsidP="00E06E76">
      <w:pPr>
        <w:rPr>
          <w:lang w:val="en-US"/>
        </w:rPr>
      </w:pPr>
      <w:r w:rsidRPr="007D5CED">
        <w:rPr>
          <w:lang w:val="en-GB"/>
        </w:rPr>
        <w:t>For young people, increasing understanding of technology-facilitated abuse could take the form of</w:t>
      </w:r>
      <w:r w:rsidR="006114D5">
        <w:rPr>
          <w:lang w:val="en-GB"/>
        </w:rPr>
        <w:t> </w:t>
      </w:r>
      <w:r w:rsidRPr="007D5CED">
        <w:rPr>
          <w:lang w:val="en-GB"/>
        </w:rPr>
        <w:t>interventions that highlight what respectful relationships look like online, provide education and resources on suspicious online activity, inform young people of their right to privacy and provide tools to navigate interactions online (Body Safety Australia, 2023; eSafety Commissioner, 2023a, 2023b</w:t>
      </w:r>
      <w:r w:rsidRPr="00CF7E88">
        <w:rPr>
          <w:lang w:val="en-US"/>
        </w:rPr>
        <w:t xml:space="preserve">). </w:t>
      </w:r>
    </w:p>
    <w:p w14:paraId="593937C6" w14:textId="5FE28D12" w:rsidR="00E06E76" w:rsidRPr="00CF7E88" w:rsidRDefault="00E06E76">
      <w:pPr>
        <w:spacing w:before="0" w:after="0" w:line="240" w:lineRule="auto"/>
        <w:rPr>
          <w:lang w:val="en-US"/>
        </w:rPr>
      </w:pPr>
      <w:r w:rsidRPr="00CF7E88">
        <w:rPr>
          <w:lang w:val="en-US"/>
        </w:rPr>
        <w:br w:type="page"/>
      </w:r>
    </w:p>
    <w:p w14:paraId="3F2708B1" w14:textId="08966B62" w:rsidR="007D5CED" w:rsidRPr="007D5CED" w:rsidRDefault="007D5CED" w:rsidP="00DC3FE8">
      <w:pPr>
        <w:pStyle w:val="Heading3"/>
      </w:pPr>
      <w:bookmarkStart w:id="232" w:name="_Toc152532424"/>
      <w:bookmarkStart w:id="233" w:name="_Toc190941710"/>
      <w:bookmarkStart w:id="234" w:name="_Toc190942410"/>
      <w:r w:rsidRPr="007D5CED">
        <w:lastRenderedPageBreak/>
        <w:t>10.4</w:t>
      </w:r>
      <w:r w:rsidR="00F5214A">
        <w:t xml:space="preserve"> </w:t>
      </w:r>
      <w:r w:rsidRPr="007D5CED">
        <w:t>Young people’s attitudes towards gender inequality (AGIS)</w:t>
      </w:r>
      <w:bookmarkEnd w:id="232"/>
      <w:bookmarkEnd w:id="233"/>
      <w:bookmarkEnd w:id="234"/>
    </w:p>
    <w:tbl>
      <w:tblPr>
        <w:tblW w:w="5000" w:type="pct"/>
        <w:tblCellMar>
          <w:left w:w="0" w:type="dxa"/>
          <w:right w:w="0" w:type="dxa"/>
        </w:tblCellMar>
        <w:tblLook w:val="0000" w:firstRow="0" w:lastRow="0" w:firstColumn="0" w:lastColumn="0" w:noHBand="0" w:noVBand="0"/>
      </w:tblPr>
      <w:tblGrid>
        <w:gridCol w:w="9638"/>
      </w:tblGrid>
      <w:tr w:rsidR="007D5CED" w:rsidRPr="00EA1044" w14:paraId="296911C4" w14:textId="77777777" w:rsidTr="004C0141">
        <w:trPr>
          <w:trHeight w:val="9152"/>
        </w:trPr>
        <w:tc>
          <w:tcPr>
            <w:tcW w:w="5000" w:type="pct"/>
            <w:shd w:val="clear" w:color="auto" w:fill="FEF5D5"/>
            <w:tcMar>
              <w:top w:w="283" w:type="dxa"/>
              <w:left w:w="227" w:type="dxa"/>
              <w:bottom w:w="340" w:type="dxa"/>
              <w:right w:w="227" w:type="dxa"/>
            </w:tcMar>
            <w:vAlign w:val="center"/>
          </w:tcPr>
          <w:p w14:paraId="57853196" w14:textId="77777777" w:rsidR="007D5CED" w:rsidRPr="007D5CED" w:rsidRDefault="007D5CED" w:rsidP="00DC3FE8">
            <w:pPr>
              <w:pStyle w:val="Heading4nospacing"/>
            </w:pPr>
            <w:r w:rsidRPr="007D5CED">
              <w:t>Key findings</w:t>
            </w:r>
          </w:p>
          <w:p w14:paraId="2BCC25AE" w14:textId="77777777" w:rsidR="007D5CED" w:rsidRPr="004C0141" w:rsidRDefault="007D5CED" w:rsidP="0084332B">
            <w:pPr>
              <w:pStyle w:val="Heading5"/>
            </w:pPr>
            <w:r w:rsidRPr="004C0141">
              <w:t>Similarities in attitudes towards gender inequality between young and other respondents</w:t>
            </w:r>
          </w:p>
          <w:p w14:paraId="51CE440D" w14:textId="77777777" w:rsidR="007D5CED" w:rsidRPr="007D5CED" w:rsidRDefault="007D5CED" w:rsidP="004C0141">
            <w:pPr>
              <w:rPr>
                <w:lang w:val="en-GB"/>
              </w:rPr>
            </w:pPr>
            <w:r w:rsidRPr="007D5CED">
              <w:rPr>
                <w:lang w:val="en-GB"/>
              </w:rPr>
              <w:t>Young Australians have similar attitudes towards gender inequality as other Australians. Specifically, young respondents and respondents of all ages:</w:t>
            </w:r>
          </w:p>
          <w:p w14:paraId="71157745" w14:textId="77777777" w:rsidR="007D5CED" w:rsidRPr="007D5CED" w:rsidRDefault="007D5CED" w:rsidP="004C0141">
            <w:pPr>
              <w:pStyle w:val="ListBullet"/>
              <w:rPr>
                <w:lang w:val="en-GB"/>
              </w:rPr>
            </w:pPr>
            <w:r w:rsidRPr="007D5CED">
              <w:rPr>
                <w:lang w:val="en-GB"/>
              </w:rPr>
              <w:t>rejected many attitudes that condone or reinforce gender inequality, and this rejection continued to steadily improve, albeit slowly, over time</w:t>
            </w:r>
          </w:p>
          <w:p w14:paraId="5F8D7605" w14:textId="77777777" w:rsidR="007D5CED" w:rsidRPr="007D5CED" w:rsidRDefault="007D5CED" w:rsidP="004C0141">
            <w:pPr>
              <w:pStyle w:val="ListBullet"/>
              <w:rPr>
                <w:lang w:val="en-GB"/>
              </w:rPr>
            </w:pPr>
            <w:r w:rsidRPr="007D5CED">
              <w:rPr>
                <w:lang w:val="en-GB"/>
              </w:rPr>
              <w:t>had similar levels of rejection of gender inequality</w:t>
            </w:r>
          </w:p>
          <w:p w14:paraId="50F583A5" w14:textId="0D58F689" w:rsidR="007D5CED" w:rsidRPr="007D5CED" w:rsidRDefault="007D5CED" w:rsidP="004C0141">
            <w:pPr>
              <w:pStyle w:val="ListBullet"/>
              <w:rPr>
                <w:lang w:val="en-GB"/>
              </w:rPr>
            </w:pPr>
            <w:r w:rsidRPr="007D5CED">
              <w:rPr>
                <w:lang w:val="en-GB"/>
              </w:rPr>
              <w:t>showed significantly improved rejection of attitudes that reinforce gender roles, deny</w:t>
            </w:r>
            <w:r w:rsidR="004C0141">
              <w:rPr>
                <w:lang w:val="en-GB"/>
              </w:rPr>
              <w:t> </w:t>
            </w:r>
            <w:r w:rsidRPr="007D5CED">
              <w:rPr>
                <w:lang w:val="en-GB"/>
              </w:rPr>
              <w:t>inequality</w:t>
            </w:r>
            <w:r w:rsidR="004C0141">
              <w:rPr>
                <w:lang w:val="en-GB"/>
              </w:rPr>
              <w:t> </w:t>
            </w:r>
            <w:r w:rsidRPr="007D5CED">
              <w:rPr>
                <w:lang w:val="en-GB"/>
              </w:rPr>
              <w:t>and normalise sexism since 2017, but no change in attitudes that undermine</w:t>
            </w:r>
            <w:r w:rsidR="004C0141">
              <w:rPr>
                <w:lang w:val="en-GB"/>
              </w:rPr>
              <w:t> </w:t>
            </w:r>
            <w:r w:rsidRPr="007D5CED">
              <w:rPr>
                <w:lang w:val="en-GB"/>
              </w:rPr>
              <w:t>women’s</w:t>
            </w:r>
            <w:r w:rsidR="004C0141">
              <w:rPr>
                <w:lang w:val="en-GB"/>
              </w:rPr>
              <w:t> </w:t>
            </w:r>
            <w:r w:rsidRPr="007D5CED">
              <w:rPr>
                <w:lang w:val="en-GB"/>
              </w:rPr>
              <w:t>leadership.</w:t>
            </w:r>
          </w:p>
          <w:p w14:paraId="75C82502" w14:textId="77777777" w:rsidR="007D5CED" w:rsidRPr="004C0141" w:rsidRDefault="007D5CED" w:rsidP="0084332B">
            <w:pPr>
              <w:pStyle w:val="Heading5"/>
            </w:pPr>
            <w:r w:rsidRPr="004C0141">
              <w:t>Differences in attitudes towards gender inequality between young and other respondents</w:t>
            </w:r>
          </w:p>
          <w:p w14:paraId="1A40B64A" w14:textId="45EB6074" w:rsidR="007D5CED" w:rsidRPr="007D5CED" w:rsidRDefault="007D5CED" w:rsidP="004C0141">
            <w:pPr>
              <w:rPr>
                <w:lang w:val="en-GB"/>
              </w:rPr>
            </w:pPr>
            <w:r w:rsidRPr="007D5CED">
              <w:rPr>
                <w:lang w:val="en-GB"/>
              </w:rPr>
              <w:t>There were a few key differences between young and other respondents in attitudes towards gender inequality:</w:t>
            </w:r>
          </w:p>
          <w:p w14:paraId="0BBC3D29" w14:textId="37E44C8F" w:rsidR="007D5CED" w:rsidRDefault="007D5CED" w:rsidP="004C0141">
            <w:pPr>
              <w:pStyle w:val="ListBullet"/>
              <w:rPr>
                <w:lang w:val="en-GB"/>
              </w:rPr>
            </w:pPr>
            <w:r w:rsidRPr="007D5CED">
              <w:rPr>
                <w:lang w:val="en-GB"/>
              </w:rPr>
              <w:t>Between 2017 and 2021, young respondents did not show any significant improvement in the rejection of attitudes that limit women’s autonomy in relationships (Limit Autonomy Subscale of the AGIS). In comparison, a significant improvement was observed for respondents of</w:t>
            </w:r>
            <w:r w:rsidR="004C0141">
              <w:rPr>
                <w:lang w:val="en-GB"/>
              </w:rPr>
              <w:t> </w:t>
            </w:r>
            <w:r w:rsidRPr="007D5CED">
              <w:rPr>
                <w:lang w:val="en-GB"/>
              </w:rPr>
              <w:t>all</w:t>
            </w:r>
            <w:r w:rsidR="004C0141">
              <w:rPr>
                <w:lang w:val="en-GB"/>
              </w:rPr>
              <w:t> </w:t>
            </w:r>
            <w:r w:rsidRPr="007D5CED">
              <w:rPr>
                <w:lang w:val="en-GB"/>
              </w:rPr>
              <w:t>ages.</w:t>
            </w:r>
          </w:p>
          <w:p w14:paraId="4F82F382" w14:textId="77777777" w:rsidR="00B85B00" w:rsidRPr="007D5CED" w:rsidRDefault="00B85B00" w:rsidP="004C0141">
            <w:pPr>
              <w:pStyle w:val="ListBullet"/>
              <w:rPr>
                <w:lang w:val="en-GB"/>
              </w:rPr>
            </w:pPr>
            <w:r w:rsidRPr="007D5CED">
              <w:rPr>
                <w:lang w:val="en-GB"/>
              </w:rPr>
              <w:t>In 2021, young respondents had significantly weaker rejection of problematic attitudes that limit women’s autonomy than respondents aged 25 years</w:t>
            </w:r>
            <w:r w:rsidRPr="007D5CED">
              <w:rPr>
                <w:lang w:val="en-US"/>
              </w:rPr>
              <w:t xml:space="preserve"> or older</w:t>
            </w:r>
            <w:r w:rsidRPr="007D5CED">
              <w:rPr>
                <w:lang w:val="en-GB"/>
              </w:rPr>
              <w:t>.</w:t>
            </w:r>
          </w:p>
          <w:p w14:paraId="6DC4A31B" w14:textId="2FA70C81" w:rsidR="00B85B00" w:rsidRPr="007D5CED" w:rsidRDefault="00B85B00" w:rsidP="004C0141">
            <w:pPr>
              <w:pStyle w:val="ListBullet"/>
              <w:rPr>
                <w:lang w:val="en-GB"/>
              </w:rPr>
            </w:pPr>
            <w:r w:rsidRPr="007D5CED">
              <w:rPr>
                <w:lang w:val="en-GB"/>
              </w:rPr>
              <w:t xml:space="preserve">In 2021, </w:t>
            </w:r>
            <w:r w:rsidRPr="007D5CED">
              <w:rPr>
                <w:lang w:val="en-US"/>
              </w:rPr>
              <w:t>young respondents had significantly stronger rejection of rigid gender role stereotypes (Reinforce Gender Roles Subscale) and weaker rejection of attitudes that limit women’s autonomy (Limit Autonomy Subscale) than they did of other gender inequality attitudes. This</w:t>
            </w:r>
            <w:r w:rsidR="004C0141">
              <w:rPr>
                <w:lang w:val="en-US"/>
              </w:rPr>
              <w:t> </w:t>
            </w:r>
            <w:r w:rsidRPr="007D5CED">
              <w:rPr>
                <w:lang w:val="en-US"/>
              </w:rPr>
              <w:t>pattern of results was not observed for respondents of all ages (Main</w:t>
            </w:r>
            <w:r w:rsidRPr="007D5CED">
              <w:rPr>
                <w:lang w:val="en-GB"/>
              </w:rPr>
              <w:t xml:space="preserve"> report).</w:t>
            </w:r>
          </w:p>
          <w:p w14:paraId="2BB23DB1" w14:textId="77777777" w:rsidR="00B85B00" w:rsidRPr="004C0141" w:rsidRDefault="00B85B00" w:rsidP="0084332B">
            <w:pPr>
              <w:pStyle w:val="Heading5"/>
            </w:pPr>
            <w:r w:rsidRPr="004C0141">
              <w:t>Young respondents, compared to respondents aged 25 years or older, were significantly:</w:t>
            </w:r>
          </w:p>
          <w:p w14:paraId="6FF584F1" w14:textId="71E01DED" w:rsidR="00B85B00" w:rsidRPr="007D5CED" w:rsidRDefault="00B85B00" w:rsidP="00DC3FE8">
            <w:pPr>
              <w:pStyle w:val="ListBullet"/>
            </w:pPr>
            <w:r w:rsidRPr="0073256E">
              <w:rPr>
                <w:rStyle w:val="Emphasis"/>
              </w:rPr>
              <w:t xml:space="preserve">less </w:t>
            </w:r>
            <w:r w:rsidRPr="007D5CED">
              <w:t>likely to “strongly disagree” that women prefer a man to be in charge of the relationship (Limit Autonomy Subscale)</w:t>
            </w:r>
          </w:p>
          <w:p w14:paraId="38FA02FE" w14:textId="77777777" w:rsidR="00B85B00" w:rsidRPr="007D5CED" w:rsidRDefault="00B85B00" w:rsidP="00DC3FE8">
            <w:pPr>
              <w:pStyle w:val="ListBullet"/>
            </w:pPr>
            <w:r w:rsidRPr="0073256E">
              <w:rPr>
                <w:rStyle w:val="Emphasis"/>
              </w:rPr>
              <w:t>less</w:t>
            </w:r>
            <w:r w:rsidRPr="007D5CED">
              <w:t xml:space="preserve"> likely to “strongly disagree” that jokes about being violent towards women are okay (Normalise Sexism Subscale)</w:t>
            </w:r>
          </w:p>
          <w:p w14:paraId="3F9DF266" w14:textId="6A51A469" w:rsidR="00B85B00" w:rsidRPr="007D5CED" w:rsidRDefault="00B85B00" w:rsidP="00DC3FE8">
            <w:pPr>
              <w:pStyle w:val="ListBullet"/>
            </w:pPr>
            <w:r w:rsidRPr="0073256E">
              <w:rPr>
                <w:rStyle w:val="Emphasis"/>
              </w:rPr>
              <w:t xml:space="preserve">more </w:t>
            </w:r>
            <w:r w:rsidRPr="007D5CED">
              <w:t>likely to “strongly disagree” with the outdated notion that women need to have children to be fulfilled (Reinforce Gender Roles Subscale).</w:t>
            </w:r>
          </w:p>
        </w:tc>
      </w:tr>
    </w:tbl>
    <w:p w14:paraId="5FE3860A" w14:textId="77777777" w:rsidR="007D5CED" w:rsidRPr="007D5CED" w:rsidRDefault="007D5CED" w:rsidP="0084332B">
      <w:pPr>
        <w:pStyle w:val="Heading4"/>
      </w:pPr>
      <w:r w:rsidRPr="007D5CED">
        <w:t>Implications</w:t>
      </w:r>
    </w:p>
    <w:p w14:paraId="369A2119" w14:textId="77777777" w:rsidR="007D5CED" w:rsidRPr="007D5CED" w:rsidRDefault="007D5CED" w:rsidP="002E4FD9">
      <w:pPr>
        <w:rPr>
          <w:lang w:val="en-GB"/>
        </w:rPr>
      </w:pPr>
      <w:r w:rsidRPr="007D5CED">
        <w:rPr>
          <w:lang w:val="en-GB"/>
        </w:rPr>
        <w:t>Implications for the findings regarding attitudes towards gender inequality that were similar for young respondents and respondents aged 25 years or older are discussed in the Main report (pp. 242–244). Unique implications for young Australians are as follows.</w:t>
      </w:r>
    </w:p>
    <w:p w14:paraId="51F49266" w14:textId="77777777" w:rsidR="007D5CED" w:rsidRPr="007D5CED" w:rsidRDefault="007D5CED" w:rsidP="0084332B">
      <w:pPr>
        <w:pStyle w:val="Heading5"/>
      </w:pPr>
      <w:r w:rsidRPr="007D5CED">
        <w:t xml:space="preserve">Adopt gender-transformative approaches to break down rigid gender norms among young people </w:t>
      </w:r>
    </w:p>
    <w:p w14:paraId="79B40E4E" w14:textId="40ABD601" w:rsidR="007D5CED" w:rsidRPr="002E4FD9" w:rsidRDefault="007D5CED" w:rsidP="002E4FD9">
      <w:pPr>
        <w:rPr>
          <w:lang w:val="en-GB"/>
        </w:rPr>
      </w:pPr>
      <w:r w:rsidRPr="007D5CED">
        <w:rPr>
          <w:lang w:val="en-GB"/>
        </w:rPr>
        <w:t>While it is promising that young people show stronger rejection of rigid gender role stereotypes (Reinforce Gender Roles Subscale), a pattern of greater progress on items that allow men to transgress traditional gender norms (e.g. showing emotion) than on women’s traditional gender norms (e.g.</w:t>
      </w:r>
      <w:r w:rsidR="004C0141">
        <w:rPr>
          <w:lang w:val="en-GB"/>
        </w:rPr>
        <w:t> </w:t>
      </w:r>
      <w:r w:rsidRPr="007D5CED">
        <w:rPr>
          <w:lang w:val="en-GB"/>
        </w:rPr>
        <w:t xml:space="preserve">initiating sex) was observed. A recent qualitative study found that 90 per cent of young women believed that young men should talk about their feelings, even if others laugh (Davies, 2023). Conversely, young women’s attitudes towards their sexual identity and desire were more complex and </w:t>
      </w:r>
      <w:r w:rsidRPr="007D5CED">
        <w:rPr>
          <w:rFonts w:cs="Open Sans"/>
          <w:color w:val="000000"/>
          <w:kern w:val="0"/>
          <w:szCs w:val="18"/>
          <w:lang w:val="en-GB"/>
        </w:rPr>
        <w:t xml:space="preserve">shaped by contradictory discourses that penalise </w:t>
      </w:r>
      <w:r w:rsidRPr="007D5CED">
        <w:rPr>
          <w:rFonts w:cs="Open Sans"/>
          <w:color w:val="000000"/>
          <w:kern w:val="0"/>
          <w:szCs w:val="18"/>
          <w:lang w:val="en-GB"/>
        </w:rPr>
        <w:lastRenderedPageBreak/>
        <w:t>both promiscuous and abstinent sexual behaviours (Davies, 2023). The study reported that young men’s expression of their sexual desire is normalised by</w:t>
      </w:r>
      <w:r w:rsidR="004C0141">
        <w:rPr>
          <w:rFonts w:cs="Open Sans"/>
          <w:color w:val="000000"/>
          <w:kern w:val="0"/>
          <w:szCs w:val="18"/>
          <w:lang w:val="en-GB"/>
        </w:rPr>
        <w:t> </w:t>
      </w:r>
      <w:r w:rsidRPr="007D5CED">
        <w:rPr>
          <w:rFonts w:cs="Open Sans"/>
          <w:color w:val="000000"/>
          <w:kern w:val="0"/>
          <w:szCs w:val="18"/>
          <w:lang w:val="en-GB"/>
        </w:rPr>
        <w:t>traditional masculine norms, whereas young women “experience the ingrained fear of transgressing gender norms and challenging this sexual emphasis, thus placing them within the quandary of ‘sexual double standards’” (Davies, 2023, p. 65). Greater support for men’s expression of emotion than for women’s initiation of sex may be further explained by differences in social sanctioning. That is, social</w:t>
      </w:r>
      <w:r w:rsidR="004C0141">
        <w:rPr>
          <w:rFonts w:cs="Open Sans"/>
          <w:color w:val="000000"/>
          <w:kern w:val="0"/>
          <w:szCs w:val="18"/>
          <w:lang w:val="en-GB"/>
        </w:rPr>
        <w:t> </w:t>
      </w:r>
      <w:r w:rsidRPr="007D5CED">
        <w:rPr>
          <w:rFonts w:cs="Open Sans"/>
          <w:color w:val="000000"/>
          <w:kern w:val="0"/>
          <w:szCs w:val="18"/>
          <w:lang w:val="en-GB"/>
        </w:rPr>
        <w:t>sanctions may be less intense or less enduring in response to men’s transgressions of traditional gender norms than women’s transgressions. Stigmatisation and shaming of women based on their sexual choices (perceived or real) by peers and family members can be harmful and target their identity (Davies, 2023).</w:t>
      </w:r>
    </w:p>
    <w:p w14:paraId="7D4B8339" w14:textId="1B4412A4" w:rsidR="004C0141" w:rsidRPr="00DC3FE8" w:rsidRDefault="007D5CED" w:rsidP="00DC3FE8">
      <w:pPr>
        <w:rPr>
          <w:lang w:val="en-GB"/>
        </w:rPr>
      </w:pPr>
      <w:r w:rsidRPr="007D5CED">
        <w:rPr>
          <w:lang w:val="en-GB"/>
        </w:rPr>
        <w:t>Initiatives that highlight the pervasive nature of traditional, rigid gender norms and the need to</w:t>
      </w:r>
      <w:r w:rsidR="004C0141">
        <w:rPr>
          <w:lang w:val="en-GB"/>
        </w:rPr>
        <w:t> </w:t>
      </w:r>
      <w:r w:rsidRPr="007D5CED">
        <w:rPr>
          <w:lang w:val="en-GB"/>
        </w:rPr>
        <w:t>be</w:t>
      </w:r>
      <w:r w:rsidR="004C0141">
        <w:rPr>
          <w:lang w:val="en-GB"/>
        </w:rPr>
        <w:t> </w:t>
      </w:r>
      <w:r w:rsidRPr="007D5CED">
        <w:rPr>
          <w:lang w:val="en-GB"/>
        </w:rPr>
        <w:t>vigilant about not inadvertently reinforcing such rigid gender norms as we strive for gender equality remain important. For example, initiatives with young people, as with all ages, should adopt gender</w:t>
      </w:r>
      <w:r w:rsidR="004C0141">
        <w:rPr>
          <w:lang w:val="en-GB"/>
        </w:rPr>
        <w:noBreakHyphen/>
      </w:r>
      <w:r w:rsidRPr="007D5CED">
        <w:rPr>
          <w:lang w:val="en-GB"/>
        </w:rPr>
        <w:t>transformative approaches rather than gender-neutral or gender-sensitive approaches (Our</w:t>
      </w:r>
      <w:r w:rsidR="004C0141">
        <w:rPr>
          <w:lang w:val="en-GB"/>
        </w:rPr>
        <w:t> </w:t>
      </w:r>
      <w:r w:rsidRPr="007D5CED">
        <w:rPr>
          <w:lang w:val="en-GB"/>
        </w:rPr>
        <w:t>Watch, 2021a; Pfitzner et al., 2022). Gender-transformative approaches challenge and attempt to</w:t>
      </w:r>
      <w:r w:rsidR="004C0141">
        <w:rPr>
          <w:lang w:val="en-GB"/>
        </w:rPr>
        <w:t> </w:t>
      </w:r>
      <w:r w:rsidRPr="007D5CED">
        <w:rPr>
          <w:lang w:val="en-GB"/>
        </w:rPr>
        <w:t>change problematic gender stereotypes, scripts, norms, the gender binary and the gender hierarchy, which facilitate and maintain gender inequality (Our Watch, 2019, 2021a). Parenting and education are key settings for implementing gender-transformative approaches in children and young people (Moura</w:t>
      </w:r>
      <w:r w:rsidR="004C0141">
        <w:rPr>
          <w:lang w:val="en-GB"/>
        </w:rPr>
        <w:t> </w:t>
      </w:r>
      <w:r w:rsidRPr="007D5CED">
        <w:rPr>
          <w:lang w:val="en-GB"/>
        </w:rPr>
        <w:t>et al., 2023). In early childhood, parents are the main agents of socialisation for their children and model behaviours, speech and gender-based practices (Trikic &amp; Alaylı, 2023). As children grow older, they are impacted by wider agents of socialisation, including peers, teachers, other adults and the school environment. Education settings offer ready access to young people and bring together the main agents of their socialisation. Thus, schools are recognised for their unique potential to transform harmful gender norms and discriminatory practices to achieve gender equality (Nugroho et al., 2022). Gender-transformative approaches can be applied throughout education policy and practice, as well as</w:t>
      </w:r>
      <w:r w:rsidR="004C0141">
        <w:rPr>
          <w:lang w:val="en-GB"/>
        </w:rPr>
        <w:t> </w:t>
      </w:r>
      <w:r w:rsidRPr="007D5CED">
        <w:rPr>
          <w:lang w:val="en-GB"/>
        </w:rPr>
        <w:t>in the classroom, such as through whole-of-school approaches like respectful relationships education (Our Watch, 2021c).</w:t>
      </w:r>
    </w:p>
    <w:p w14:paraId="0D4D1E1B" w14:textId="00CAC09A" w:rsidR="007D5CED" w:rsidRPr="007D5CED" w:rsidRDefault="007D5CED" w:rsidP="0084332B">
      <w:pPr>
        <w:pStyle w:val="Heading5"/>
      </w:pPr>
      <w:r w:rsidRPr="007D5CED">
        <w:t>Challenge young people’s acceptance of male power in intimate relationships and dating scripts</w:t>
      </w:r>
    </w:p>
    <w:p w14:paraId="6288A7C1" w14:textId="5774E936" w:rsidR="007D5CED" w:rsidRPr="007D5CED" w:rsidRDefault="007D5CED" w:rsidP="002E4FD9">
      <w:pPr>
        <w:rPr>
          <w:lang w:val="en-GB"/>
        </w:rPr>
      </w:pPr>
      <w:r w:rsidRPr="007D5CED">
        <w:rPr>
          <w:lang w:val="en-GB"/>
        </w:rPr>
        <w:t>Compared to respondents aged 25 years or older, young respondents were significantly less likely to</w:t>
      </w:r>
      <w:r w:rsidR="004C0141">
        <w:rPr>
          <w:lang w:val="en-GB"/>
        </w:rPr>
        <w:t> </w:t>
      </w:r>
      <w:r w:rsidRPr="007D5CED">
        <w:rPr>
          <w:lang w:val="en-GB"/>
        </w:rPr>
        <w:t>reject beliefs that women want men to be in charge in intimate relationships (Limit Autonomy Subscale) but significantly more likely to reject beliefs that women need children to be fulfilled (Reinforce Gender Roles Subscale). Qualitative research with young people has revealed similar inconsistencies in beliefs about gender equality and gender roles. Such inconsistencies may partly reflect endorsement of traditional dating scripts and viewing relationships through a “male dominance model” (Davies, 2023; Lamont, 2021; McCarry, 2009). For example, a recent qualitative study found strong support among young women for the belief that women could be equal leaders with men, despite almost 40 per cent believing that men should pay on a date (Davies, 2023). This form of</w:t>
      </w:r>
      <w:r w:rsidR="004C0141">
        <w:rPr>
          <w:lang w:val="en-GB"/>
        </w:rPr>
        <w:t> </w:t>
      </w:r>
      <w:r w:rsidRPr="007D5CED">
        <w:rPr>
          <w:lang w:val="en-GB"/>
        </w:rPr>
        <w:t>financial expectation reflects gender norms whereby men play the role of instigating and progressing intimate relationships (Davies, 2023). Adherence to this gendered script reflects young people’s acceptance and reinforcement of power imbalances at the initial stage of dating.</w:t>
      </w:r>
    </w:p>
    <w:p w14:paraId="2F988EED" w14:textId="243D5F4A" w:rsidR="007D5CED" w:rsidRPr="007D5CED" w:rsidRDefault="007D5CED" w:rsidP="002E4FD9">
      <w:pPr>
        <w:rPr>
          <w:lang w:val="en-GB"/>
        </w:rPr>
      </w:pPr>
      <w:r w:rsidRPr="007D5CED">
        <w:rPr>
          <w:lang w:val="en-GB"/>
        </w:rPr>
        <w:t>Lamont (2021) argued that traditional heterosexual dating scripts have persisted despite an increased commitment to egalitarian relationships among young people. Conventional dating scripts adopt a</w:t>
      </w:r>
      <w:r w:rsidR="004C0141">
        <w:rPr>
          <w:lang w:val="en-GB"/>
        </w:rPr>
        <w:t> </w:t>
      </w:r>
      <w:r w:rsidRPr="007D5CED">
        <w:rPr>
          <w:lang w:val="en-GB"/>
        </w:rPr>
        <w:t>proactive–reactive framework in which men take the lead and women respond (Lamont, 2021). The</w:t>
      </w:r>
      <w:r w:rsidR="004C0141">
        <w:rPr>
          <w:lang w:val="en-GB"/>
        </w:rPr>
        <w:t> </w:t>
      </w:r>
      <w:r w:rsidRPr="007D5CED">
        <w:rPr>
          <w:lang w:val="en-GB"/>
        </w:rPr>
        <w:t>belief that men should take the lead in relationships reinforces the active–passive gender binary ascribed to men and women (Lamont, 2021). This belief pattern is associated with other forms of</w:t>
      </w:r>
      <w:r w:rsidR="004C0141">
        <w:rPr>
          <w:lang w:val="en-GB"/>
        </w:rPr>
        <w:t> </w:t>
      </w:r>
      <w:r w:rsidRPr="007D5CED">
        <w:rPr>
          <w:lang w:val="en-GB"/>
        </w:rPr>
        <w:t>gender inequality, including the division of domestic and care labour, the exclusion of women from leadership roles and violence against women (Lamont, 2021; Manne, 2020).</w:t>
      </w:r>
    </w:p>
    <w:p w14:paraId="0AAFDE96" w14:textId="21F8F279" w:rsidR="007D5CED" w:rsidRPr="007D5CED" w:rsidRDefault="007D5CED" w:rsidP="002E4FD9">
      <w:pPr>
        <w:rPr>
          <w:lang w:val="en-GB"/>
        </w:rPr>
      </w:pPr>
      <w:r w:rsidRPr="007D5CED">
        <w:rPr>
          <w:lang w:val="en-GB"/>
        </w:rPr>
        <w:t>A qualitative study exploring the link between gender role beliefs and violence revealed that young people justified and accepted male violence within heterosexual relationships by connecting it with male power (McCarry, 2009). Young people endorsed a “male dominance model” in relationships, attributing men’s power over women to their physical strength and “entitlement” to hold powerful positions (McCarry, 2009). Thus, a male dominance model construes domestic violence and violence against women as a means for men to achieve and exert their dominance over women and as</w:t>
      </w:r>
      <w:r w:rsidR="004C0141">
        <w:rPr>
          <w:lang w:val="en-GB"/>
        </w:rPr>
        <w:t> </w:t>
      </w:r>
      <w:r w:rsidRPr="007D5CED">
        <w:rPr>
          <w:lang w:val="en-GB"/>
        </w:rPr>
        <w:t>normative gender-role behaviour (McCarry, 2009).</w:t>
      </w:r>
    </w:p>
    <w:p w14:paraId="17FAD4B8" w14:textId="37ADD394" w:rsidR="007D5CED" w:rsidRPr="007D5CED" w:rsidRDefault="007D5CED" w:rsidP="00F5214A">
      <w:pPr>
        <w:keepLines/>
        <w:rPr>
          <w:lang w:val="en-GB"/>
        </w:rPr>
      </w:pPr>
      <w:r w:rsidRPr="007D5CED">
        <w:rPr>
          <w:lang w:val="en-GB"/>
        </w:rPr>
        <w:lastRenderedPageBreak/>
        <w:t>Prevention initiatives with young people, including RRE, need to challenge acceptance of rigid gender roles in intimate relationships and male power and entitlement (McCarry, 2009). Raising young people’s awareness of the persistence of gendered dating roles and the link between gendered dating scripts and violence against women may assist them to recognise this “blind spot” regarding gender inequality, rewrite conventional dating scripts and foster cultural change.</w:t>
      </w:r>
    </w:p>
    <w:p w14:paraId="0CBF617A" w14:textId="31687F86" w:rsidR="007D5CED" w:rsidRPr="007D5CED" w:rsidRDefault="007D5CED" w:rsidP="00DC3FE8">
      <w:pPr>
        <w:pStyle w:val="Heading3"/>
      </w:pPr>
      <w:bookmarkStart w:id="235" w:name="_Toc152532425"/>
      <w:bookmarkStart w:id="236" w:name="_Toc190941711"/>
      <w:bookmarkStart w:id="237" w:name="_Toc190942411"/>
      <w:r w:rsidRPr="007D5CED">
        <w:t>10.5</w:t>
      </w:r>
      <w:r w:rsidR="00F5214A">
        <w:t xml:space="preserve"> </w:t>
      </w:r>
      <w:r w:rsidRPr="007D5CED">
        <w:t>Young people’s attitudes towards violence against women (AVAWS)</w:t>
      </w:r>
      <w:bookmarkEnd w:id="235"/>
      <w:bookmarkEnd w:id="236"/>
      <w:bookmarkEnd w:id="237"/>
    </w:p>
    <w:tbl>
      <w:tblPr>
        <w:tblW w:w="5000" w:type="pct"/>
        <w:shd w:val="clear" w:color="auto" w:fill="FEF5D5"/>
        <w:tblCellMar>
          <w:left w:w="0" w:type="dxa"/>
          <w:right w:w="0" w:type="dxa"/>
        </w:tblCellMar>
        <w:tblLook w:val="0000" w:firstRow="0" w:lastRow="0" w:firstColumn="0" w:lastColumn="0" w:noHBand="0" w:noVBand="0"/>
      </w:tblPr>
      <w:tblGrid>
        <w:gridCol w:w="9638"/>
      </w:tblGrid>
      <w:tr w:rsidR="007D5CED" w:rsidRPr="00EA1044" w14:paraId="0573EE64" w14:textId="77777777" w:rsidTr="002E4FD9">
        <w:trPr>
          <w:trHeight w:val="60"/>
        </w:trPr>
        <w:tc>
          <w:tcPr>
            <w:tcW w:w="5000" w:type="pct"/>
            <w:shd w:val="clear" w:color="auto" w:fill="FEF5D5"/>
            <w:tcMar>
              <w:top w:w="283" w:type="dxa"/>
              <w:left w:w="227" w:type="dxa"/>
              <w:bottom w:w="340" w:type="dxa"/>
              <w:right w:w="227" w:type="dxa"/>
            </w:tcMar>
          </w:tcPr>
          <w:p w14:paraId="250B3580" w14:textId="77777777" w:rsidR="007D5CED" w:rsidRPr="007D5CED" w:rsidRDefault="007D5CED" w:rsidP="00F5214A">
            <w:pPr>
              <w:pStyle w:val="Heading4nospacing"/>
            </w:pPr>
            <w:r w:rsidRPr="007D5CED">
              <w:t>Key findings</w:t>
            </w:r>
          </w:p>
          <w:p w14:paraId="3A104179" w14:textId="77777777" w:rsidR="007D5CED" w:rsidRPr="007D5CED" w:rsidRDefault="007D5CED" w:rsidP="0084332B">
            <w:pPr>
              <w:pStyle w:val="Heading5"/>
            </w:pPr>
            <w:r w:rsidRPr="007D5CED">
              <w:t>Similarities in attitudes towards violence against women between young and other respondents</w:t>
            </w:r>
          </w:p>
          <w:p w14:paraId="1CAC8DDC" w14:textId="77777777" w:rsidR="007D5CED" w:rsidRPr="007D5CED" w:rsidRDefault="007D5CED" w:rsidP="002E4FD9">
            <w:pPr>
              <w:rPr>
                <w:lang w:val="en-GB"/>
              </w:rPr>
            </w:pPr>
            <w:r w:rsidRPr="007D5CED">
              <w:rPr>
                <w:lang w:val="en-GB"/>
              </w:rPr>
              <w:t>Young Australians have largely similar attitudes towards violence against women as other Australians. Specifically, young respondents and respondents of all ages:</w:t>
            </w:r>
          </w:p>
          <w:p w14:paraId="22CAEEAA" w14:textId="77777777" w:rsidR="007D5CED" w:rsidRPr="007D5CED" w:rsidRDefault="007D5CED" w:rsidP="002E4FD9">
            <w:pPr>
              <w:pStyle w:val="ListBullet"/>
              <w:rPr>
                <w:lang w:val="en-GB"/>
              </w:rPr>
            </w:pPr>
            <w:r w:rsidRPr="007D5CED">
              <w:rPr>
                <w:lang w:val="en-GB"/>
              </w:rPr>
              <w:t xml:space="preserve">between 2017 and 2021, significantly increased their rejection of attitudes that mistrust women’s reports of violence and that objectify women and disregard consent </w:t>
            </w:r>
          </w:p>
          <w:p w14:paraId="5E32BD02" w14:textId="6D6B7D34" w:rsidR="007D5CED" w:rsidRPr="007D5CED" w:rsidRDefault="007D5CED" w:rsidP="002E4FD9">
            <w:pPr>
              <w:pStyle w:val="ListBullet"/>
              <w:rPr>
                <w:lang w:val="en-GB"/>
              </w:rPr>
            </w:pPr>
            <w:r w:rsidRPr="007D5CED">
              <w:rPr>
                <w:lang w:val="en-GB"/>
              </w:rPr>
              <w:t>between 2017 and 2021, stalled in their rejection of attitudes that minimise violence, despite</w:t>
            </w:r>
            <w:r w:rsidR="004C0141">
              <w:rPr>
                <w:lang w:val="en-GB"/>
              </w:rPr>
              <w:t> </w:t>
            </w:r>
            <w:r w:rsidRPr="007D5CED">
              <w:rPr>
                <w:lang w:val="en-GB"/>
              </w:rPr>
              <w:t>significant improvement over the longer term</w:t>
            </w:r>
          </w:p>
          <w:p w14:paraId="4CA1D3ED" w14:textId="68A30321" w:rsidR="00E06E76" w:rsidRPr="00E06E76" w:rsidRDefault="007D5CED" w:rsidP="00E06E76">
            <w:pPr>
              <w:pStyle w:val="ListBullet"/>
              <w:rPr>
                <w:lang w:val="en-GB"/>
              </w:rPr>
            </w:pPr>
            <w:r w:rsidRPr="007D5CED">
              <w:rPr>
                <w:lang w:val="en-GB"/>
              </w:rPr>
              <w:t>had similar levels of rejection of violence against women overall in 2021.</w:t>
            </w:r>
          </w:p>
          <w:p w14:paraId="527C4D5F" w14:textId="6928970E" w:rsidR="007D5CED" w:rsidRPr="007D5CED" w:rsidRDefault="007D5CED" w:rsidP="0084332B">
            <w:pPr>
              <w:pStyle w:val="Heading5"/>
            </w:pPr>
            <w:r w:rsidRPr="007D5CED">
              <w:t>Differences in attitudes towards violence against women between young and other respondents</w:t>
            </w:r>
          </w:p>
          <w:p w14:paraId="05B11187" w14:textId="0FEFA893" w:rsidR="007D5CED" w:rsidRPr="007D5CED" w:rsidRDefault="007D5CED" w:rsidP="002E4FD9">
            <w:pPr>
              <w:rPr>
                <w:lang w:val="en-GB"/>
              </w:rPr>
            </w:pPr>
            <w:r w:rsidRPr="007D5CED">
              <w:rPr>
                <w:lang w:val="en-GB"/>
              </w:rPr>
              <w:t>Some key findings for young respondents were different to those for respondents 25 years or</w:t>
            </w:r>
            <w:r w:rsidR="004C0141">
              <w:rPr>
                <w:lang w:val="en-GB"/>
              </w:rPr>
              <w:t> </w:t>
            </w:r>
            <w:r w:rsidRPr="007D5CED">
              <w:rPr>
                <w:lang w:val="en-GB"/>
              </w:rPr>
              <w:t>older and to respondents of all ages (Main report), including the following:</w:t>
            </w:r>
          </w:p>
          <w:p w14:paraId="74FA1D9D" w14:textId="071D71E3" w:rsidR="007D5CED" w:rsidRPr="007D5CED" w:rsidRDefault="007D5CED" w:rsidP="002E4FD9">
            <w:pPr>
              <w:pStyle w:val="ListBullet"/>
              <w:rPr>
                <w:lang w:val="en-GB"/>
              </w:rPr>
            </w:pPr>
            <w:r w:rsidRPr="007D5CED">
              <w:rPr>
                <w:lang w:val="en-GB"/>
              </w:rPr>
              <w:t>Between 2017 and 2021, young respondents’ rejection of attitudes that condone violence against women significantly increased, while those for all respondents plateaued despite an</w:t>
            </w:r>
            <w:r w:rsidR="004C0141">
              <w:rPr>
                <w:lang w:val="en-GB"/>
              </w:rPr>
              <w:t> </w:t>
            </w:r>
            <w:r w:rsidRPr="007D5CED">
              <w:rPr>
                <w:lang w:val="en-GB"/>
              </w:rPr>
              <w:t>increase over the longer term. Nonetheless, similar proportions of young respondents and respondents aged 25 years</w:t>
            </w:r>
            <w:r w:rsidRPr="007D5CED">
              <w:rPr>
                <w:lang w:val="en-US"/>
              </w:rPr>
              <w:t xml:space="preserve"> or older </w:t>
            </w:r>
            <w:r w:rsidRPr="007D5CED">
              <w:rPr>
                <w:lang w:val="en-GB"/>
              </w:rPr>
              <w:t>had “advanced” rejection of violence against women in</w:t>
            </w:r>
            <w:r w:rsidR="004C0141">
              <w:rPr>
                <w:lang w:val="en-GB"/>
              </w:rPr>
              <w:t> </w:t>
            </w:r>
            <w:r w:rsidRPr="007D5CED">
              <w:rPr>
                <w:lang w:val="en-GB"/>
              </w:rPr>
              <w:t>2021.</w:t>
            </w:r>
          </w:p>
          <w:p w14:paraId="0F694781" w14:textId="77777777" w:rsidR="007D5CED" w:rsidRDefault="007D5CED" w:rsidP="002E4FD9">
            <w:pPr>
              <w:pStyle w:val="ListBullet"/>
              <w:rPr>
                <w:lang w:val="en-GB"/>
              </w:rPr>
            </w:pPr>
            <w:r w:rsidRPr="007D5CED">
              <w:rPr>
                <w:lang w:val="en-GB"/>
              </w:rPr>
              <w:t>In 2021, young respondents had significantly higher rejection of attitudes that objectify women and disregard consent than attitudes that mistrust women’s reports of violence and excuse and minimise violence. This difference was not observed for respondents of all ages.</w:t>
            </w:r>
          </w:p>
          <w:p w14:paraId="54E8CF84" w14:textId="77777777" w:rsidR="002E4FD9" w:rsidRPr="007D5CED" w:rsidRDefault="002E4FD9" w:rsidP="002E4FD9">
            <w:pPr>
              <w:pStyle w:val="ListBullet"/>
              <w:rPr>
                <w:lang w:val="en-GB"/>
              </w:rPr>
            </w:pPr>
            <w:r w:rsidRPr="007D5CED">
              <w:rPr>
                <w:lang w:val="en-GB"/>
              </w:rPr>
              <w:t>In 2021, young respondents had significantly weaker rejection of problematic attitudes that excuse and minimise violence than respondents aged 25 years</w:t>
            </w:r>
            <w:r w:rsidRPr="007D5CED">
              <w:rPr>
                <w:lang w:val="en-US"/>
              </w:rPr>
              <w:t xml:space="preserve"> or older</w:t>
            </w:r>
            <w:r w:rsidRPr="007D5CED">
              <w:rPr>
                <w:lang w:val="en-GB"/>
              </w:rPr>
              <w:t>.</w:t>
            </w:r>
          </w:p>
          <w:p w14:paraId="026DE8E1" w14:textId="77777777" w:rsidR="002E4FD9" w:rsidRPr="007D5CED" w:rsidRDefault="002E4FD9" w:rsidP="002E4FD9">
            <w:pPr>
              <w:pStyle w:val="ListBullet"/>
              <w:rPr>
                <w:lang w:val="en-GB"/>
              </w:rPr>
            </w:pPr>
            <w:r w:rsidRPr="007D5CED">
              <w:rPr>
                <w:lang w:val="en-GB"/>
              </w:rPr>
              <w:t>Compared to respondents aged 25 years</w:t>
            </w:r>
            <w:r w:rsidRPr="007D5CED">
              <w:rPr>
                <w:lang w:val="en-US"/>
              </w:rPr>
              <w:t xml:space="preserve"> or older</w:t>
            </w:r>
            <w:r w:rsidRPr="007D5CED">
              <w:rPr>
                <w:lang w:val="en-GB"/>
              </w:rPr>
              <w:t>, young respondents were significantly:</w:t>
            </w:r>
          </w:p>
          <w:p w14:paraId="4D8B9EC2" w14:textId="77777777" w:rsidR="002E4FD9" w:rsidRPr="007D5CED" w:rsidRDefault="002E4FD9" w:rsidP="00C30B77">
            <w:pPr>
              <w:pStyle w:val="ListBullet2"/>
            </w:pPr>
            <w:r w:rsidRPr="0073256E">
              <w:rPr>
                <w:rStyle w:val="Emphasis"/>
              </w:rPr>
              <w:t xml:space="preserve">less </w:t>
            </w:r>
            <w:r w:rsidRPr="007D5CED">
              <w:t>likely to “strongly disagree” with some items in the Minimise Violence Subscale, including attitudes that domestic violence can be excused if the perpetrator was drunk or regretted their behaviour and attitudes that domestic violence is a private matter that should be handled in the family</w:t>
            </w:r>
          </w:p>
          <w:p w14:paraId="3A4F0B5E" w14:textId="0D70911F" w:rsidR="002E4FD9" w:rsidRPr="007D5CED" w:rsidRDefault="002E4FD9" w:rsidP="00C30B77">
            <w:pPr>
              <w:pStyle w:val="ListBullet2"/>
            </w:pPr>
            <w:r w:rsidRPr="0073256E">
              <w:rPr>
                <w:rStyle w:val="Emphasis"/>
              </w:rPr>
              <w:t xml:space="preserve">more </w:t>
            </w:r>
            <w:r w:rsidRPr="002E4FD9">
              <w:t>likely to “strongly disagree” with some items in the Objectify Women Subscale, including attitudes that women should be flattered by wolf-whistles or cat-calls and that it is understandable if a man continues having sex with a drunk woman who falls</w:t>
            </w:r>
            <w:r w:rsidR="004C0141">
              <w:t> </w:t>
            </w:r>
            <w:r w:rsidRPr="002E4FD9">
              <w:t>asleep.</w:t>
            </w:r>
          </w:p>
        </w:tc>
      </w:tr>
    </w:tbl>
    <w:p w14:paraId="594320D7" w14:textId="01C97E65" w:rsidR="007D5CED" w:rsidRPr="007D5CED" w:rsidRDefault="007D5CED" w:rsidP="0084332B">
      <w:pPr>
        <w:pStyle w:val="Heading4"/>
      </w:pPr>
      <w:r w:rsidRPr="007D5CED">
        <w:t>Implications</w:t>
      </w:r>
    </w:p>
    <w:p w14:paraId="7F4FAB92" w14:textId="3777457C" w:rsidR="007D5CED" w:rsidRPr="007D5CED" w:rsidRDefault="007D5CED" w:rsidP="002E4FD9">
      <w:pPr>
        <w:rPr>
          <w:lang w:val="en-GB"/>
        </w:rPr>
      </w:pPr>
      <w:r w:rsidRPr="007D5CED">
        <w:rPr>
          <w:lang w:val="en-GB"/>
        </w:rPr>
        <w:t>Implications for the findings regarding attitudes towards violence against women that were similar for</w:t>
      </w:r>
      <w:r w:rsidR="004C0141">
        <w:rPr>
          <w:lang w:val="en-GB"/>
        </w:rPr>
        <w:t> </w:t>
      </w:r>
      <w:r w:rsidRPr="007D5CED">
        <w:rPr>
          <w:lang w:val="en-GB"/>
        </w:rPr>
        <w:t>young respondents and respondents aged 25 years or older are discussed in the Main report (pp.</w:t>
      </w:r>
      <w:r w:rsidR="004C0141">
        <w:rPr>
          <w:lang w:val="en-GB"/>
        </w:rPr>
        <w:t> </w:t>
      </w:r>
      <w:r w:rsidRPr="007D5CED">
        <w:rPr>
          <w:lang w:val="en-GB"/>
        </w:rPr>
        <w:t>244</w:t>
      </w:r>
      <w:r w:rsidR="004C0141">
        <w:rPr>
          <w:lang w:val="en-GB"/>
        </w:rPr>
        <w:noBreakHyphen/>
      </w:r>
      <w:r w:rsidRPr="007D5CED">
        <w:rPr>
          <w:lang w:val="en-GB"/>
        </w:rPr>
        <w:t>249). Unique implications for young Australians are as follows.</w:t>
      </w:r>
    </w:p>
    <w:p w14:paraId="2E760D94" w14:textId="77777777" w:rsidR="007D5CED" w:rsidRPr="007D5CED" w:rsidRDefault="007D5CED" w:rsidP="0084332B">
      <w:pPr>
        <w:pStyle w:val="Heading5"/>
      </w:pPr>
      <w:r w:rsidRPr="007D5CED">
        <w:lastRenderedPageBreak/>
        <w:t>Strengthen co-design with young people and victims and survivors</w:t>
      </w:r>
    </w:p>
    <w:p w14:paraId="01F3C541" w14:textId="5A5672CA" w:rsidR="007D5CED" w:rsidRPr="007D5CED" w:rsidRDefault="007D5CED" w:rsidP="002E4FD9">
      <w:pPr>
        <w:rPr>
          <w:lang w:val="en-GB"/>
        </w:rPr>
      </w:pPr>
      <w:r w:rsidRPr="007D5CED">
        <w:rPr>
          <w:lang w:val="en-GB"/>
        </w:rPr>
        <w:t>To address young people’s mistrust of women’s reports of violence and attitudes that excuse and minimise violence, policymakers and practitioners could consider working directly with young people, including young victims and survivors, to co-design prevention initiatives. Engaging young people in</w:t>
      </w:r>
      <w:r w:rsidR="00CF4999">
        <w:rPr>
          <w:lang w:val="en-GB"/>
        </w:rPr>
        <w:t> </w:t>
      </w:r>
      <w:r w:rsidRPr="007D5CED">
        <w:rPr>
          <w:lang w:val="en-GB"/>
        </w:rPr>
        <w:t>co</w:t>
      </w:r>
      <w:r w:rsidR="00CF4999">
        <w:rPr>
          <w:lang w:val="en-GB"/>
        </w:rPr>
        <w:noBreakHyphen/>
      </w:r>
      <w:r w:rsidRPr="007D5CED">
        <w:rPr>
          <w:lang w:val="en-GB"/>
        </w:rPr>
        <w:t>design can help ensure that prevention initiatives for young people are developed with their unique insights, perspectives and experiences at the forefront, are appropriate to their stage of life and are tailored to meet their specific needs (Lamb et al., 2020, 2023; Lloyd et al., 2023). Therefore, co</w:t>
      </w:r>
      <w:r w:rsidRPr="007D5CED">
        <w:rPr>
          <w:rFonts w:ascii="Cambria Math" w:hAnsi="Cambria Math" w:cs="Cambria Math"/>
          <w:lang w:val="en-GB"/>
        </w:rPr>
        <w:t>‑</w:t>
      </w:r>
      <w:r w:rsidRPr="007D5CED">
        <w:rPr>
          <w:lang w:val="en-GB"/>
        </w:rPr>
        <w:t>design could be used to strengthen a range of prevention initiatives for young people, including those discussed in other sections of this chapter, throughout childhood, adolescence and into young</w:t>
      </w:r>
      <w:r w:rsidR="00CF4999">
        <w:rPr>
          <w:lang w:val="en-GB"/>
        </w:rPr>
        <w:t> </w:t>
      </w:r>
      <w:r w:rsidRPr="007D5CED">
        <w:rPr>
          <w:lang w:val="en-GB"/>
        </w:rPr>
        <w:t>adulthood.</w:t>
      </w:r>
    </w:p>
    <w:p w14:paraId="7FE303F5" w14:textId="3E73D1D2" w:rsidR="007D5CED" w:rsidRPr="007D5CED" w:rsidRDefault="007D5CED" w:rsidP="002E4FD9">
      <w:pPr>
        <w:rPr>
          <w:lang w:val="en-GB"/>
        </w:rPr>
      </w:pPr>
      <w:r w:rsidRPr="007D5CED">
        <w:rPr>
          <w:lang w:val="en-GB"/>
        </w:rPr>
        <w:t>While the burden of prevention should not be unduly placed on victims and survivors, they can be powerful advocates for change, including via co-design. The improvements between 2017 and 2021 in</w:t>
      </w:r>
      <w:r w:rsidR="004C0141">
        <w:rPr>
          <w:lang w:val="en-GB"/>
        </w:rPr>
        <w:t> </w:t>
      </w:r>
      <w:r w:rsidRPr="007D5CED">
        <w:rPr>
          <w:lang w:val="en-GB"/>
        </w:rPr>
        <w:t xml:space="preserve">young people’s overall attitudes towards violence against women highlighted by the NCAS occurred alongside heightened community demand for action and advocacy, including advocacy by many young Australians with lived experience of violence (Section 1.6). </w:t>
      </w:r>
    </w:p>
    <w:p w14:paraId="431BDACC" w14:textId="09A1AEFF" w:rsidR="007D5CED" w:rsidRPr="007D5CED" w:rsidRDefault="007D5CED" w:rsidP="002E4FD9">
      <w:pPr>
        <w:rPr>
          <w:lang w:val="en-GB"/>
        </w:rPr>
      </w:pPr>
      <w:r w:rsidRPr="007D5CED">
        <w:rPr>
          <w:lang w:val="en-GB"/>
        </w:rPr>
        <w:t>Wheildon et al., (2022) examined the ways that people with lived experience of violence can drive significant social and policy reforms. Wheildon et al., (2022) argued that victims’ and survivors’ status as</w:t>
      </w:r>
      <w:r w:rsidR="004C0141">
        <w:rPr>
          <w:lang w:val="en-GB"/>
        </w:rPr>
        <w:t> </w:t>
      </w:r>
      <w:r w:rsidRPr="007D5CED">
        <w:rPr>
          <w:lang w:val="en-GB"/>
        </w:rPr>
        <w:t>“outsiders” to the regular policymaking context is generally their greatest strength as advocates because they can challenge institutional complacency. However, there can be challenges to including victims and survivors in the policy process. The characteristics of the crime, the victim and survivor, the perpetrator and their relationship have been argued to affect the likelihood of victims and survivors being invited into policymaking circles and having a positive influence (Christie, 1986; Wheildon et al., 2022). It has been argued that victims and survivors are more likely to be accepted and invited into policymaking circles if they fit the stereotype of an “ideal victim” who is unlikely to be perceived in any way as blameworthy for the assault (e.g. they are considered not blameworthy because they are elderly or young, have impaired health status, were behaving respectably and did not know the perpetrator; Christie, 1986; Wheildon et al., 2022). Furthermore, participation in the policymaking context may also be hindered by the same structural and systemic forms of oppression and discrimination that intersect to produce particular forms of violence, increase prevalence and severity of violence, and impose barriers on seeking and receiving support (DSS, 2022).</w:t>
      </w:r>
    </w:p>
    <w:p w14:paraId="52198B6A" w14:textId="592E1323" w:rsidR="007D5CED" w:rsidRPr="002E4FD9" w:rsidRDefault="007D5CED" w:rsidP="002E4FD9">
      <w:pPr>
        <w:rPr>
          <w:lang w:val="en-GB"/>
        </w:rPr>
      </w:pPr>
      <w:r w:rsidRPr="007D5CED">
        <w:rPr>
          <w:lang w:val="en-GB"/>
        </w:rPr>
        <w:t>It is important that future collaborations and co</w:t>
      </w:r>
      <w:r w:rsidRPr="007D5CED">
        <w:rPr>
          <w:rFonts w:ascii="Cambria Math" w:hAnsi="Cambria Math" w:cs="Cambria Math"/>
          <w:lang w:val="en-GB"/>
        </w:rPr>
        <w:t>‑</w:t>
      </w:r>
      <w:r w:rsidRPr="007D5CED">
        <w:rPr>
          <w:lang w:val="en-GB"/>
        </w:rPr>
        <w:t xml:space="preserve">designed policy and prevention initiatives with young people transcend the aforementioned biases to include young people with diverse backgrounds and victim experiences and are conducted sensitively and ethically (see also the </w:t>
      </w:r>
      <w:r w:rsidRPr="00F022A9">
        <w:rPr>
          <w:rStyle w:val="Emphasis"/>
          <w:lang w:val="en-US"/>
        </w:rPr>
        <w:t xml:space="preserve">Australian National Research Agenda to End Violence against Women and Children (ANRA) 2023–2028 </w:t>
      </w:r>
      <w:r w:rsidRPr="007D5CED">
        <w:rPr>
          <w:lang w:val="en-GB"/>
        </w:rPr>
        <w:t>(Lloyd et al., 2023) and co</w:t>
      </w:r>
      <w:r w:rsidRPr="007D5CED">
        <w:rPr>
          <w:rFonts w:ascii="Cambria Math" w:hAnsi="Cambria Math" w:cs="Cambria Math"/>
          <w:lang w:val="en-GB"/>
        </w:rPr>
        <w:t>‑</w:t>
      </w:r>
      <w:r w:rsidRPr="007D5CED">
        <w:rPr>
          <w:lang w:val="en-GB"/>
        </w:rPr>
        <w:t>design frameworks; Lamb et al., 2020, 2023).</w:t>
      </w:r>
    </w:p>
    <w:p w14:paraId="39064922" w14:textId="1AC32CDA" w:rsidR="007D5CED" w:rsidRPr="007D5CED" w:rsidRDefault="007D5CED" w:rsidP="0084332B">
      <w:pPr>
        <w:pStyle w:val="Heading5"/>
      </w:pPr>
      <w:r w:rsidRPr="007D5CED">
        <w:t>Conduct research with perpetrators and develop early intervention</w:t>
      </w:r>
    </w:p>
    <w:p w14:paraId="41307F35" w14:textId="25140EB3" w:rsidR="00F5214A" w:rsidRDefault="007D5CED" w:rsidP="002E4FD9">
      <w:pPr>
        <w:rPr>
          <w:lang w:val="en-GB"/>
        </w:rPr>
      </w:pPr>
      <w:r w:rsidRPr="007D5CED">
        <w:rPr>
          <w:lang w:val="en-GB"/>
        </w:rPr>
        <w:t>Australia does not currently collect data on the nature of the perpetration of violence against women. This lack of targeted research underlies prevailing gaps in understanding young men’s and boys’ use of</w:t>
      </w:r>
      <w:r w:rsidR="004C0141">
        <w:rPr>
          <w:lang w:val="en-GB"/>
        </w:rPr>
        <w:t> </w:t>
      </w:r>
      <w:r w:rsidRPr="007D5CED">
        <w:rPr>
          <w:lang w:val="en-GB"/>
        </w:rPr>
        <w:t>violence and the justifications and motivations underlying this violence. The collection of data on</w:t>
      </w:r>
      <w:r w:rsidR="004C0141">
        <w:rPr>
          <w:lang w:val="en-GB"/>
        </w:rPr>
        <w:t> </w:t>
      </w:r>
      <w:r w:rsidRPr="007D5CED">
        <w:rPr>
          <w:lang w:val="en-GB"/>
        </w:rPr>
        <w:t>male perpetration of violence and perpetrator characteristics is critical to informing the development of</w:t>
      </w:r>
      <w:r w:rsidR="004C0141">
        <w:rPr>
          <w:lang w:val="en-GB"/>
        </w:rPr>
        <w:t> </w:t>
      </w:r>
      <w:r w:rsidRPr="007D5CED">
        <w:rPr>
          <w:lang w:val="en-GB"/>
        </w:rPr>
        <w:t xml:space="preserve">effective education models and early intervention strategies. Such research may illuminate opportunities to challenge problematic attitudes and behaviours among young men, including violence-supportive beliefs and the use of coercive control and coercive sexual behaviours (Abbott et al., 2020; Baldwin-White, 2019; Carlisle et al., 2022; </w:t>
      </w:r>
      <w:r w:rsidRPr="007D5CED">
        <w:rPr>
          <w:szCs w:val="20"/>
          <w:lang w:val="en-GB" w:bidi="ar-YE"/>
        </w:rPr>
        <w:t>Øverlien</w:t>
      </w:r>
      <w:r w:rsidRPr="007D5CED">
        <w:rPr>
          <w:lang w:val="en-GB"/>
        </w:rPr>
        <w:t xml:space="preserve"> et al., 2020). </w:t>
      </w:r>
    </w:p>
    <w:p w14:paraId="0D84BF7F" w14:textId="77777777" w:rsidR="00F5214A" w:rsidRDefault="00F5214A">
      <w:pPr>
        <w:spacing w:before="0" w:after="0" w:line="240" w:lineRule="auto"/>
        <w:rPr>
          <w:lang w:val="en-GB"/>
        </w:rPr>
      </w:pPr>
      <w:r>
        <w:rPr>
          <w:lang w:val="en-GB"/>
        </w:rPr>
        <w:br w:type="page"/>
      </w:r>
    </w:p>
    <w:p w14:paraId="7C8CF6A2" w14:textId="3C5E8383" w:rsidR="007D5CED" w:rsidRPr="007D5CED" w:rsidRDefault="007D5CED" w:rsidP="00DC3FE8">
      <w:pPr>
        <w:pStyle w:val="Heading3"/>
      </w:pPr>
      <w:bookmarkStart w:id="238" w:name="_Toc152532426"/>
      <w:bookmarkStart w:id="239" w:name="_Toc190941712"/>
      <w:bookmarkStart w:id="240" w:name="_Toc190942412"/>
      <w:r w:rsidRPr="007D5CED">
        <w:lastRenderedPageBreak/>
        <w:t>10.6</w:t>
      </w:r>
      <w:r w:rsidR="00F5214A">
        <w:t xml:space="preserve"> </w:t>
      </w:r>
      <w:r w:rsidRPr="007D5CED">
        <w:t>Young people’s understanding and attitudes regarding different types of</w:t>
      </w:r>
      <w:r w:rsidR="002E4FD9">
        <w:t xml:space="preserve"> </w:t>
      </w:r>
      <w:r w:rsidRPr="007D5CED">
        <w:t>violence against women</w:t>
      </w:r>
      <w:bookmarkEnd w:id="238"/>
      <w:bookmarkEnd w:id="239"/>
      <w:bookmarkEnd w:id="240"/>
    </w:p>
    <w:tbl>
      <w:tblPr>
        <w:tblW w:w="5000" w:type="pct"/>
        <w:shd w:val="clear" w:color="auto" w:fill="FEF5D5"/>
        <w:tblCellMar>
          <w:left w:w="0" w:type="dxa"/>
          <w:right w:w="0" w:type="dxa"/>
        </w:tblCellMar>
        <w:tblLook w:val="0000" w:firstRow="0" w:lastRow="0" w:firstColumn="0" w:lastColumn="0" w:noHBand="0" w:noVBand="0"/>
      </w:tblPr>
      <w:tblGrid>
        <w:gridCol w:w="9638"/>
      </w:tblGrid>
      <w:tr w:rsidR="007D5CED" w:rsidRPr="00EA1044" w14:paraId="78BF5A32" w14:textId="77777777" w:rsidTr="002E4FD9">
        <w:trPr>
          <w:trHeight w:val="60"/>
        </w:trPr>
        <w:tc>
          <w:tcPr>
            <w:tcW w:w="5000" w:type="pct"/>
            <w:shd w:val="clear" w:color="auto" w:fill="FEF5D5"/>
            <w:tcMar>
              <w:top w:w="283" w:type="dxa"/>
              <w:left w:w="227" w:type="dxa"/>
              <w:bottom w:w="340" w:type="dxa"/>
              <w:right w:w="227" w:type="dxa"/>
            </w:tcMar>
          </w:tcPr>
          <w:p w14:paraId="46DE91A6" w14:textId="0FC38DBA" w:rsidR="007D5CED" w:rsidRPr="007D5CED" w:rsidRDefault="007D5CED" w:rsidP="00F5214A">
            <w:pPr>
              <w:pStyle w:val="Heading4nospacing"/>
            </w:pPr>
            <w:r w:rsidRPr="007D5CED">
              <w:t>Key findings</w:t>
            </w:r>
          </w:p>
          <w:p w14:paraId="63865D40" w14:textId="77777777" w:rsidR="007D5CED" w:rsidRPr="007D5CED" w:rsidRDefault="007D5CED" w:rsidP="0084332B">
            <w:pPr>
              <w:pStyle w:val="Heading5"/>
            </w:pPr>
            <w:r w:rsidRPr="007D5CED">
              <w:t>Similarities in understanding and attitudes regarding different types of violence between young and other respondents</w:t>
            </w:r>
          </w:p>
          <w:p w14:paraId="34B4592F" w14:textId="566B03A8" w:rsidR="007D5CED" w:rsidRPr="007D5CED" w:rsidRDefault="007D5CED" w:rsidP="002E4FD9">
            <w:pPr>
              <w:rPr>
                <w:lang w:val="en-GB"/>
              </w:rPr>
            </w:pPr>
            <w:r w:rsidRPr="007D5CED">
              <w:rPr>
                <w:lang w:val="en-GB"/>
              </w:rPr>
              <w:t>Young Australians and other Australians have many similar attitudes towards specific types of</w:t>
            </w:r>
            <w:r w:rsidR="004C0141" w:rsidRPr="00EA1044">
              <w:rPr>
                <w:lang w:val="en-AU"/>
              </w:rPr>
              <w:t> </w:t>
            </w:r>
            <w:r w:rsidRPr="007D5CED">
              <w:rPr>
                <w:lang w:val="en-GB"/>
              </w:rPr>
              <w:t>violence against women, including sexual and domestic violence. Specifically:</w:t>
            </w:r>
          </w:p>
          <w:p w14:paraId="05CE405C" w14:textId="77777777" w:rsidR="007D5CED" w:rsidRPr="007D5CED" w:rsidRDefault="007D5CED" w:rsidP="002E4FD9">
            <w:pPr>
              <w:pStyle w:val="ListBullet"/>
              <w:rPr>
                <w:lang w:val="en-GB"/>
              </w:rPr>
            </w:pPr>
            <w:r w:rsidRPr="007D5CED">
              <w:rPr>
                <w:lang w:val="en-GB"/>
              </w:rPr>
              <w:t xml:space="preserve">Between 2017 and 2021, young respondents, like respondents of all ages, significantly increased their rejection of sexual violence (including sexual harassment and sexual assault) but showed minimal change in attitudes towards domestic violence. </w:t>
            </w:r>
          </w:p>
          <w:p w14:paraId="66947133" w14:textId="345B4E7B" w:rsidR="007D5CED" w:rsidRDefault="007D5CED" w:rsidP="002E4FD9">
            <w:pPr>
              <w:pStyle w:val="ListBullet"/>
              <w:rPr>
                <w:lang w:val="en-GB"/>
              </w:rPr>
            </w:pPr>
            <w:r w:rsidRPr="007D5CED">
              <w:rPr>
                <w:lang w:val="en-GB"/>
              </w:rPr>
              <w:t>In 2021, there were no significant differences between young respondents and those aged 25</w:t>
            </w:r>
            <w:r w:rsidR="004C0141" w:rsidRPr="00EA1044">
              <w:rPr>
                <w:lang w:val="en-AU"/>
              </w:rPr>
              <w:t> </w:t>
            </w:r>
            <w:r w:rsidRPr="007D5CED">
              <w:rPr>
                <w:lang w:val="en-GB"/>
              </w:rPr>
              <w:t>years</w:t>
            </w:r>
            <w:r w:rsidRPr="007D5CED">
              <w:rPr>
                <w:lang w:val="en-US"/>
              </w:rPr>
              <w:t xml:space="preserve"> or older </w:t>
            </w:r>
            <w:r w:rsidRPr="007D5CED">
              <w:rPr>
                <w:lang w:val="en-GB"/>
              </w:rPr>
              <w:t>in the percentage demonstrating “advanced” attitudes towards violence against women overall, sexual violence and domestic violence.</w:t>
            </w:r>
          </w:p>
          <w:p w14:paraId="67C78C90" w14:textId="77777777" w:rsidR="00E06E76" w:rsidRPr="007D5CED" w:rsidRDefault="00E06E76" w:rsidP="00E06E76">
            <w:pPr>
              <w:rPr>
                <w:lang w:val="en-GB"/>
              </w:rPr>
            </w:pPr>
            <w:r w:rsidRPr="007D5CED">
              <w:rPr>
                <w:lang w:val="en-GB"/>
              </w:rPr>
              <w:t>Regarding domestic violence findings for young respondents and respondents of all ages:</w:t>
            </w:r>
          </w:p>
          <w:p w14:paraId="6D6864C0" w14:textId="77777777" w:rsidR="00E06E76" w:rsidRPr="007D5CED" w:rsidRDefault="00E06E76" w:rsidP="00E06E76">
            <w:pPr>
              <w:pStyle w:val="ListBullet"/>
              <w:rPr>
                <w:lang w:val="en-GB"/>
              </w:rPr>
            </w:pPr>
            <w:r w:rsidRPr="007D5CED">
              <w:rPr>
                <w:lang w:val="en-GB"/>
              </w:rPr>
              <w:t>Most respondents “strongly disagreed” with problematic attitudes towards domestic violence.</w:t>
            </w:r>
          </w:p>
          <w:p w14:paraId="58EDFDEE" w14:textId="77777777" w:rsidR="00E06E76" w:rsidRPr="007D5CED" w:rsidRDefault="00E06E76" w:rsidP="00E06E76">
            <w:pPr>
              <w:pStyle w:val="ListBullet"/>
              <w:rPr>
                <w:lang w:val="en-GB"/>
              </w:rPr>
            </w:pPr>
            <w:r w:rsidRPr="007D5CED">
              <w:rPr>
                <w:lang w:val="en-GB"/>
              </w:rPr>
              <w:t xml:space="preserve">A minority of respondents endorsed attitudes that mistrust women’s reports of domestic violence and attitudes that minimise or shift blame for violent acts from the perpetrator to the victim or survivor. </w:t>
            </w:r>
          </w:p>
          <w:p w14:paraId="3D3367C1" w14:textId="77777777" w:rsidR="00E06E76" w:rsidRPr="007D5CED" w:rsidRDefault="00E06E76" w:rsidP="00E06E76">
            <w:pPr>
              <w:rPr>
                <w:lang w:val="en-GB"/>
              </w:rPr>
            </w:pPr>
            <w:r w:rsidRPr="007D5CED">
              <w:rPr>
                <w:lang w:val="en-GB"/>
              </w:rPr>
              <w:t>Regarding sexual violence findings for young respondents and respondents of all ages:</w:t>
            </w:r>
          </w:p>
          <w:p w14:paraId="78203E36" w14:textId="77777777" w:rsidR="00E06E76" w:rsidRPr="007D5CED" w:rsidRDefault="00E06E76" w:rsidP="00E06E76">
            <w:pPr>
              <w:pStyle w:val="ListBullet"/>
              <w:rPr>
                <w:lang w:val="en-GB"/>
              </w:rPr>
            </w:pPr>
            <w:r w:rsidRPr="007D5CED">
              <w:rPr>
                <w:lang w:val="en-GB"/>
              </w:rPr>
              <w:t xml:space="preserve">Most respondents “strongly disagreed” with problematic attitudes towards sexual violence, especially those that excuse rape, but disagreement was weaker if the woman initially showed interest in sex. </w:t>
            </w:r>
          </w:p>
          <w:p w14:paraId="07FF9B6D" w14:textId="4C63BB2B" w:rsidR="00E06E76" w:rsidRPr="007D5CED" w:rsidRDefault="00E06E76" w:rsidP="00E06E76">
            <w:pPr>
              <w:pStyle w:val="ListBullet"/>
              <w:rPr>
                <w:lang w:val="en-GB"/>
              </w:rPr>
            </w:pPr>
            <w:r w:rsidRPr="007D5CED">
              <w:rPr>
                <w:lang w:val="en-GB"/>
              </w:rPr>
              <w:t>A minority of respondents endorsed hostile stereotypes of women as vengeful and untrustworthy, attitudes that perpetrators are less culpable if they are under the influence of</w:t>
            </w:r>
            <w:r w:rsidR="004C0141">
              <w:rPr>
                <w:lang w:val="en-GB"/>
              </w:rPr>
              <w:t> </w:t>
            </w:r>
            <w:r w:rsidRPr="007D5CED">
              <w:rPr>
                <w:lang w:val="en-GB"/>
              </w:rPr>
              <w:t>drugs or alcohol, and rape myths that sexual assault is primarily committed by strangers.</w:t>
            </w:r>
          </w:p>
          <w:p w14:paraId="73FA572C" w14:textId="77777777" w:rsidR="00E06E76" w:rsidRPr="007D5CED" w:rsidRDefault="00E06E76" w:rsidP="00E06E76">
            <w:pPr>
              <w:pStyle w:val="ListBullet"/>
              <w:rPr>
                <w:lang w:val="en-GB"/>
              </w:rPr>
            </w:pPr>
            <w:r w:rsidRPr="007D5CED">
              <w:rPr>
                <w:lang w:val="en-GB"/>
              </w:rPr>
              <w:t xml:space="preserve">A minority of respondents supported myths that sexual harassment is flattering or benign. </w:t>
            </w:r>
          </w:p>
          <w:p w14:paraId="65EF2420" w14:textId="77777777" w:rsidR="00E06E76" w:rsidRPr="007D5CED" w:rsidRDefault="00E06E76" w:rsidP="00E06E76">
            <w:pPr>
              <w:rPr>
                <w:lang w:val="en-GB"/>
              </w:rPr>
            </w:pPr>
            <w:r w:rsidRPr="007D5CED">
              <w:rPr>
                <w:lang w:val="en-GB"/>
              </w:rPr>
              <w:t>Regarding technology-facilitated abuse, most respondents across age groups recognised technology-facilitated abuse as violence against women and “strongly disagreed” with problematic attitudes towards this abuse. However, a minority of respondents held misconceptions that technology-facilitated abuse is not serious.</w:t>
            </w:r>
          </w:p>
          <w:p w14:paraId="6A97ED4A" w14:textId="77777777" w:rsidR="00E06E76" w:rsidRDefault="00E06E76" w:rsidP="004C0141">
            <w:pPr>
              <w:rPr>
                <w:lang w:val="en-GB"/>
              </w:rPr>
            </w:pPr>
            <w:r w:rsidRPr="007D5CED">
              <w:rPr>
                <w:lang w:val="en-GB"/>
              </w:rPr>
              <w:t>Regarding stalking, the majority of respondents across age groups recognised both technology-facilitated and in-person stalking as a form of violence, although a concerning minority failed to</w:t>
            </w:r>
            <w:r w:rsidR="004C0141">
              <w:rPr>
                <w:lang w:val="en-GB"/>
              </w:rPr>
              <w:t> </w:t>
            </w:r>
            <w:r w:rsidRPr="007D5CED">
              <w:rPr>
                <w:lang w:val="en-GB"/>
              </w:rPr>
              <w:t>recognise this.</w:t>
            </w:r>
          </w:p>
          <w:p w14:paraId="61771C9A" w14:textId="77777777" w:rsidR="00F5214A" w:rsidRPr="007D5CED" w:rsidRDefault="00F5214A" w:rsidP="00F5214A">
            <w:pPr>
              <w:pStyle w:val="Heading5"/>
            </w:pPr>
            <w:r w:rsidRPr="007D5CED">
              <w:t>Differences in understanding and attitudes regarding different types of violence between young and other respondents</w:t>
            </w:r>
          </w:p>
          <w:p w14:paraId="31912F4A" w14:textId="77777777" w:rsidR="00F5214A" w:rsidRPr="007D5CED" w:rsidRDefault="00F5214A" w:rsidP="00F5214A">
            <w:pPr>
              <w:rPr>
                <w:lang w:val="en-GB"/>
              </w:rPr>
            </w:pPr>
            <w:r w:rsidRPr="007D5CED">
              <w:rPr>
                <w:lang w:val="en-GB"/>
              </w:rPr>
              <w:t>Young respondents were different to respondents aged 25 years or older or respondents of all ages (Main report) in some key areas:</w:t>
            </w:r>
          </w:p>
          <w:p w14:paraId="29D00094" w14:textId="77777777" w:rsidR="00F5214A" w:rsidRPr="007D5CED" w:rsidRDefault="00F5214A" w:rsidP="00F5214A">
            <w:pPr>
              <w:pStyle w:val="ListBullet"/>
              <w:rPr>
                <w:lang w:val="en-GB"/>
              </w:rPr>
            </w:pPr>
            <w:r w:rsidRPr="007D5CED">
              <w:rPr>
                <w:lang w:val="en-GB"/>
              </w:rPr>
              <w:t>In 2021, young respondents had significantly higher rejection of sexual violence than rejection of domestic violence and technology-facilitated abuse, whereas there were no significant differences between levels of rejection of these types of violence for respondents of all ages.</w:t>
            </w:r>
          </w:p>
          <w:p w14:paraId="2BB2E750" w14:textId="77777777" w:rsidR="00F5214A" w:rsidRPr="007D5CED" w:rsidRDefault="00F5214A" w:rsidP="00F5214A">
            <w:pPr>
              <w:pStyle w:val="ListBullet"/>
              <w:rPr>
                <w:lang w:val="en-GB"/>
              </w:rPr>
            </w:pPr>
            <w:r w:rsidRPr="007D5CED">
              <w:rPr>
                <w:lang w:val="en-GB"/>
              </w:rPr>
              <w:t>Young respondents were significantly more likely than respondents aged 25 years</w:t>
            </w:r>
            <w:r w:rsidRPr="007D5CED">
              <w:rPr>
                <w:lang w:val="en-US"/>
              </w:rPr>
              <w:t xml:space="preserve"> or older</w:t>
            </w:r>
            <w:r w:rsidRPr="007D5CED">
              <w:rPr>
                <w:lang w:val="en-GB"/>
              </w:rPr>
              <w:t xml:space="preserve"> to</w:t>
            </w:r>
            <w:r>
              <w:rPr>
                <w:lang w:val="en-GB"/>
              </w:rPr>
              <w:t> </w:t>
            </w:r>
            <w:r w:rsidRPr="007D5CED">
              <w:rPr>
                <w:lang w:val="en-GB"/>
              </w:rPr>
              <w:t>“somewhat” or “strongly” agree that they would know where to go to get support for someone experiencing domestic violence, although there is room for improvement across the</w:t>
            </w:r>
            <w:r>
              <w:rPr>
                <w:lang w:val="en-GB"/>
              </w:rPr>
              <w:t> </w:t>
            </w:r>
            <w:r w:rsidRPr="007D5CED">
              <w:rPr>
                <w:lang w:val="en-GB"/>
              </w:rPr>
              <w:t>population.</w:t>
            </w:r>
          </w:p>
          <w:p w14:paraId="0960AEB9" w14:textId="77777777" w:rsidR="00F5214A" w:rsidRPr="007D5CED" w:rsidRDefault="00F5214A" w:rsidP="00F5214A">
            <w:pPr>
              <w:pStyle w:val="ListBullet"/>
              <w:rPr>
                <w:lang w:val="en-GB"/>
              </w:rPr>
            </w:pPr>
            <w:r w:rsidRPr="007D5CED">
              <w:rPr>
                <w:lang w:val="en-GB"/>
              </w:rPr>
              <w:lastRenderedPageBreak/>
              <w:t>Age differences regarding attitudes to sexual violence involving alcohol or drugs depended on</w:t>
            </w:r>
            <w:r>
              <w:rPr>
                <w:lang w:val="en-GB"/>
              </w:rPr>
              <w:t> </w:t>
            </w:r>
            <w:r w:rsidRPr="007D5CED">
              <w:rPr>
                <w:lang w:val="en-GB"/>
              </w:rPr>
              <w:t>whether it was the perpetrator or victim who had used alcohol or drugs. Compared to</w:t>
            </w:r>
            <w:r>
              <w:rPr>
                <w:lang w:val="en-GB"/>
              </w:rPr>
              <w:t> </w:t>
            </w:r>
            <w:r w:rsidRPr="007D5CED">
              <w:rPr>
                <w:lang w:val="en-GB"/>
              </w:rPr>
              <w:t>respondents aged 25 years</w:t>
            </w:r>
            <w:r w:rsidRPr="007D5CED">
              <w:rPr>
                <w:lang w:val="en-US"/>
              </w:rPr>
              <w:t xml:space="preserve"> or older</w:t>
            </w:r>
            <w:r w:rsidRPr="007D5CED">
              <w:rPr>
                <w:lang w:val="en-GB"/>
              </w:rPr>
              <w:t>, young respondents were significantly:</w:t>
            </w:r>
          </w:p>
          <w:p w14:paraId="5D1BADB2" w14:textId="77777777" w:rsidR="00F5214A" w:rsidRPr="007D5CED" w:rsidRDefault="00F5214A" w:rsidP="00F5214A">
            <w:pPr>
              <w:pStyle w:val="ListBullet2"/>
              <w:rPr>
                <w:vertAlign w:val="superscript"/>
              </w:rPr>
            </w:pPr>
            <w:r w:rsidRPr="0073256E">
              <w:rPr>
                <w:rStyle w:val="Emphasis"/>
              </w:rPr>
              <w:t>more likely</w:t>
            </w:r>
            <w:r w:rsidRPr="007D5CED">
              <w:t xml:space="preserve"> to excuse the perpetrator if he was drunk or affected by drugs</w:t>
            </w:r>
            <w:r w:rsidRPr="007D5CED">
              <w:rPr>
                <w:vertAlign w:val="superscript"/>
              </w:rPr>
              <w:footnoteReference w:id="51"/>
            </w:r>
          </w:p>
          <w:p w14:paraId="5487CC8F" w14:textId="09E3723D" w:rsidR="00F5214A" w:rsidRPr="00F319CD" w:rsidRDefault="00F5214A" w:rsidP="0013577A">
            <w:pPr>
              <w:pStyle w:val="ListBullet2"/>
            </w:pPr>
            <w:r w:rsidRPr="0073256E">
              <w:rPr>
                <w:rStyle w:val="Emphasis"/>
              </w:rPr>
              <w:t>less likely</w:t>
            </w:r>
            <w:r w:rsidRPr="002E4FD9">
              <w:t xml:space="preserve"> to excuse the perpetrator if the victim was drunk and fell asleep.</w:t>
            </w:r>
          </w:p>
        </w:tc>
      </w:tr>
    </w:tbl>
    <w:p w14:paraId="4ED4119F" w14:textId="53BCBBBD" w:rsidR="007D5CED" w:rsidRPr="007D5CED" w:rsidRDefault="007D5CED" w:rsidP="0084332B">
      <w:pPr>
        <w:pStyle w:val="Heading4"/>
      </w:pPr>
      <w:r w:rsidRPr="007D5CED">
        <w:lastRenderedPageBreak/>
        <w:t>Implications</w:t>
      </w:r>
    </w:p>
    <w:p w14:paraId="38B4E5D7" w14:textId="06DF56D0" w:rsidR="007D5CED" w:rsidRPr="007D5CED" w:rsidRDefault="007D5CED" w:rsidP="002E4FD9">
      <w:pPr>
        <w:rPr>
          <w:lang w:val="en-GB"/>
        </w:rPr>
      </w:pPr>
      <w:r w:rsidRPr="007D5CED">
        <w:rPr>
          <w:lang w:val="en-GB"/>
        </w:rPr>
        <w:t>Implications for the findings regarding attitudes towards types of violence against women that were</w:t>
      </w:r>
      <w:r w:rsidR="00262EF5">
        <w:rPr>
          <w:lang w:val="en-GB"/>
        </w:rPr>
        <w:t> </w:t>
      </w:r>
      <w:r w:rsidRPr="007D5CED">
        <w:rPr>
          <w:lang w:val="en-GB"/>
        </w:rPr>
        <w:t>similar for young respondents and respondents of all ages are discussed in the Main report (pp.</w:t>
      </w:r>
      <w:r w:rsidR="00262EF5">
        <w:rPr>
          <w:lang w:val="en-GB"/>
        </w:rPr>
        <w:t> </w:t>
      </w:r>
      <w:r w:rsidRPr="007D5CED">
        <w:rPr>
          <w:lang w:val="en-GB"/>
        </w:rPr>
        <w:t>249</w:t>
      </w:r>
      <w:r w:rsidR="00262EF5">
        <w:rPr>
          <w:lang w:val="en-GB"/>
        </w:rPr>
        <w:noBreakHyphen/>
      </w:r>
      <w:r w:rsidRPr="007D5CED">
        <w:rPr>
          <w:lang w:val="en-GB"/>
        </w:rPr>
        <w:t>258). Unique implications for young Australians are as follows.</w:t>
      </w:r>
    </w:p>
    <w:p w14:paraId="0EE24439" w14:textId="77777777" w:rsidR="007D5CED" w:rsidRPr="007D5CED" w:rsidRDefault="007D5CED" w:rsidP="0084332B">
      <w:pPr>
        <w:pStyle w:val="Heading5"/>
      </w:pPr>
      <w:r w:rsidRPr="007D5CED">
        <w:t xml:space="preserve">Learn from the finding that most young people know where to seek help for domestic violence </w:t>
      </w:r>
    </w:p>
    <w:p w14:paraId="195FED64" w14:textId="6D4D2D2F" w:rsidR="007D5CED" w:rsidRPr="007D5CED" w:rsidRDefault="007D5CED" w:rsidP="002E4FD9">
      <w:pPr>
        <w:rPr>
          <w:lang w:val="en-GB"/>
        </w:rPr>
      </w:pPr>
      <w:r w:rsidRPr="007D5CED">
        <w:rPr>
          <w:lang w:val="en-GB"/>
        </w:rPr>
        <w:t>The finding that most young people understand where to seek help for someone experiencing domestic violence is positive. A study by Hegarty et al., (2022) on the experiences of victims of intimate partner or sexual violence found that young women under 25 years of age were less likely to seek support from health and specialist services and more likely to seek support from family and friends. To</w:t>
      </w:r>
      <w:r w:rsidR="00262EF5">
        <w:rPr>
          <w:lang w:val="en-GB"/>
        </w:rPr>
        <w:t> </w:t>
      </w:r>
      <w:r w:rsidRPr="007D5CED">
        <w:rPr>
          <w:lang w:val="en-GB"/>
        </w:rPr>
        <w:t>ensure that help-seeking from family and friends is connected to appropriate supports, the study recommended that family and friends receive “allies training” using the CARE model – Choice and control, Action and advocacy, Recognition and understanding, Emotional connection – to increase their understanding of the available services (Tarzia et al., 2020 cited in Hegarty et al., 2022).</w:t>
      </w:r>
    </w:p>
    <w:p w14:paraId="1022CF07" w14:textId="77417FA0" w:rsidR="007D5CED" w:rsidRPr="007D5CED" w:rsidRDefault="007D5CED" w:rsidP="002E4FD9">
      <w:pPr>
        <w:rPr>
          <w:lang w:val="en-GB"/>
        </w:rPr>
      </w:pPr>
      <w:r w:rsidRPr="007D5CED">
        <w:rPr>
          <w:lang w:val="en-GB"/>
        </w:rPr>
        <w:t>Although there is room for improvement across all ages, young respondents were more likely than those aged 25 years or older to state that they know where to seek help for someone experiencing domestic violence. There is an opportunity to investigate this finding further to understand how knowledge of services could be bolstered further for young people and what barriers to reporting and accessing services remain for young people, as well as to leverage these learnings where applicable for Australians aged 25 years or older. Further investigation of knowledge of help-seeking for domestic violence among young people, their parents and support networks may identify unmet support needs in these groups. Recent research suggests that families experiencing adolescent violence in the home have limited access to service support (E. Campbell et al., 2020). All Australians should be aware of the resources and support systems available to those using violence and those directly or indirectly affected by violence (E. Campbell et al., 2023).</w:t>
      </w:r>
    </w:p>
    <w:p w14:paraId="226CEDC7" w14:textId="77777777" w:rsidR="007D5CED" w:rsidRPr="007D5CED" w:rsidRDefault="007D5CED" w:rsidP="0084332B">
      <w:pPr>
        <w:pStyle w:val="Heading5"/>
      </w:pPr>
      <w:r w:rsidRPr="007D5CED">
        <w:t>Implement sexual violence prevention initiatives with young people and across the population</w:t>
      </w:r>
    </w:p>
    <w:p w14:paraId="47EAA18A" w14:textId="7DDC954D" w:rsidR="007D5CED" w:rsidRPr="007D5CED" w:rsidRDefault="007D5CED" w:rsidP="002E4FD9">
      <w:pPr>
        <w:rPr>
          <w:lang w:val="en-GB"/>
        </w:rPr>
      </w:pPr>
      <w:r w:rsidRPr="007D5CED">
        <w:rPr>
          <w:lang w:val="en-GB"/>
        </w:rPr>
        <w:t>Alcohol can weaken prosocial behaviour and inhibition, and when combined with sexist attitudes and stereotypical masculine aggression, can increase the likelihood of perpetrating violence against women</w:t>
      </w:r>
      <w:r w:rsidR="00262EF5">
        <w:rPr>
          <w:lang w:val="en-GB"/>
        </w:rPr>
        <w:t> </w:t>
      </w:r>
      <w:r w:rsidRPr="007D5CED">
        <w:rPr>
          <w:lang w:val="en-GB"/>
        </w:rPr>
        <w:t>(DSS, 2022; Laslett et al., 2015; Laslett et al., 2021; Our Watch, 2021a). The NCAS results highlight the complexity of attitudes towards sexual violence that involve alcohol or other drug use. Compared</w:t>
      </w:r>
      <w:r w:rsidR="00262EF5">
        <w:rPr>
          <w:lang w:val="en-GB"/>
        </w:rPr>
        <w:t> </w:t>
      </w:r>
      <w:r w:rsidRPr="007D5CED">
        <w:rPr>
          <w:lang w:val="en-GB"/>
        </w:rPr>
        <w:t>to</w:t>
      </w:r>
      <w:r w:rsidR="00262EF5">
        <w:rPr>
          <w:lang w:val="en-GB"/>
        </w:rPr>
        <w:t> </w:t>
      </w:r>
      <w:r w:rsidRPr="007D5CED">
        <w:rPr>
          <w:lang w:val="en-GB"/>
        </w:rPr>
        <w:t>those aged 25 years or older, young respondents were more likely to excuse the perpetrator if he was under the influence of alcohol or drugs but less likely to do so if the victim was drunk and fell asleep. The results support the need for awareness-raising initiatives across all age cohorts to improve understanding that consent must be active and ongoing and cannot be disregarded when the victim or</w:t>
      </w:r>
      <w:r w:rsidR="00262EF5">
        <w:rPr>
          <w:lang w:val="en-GB"/>
        </w:rPr>
        <w:t> </w:t>
      </w:r>
      <w:r w:rsidRPr="007D5CED">
        <w:rPr>
          <w:lang w:val="en-GB"/>
        </w:rPr>
        <w:t>offender is under the influence of alcohol or other drugs.</w:t>
      </w:r>
    </w:p>
    <w:p w14:paraId="0F441875" w14:textId="6D49F555" w:rsidR="007D5CED" w:rsidRPr="007D5CED" w:rsidRDefault="007D5CED" w:rsidP="002E4FD9">
      <w:pPr>
        <w:rPr>
          <w:lang w:val="en-GB"/>
        </w:rPr>
      </w:pPr>
      <w:r w:rsidRPr="007D5CED">
        <w:rPr>
          <w:lang w:val="en-GB"/>
        </w:rPr>
        <w:t>According to AIHW (2020), the average (mean) age in 2019 that young people first tried alcohol was 16.2</w:t>
      </w:r>
      <w:r w:rsidR="00262EF5">
        <w:rPr>
          <w:lang w:val="en-GB"/>
        </w:rPr>
        <w:t> </w:t>
      </w:r>
      <w:r w:rsidRPr="007D5CED">
        <w:rPr>
          <w:lang w:val="en-GB"/>
        </w:rPr>
        <w:t>years. As a result, high school is a key time for primary prevention of sexual violence, before attitudes towards alcohol, drugs and sexual intimacy are solidified. Violence prevention initiatives during high school could be used to raise awareness of how alcohol can affect consent and to enhance young people’s skills and confidence for handling situations involving alcohol and social pressure. Thus,</w:t>
      </w:r>
      <w:r w:rsidR="00262EF5">
        <w:rPr>
          <w:lang w:val="en-GB"/>
        </w:rPr>
        <w:t> </w:t>
      </w:r>
      <w:r w:rsidRPr="007D5CED">
        <w:rPr>
          <w:lang w:val="en-GB"/>
        </w:rPr>
        <w:t>it</w:t>
      </w:r>
      <w:r w:rsidR="00262EF5">
        <w:rPr>
          <w:lang w:val="en-GB"/>
        </w:rPr>
        <w:t> </w:t>
      </w:r>
      <w:r w:rsidRPr="007D5CED">
        <w:rPr>
          <w:lang w:val="en-GB"/>
        </w:rPr>
        <w:t>is</w:t>
      </w:r>
      <w:r w:rsidR="00262EF5">
        <w:rPr>
          <w:lang w:val="en-GB"/>
        </w:rPr>
        <w:t> </w:t>
      </w:r>
      <w:r w:rsidRPr="007D5CED">
        <w:rPr>
          <w:lang w:val="en-GB"/>
        </w:rPr>
        <w:t xml:space="preserve">important that </w:t>
      </w:r>
      <w:r w:rsidRPr="007D5CED">
        <w:rPr>
          <w:lang w:val="en-GB"/>
        </w:rPr>
        <w:lastRenderedPageBreak/>
        <w:t>consent education and respectful relationships education should encompass</w:t>
      </w:r>
      <w:r w:rsidR="00262EF5">
        <w:rPr>
          <w:lang w:val="en-GB"/>
        </w:rPr>
        <w:t> </w:t>
      </w:r>
      <w:r w:rsidRPr="007D5CED">
        <w:rPr>
          <w:lang w:val="en-GB"/>
        </w:rPr>
        <w:t>scenarios involving alcohol (Cooper, 2002).</w:t>
      </w:r>
    </w:p>
    <w:p w14:paraId="426AF481" w14:textId="7C4492F8" w:rsidR="007D5CED" w:rsidRPr="007D5CED" w:rsidRDefault="007D5CED" w:rsidP="002E4FD9">
      <w:pPr>
        <w:rPr>
          <w:lang w:val="en-GB"/>
        </w:rPr>
      </w:pPr>
      <w:r w:rsidRPr="007D5CED">
        <w:rPr>
          <w:lang w:val="en-GB"/>
        </w:rPr>
        <w:t>Research suggests that universities are also important settings for sexual violence prevention initiatives. For example, a recent study revealed that since starting university, 16 per cent of students had experienced sexual harassment and 5 per cent had experienced sexual assault in an Australian university context (Heywood et al., 2022). Participating students were asked what universities could do</w:t>
      </w:r>
      <w:r w:rsidR="00262EF5">
        <w:rPr>
          <w:lang w:val="en-GB"/>
        </w:rPr>
        <w:t> </w:t>
      </w:r>
      <w:r w:rsidRPr="007D5CED">
        <w:rPr>
          <w:lang w:val="en-GB"/>
        </w:rPr>
        <w:t>to reduce incidents of sexual harassment and sexual assault (Heywood et al., 2022). They most frequently reported awareness-raising initiatives (41%) and improvements to policy (31%), followed</w:t>
      </w:r>
      <w:r w:rsidR="00262EF5">
        <w:rPr>
          <w:lang w:val="en-GB"/>
        </w:rPr>
        <w:t> </w:t>
      </w:r>
      <w:r w:rsidRPr="007D5CED">
        <w:rPr>
          <w:lang w:val="en-GB"/>
        </w:rPr>
        <w:t>by</w:t>
      </w:r>
      <w:r w:rsidR="00262EF5">
        <w:rPr>
          <w:lang w:val="en-GB"/>
        </w:rPr>
        <w:t> </w:t>
      </w:r>
      <w:r w:rsidRPr="007D5CED">
        <w:rPr>
          <w:lang w:val="en-GB"/>
        </w:rPr>
        <w:t>increased and improved support (16%) and security (14%) and cultural change (9%;</w:t>
      </w:r>
      <w:r w:rsidR="00262EF5">
        <w:rPr>
          <w:lang w:val="en-GB"/>
        </w:rPr>
        <w:t> </w:t>
      </w:r>
      <w:r w:rsidRPr="007D5CED">
        <w:rPr>
          <w:lang w:val="en-GB"/>
        </w:rPr>
        <w:t>Heywood</w:t>
      </w:r>
      <w:r w:rsidR="00262EF5">
        <w:rPr>
          <w:lang w:val="en-GB"/>
        </w:rPr>
        <w:t> </w:t>
      </w:r>
      <w:r w:rsidRPr="007D5CED">
        <w:rPr>
          <w:lang w:val="en-GB"/>
        </w:rPr>
        <w:t>et</w:t>
      </w:r>
      <w:r w:rsidR="00262EF5">
        <w:rPr>
          <w:lang w:val="en-GB"/>
        </w:rPr>
        <w:t> </w:t>
      </w:r>
      <w:r w:rsidRPr="007D5CED">
        <w:rPr>
          <w:lang w:val="en-GB"/>
        </w:rPr>
        <w:t>al.,</w:t>
      </w:r>
      <w:r w:rsidR="00262EF5">
        <w:rPr>
          <w:lang w:val="en-GB"/>
        </w:rPr>
        <w:t> </w:t>
      </w:r>
      <w:r w:rsidRPr="007D5CED">
        <w:rPr>
          <w:lang w:val="en-GB"/>
        </w:rPr>
        <w:t>2022).</w:t>
      </w:r>
    </w:p>
    <w:p w14:paraId="1C32D4F4" w14:textId="77777777" w:rsidR="007D5CED" w:rsidRPr="007D5CED" w:rsidRDefault="007D5CED" w:rsidP="0084332B">
      <w:pPr>
        <w:pStyle w:val="Heading5"/>
      </w:pPr>
      <w:r w:rsidRPr="007D5CED">
        <w:t>Implications regarding technology-facilitated abuse</w:t>
      </w:r>
    </w:p>
    <w:p w14:paraId="23D748ED" w14:textId="28E919DA" w:rsidR="007D5CED" w:rsidRDefault="007D5CED" w:rsidP="002E4FD9">
      <w:pPr>
        <w:rPr>
          <w:lang w:val="en-GB"/>
        </w:rPr>
      </w:pPr>
      <w:r w:rsidRPr="007D5CED">
        <w:rPr>
          <w:lang w:val="en-GB"/>
        </w:rPr>
        <w:t>See the “</w:t>
      </w:r>
      <w:r w:rsidRPr="0073256E">
        <w:rPr>
          <w:rStyle w:val="Emphasis"/>
          <w:lang w:val="en-US"/>
        </w:rPr>
        <w:t>Reframe ‘care and concern’ to support young people to recognise abusive behaviour</w:t>
      </w:r>
      <w:r w:rsidRPr="007D5CED">
        <w:rPr>
          <w:lang w:val="en-GB"/>
        </w:rPr>
        <w:t>” implication in</w:t>
      </w:r>
      <w:r w:rsidR="00262EF5">
        <w:rPr>
          <w:lang w:val="en-GB"/>
        </w:rPr>
        <w:t> </w:t>
      </w:r>
      <w:r w:rsidRPr="007D5CED">
        <w:rPr>
          <w:lang w:val="en-GB"/>
        </w:rPr>
        <w:t>Section 10.3 of the present report for implications regarding technology-facilitated abuse as a type of</w:t>
      </w:r>
      <w:r w:rsidR="00262EF5">
        <w:rPr>
          <w:lang w:val="en-GB"/>
        </w:rPr>
        <w:t> </w:t>
      </w:r>
      <w:r w:rsidRPr="007D5CED">
        <w:rPr>
          <w:lang w:val="en-GB"/>
        </w:rPr>
        <w:t>violence.</w:t>
      </w:r>
    </w:p>
    <w:p w14:paraId="15155F34" w14:textId="5CAFC875" w:rsidR="007D5CED" w:rsidRPr="007D5CED" w:rsidRDefault="007D5CED" w:rsidP="00DC3FE8">
      <w:pPr>
        <w:pStyle w:val="Heading3"/>
      </w:pPr>
      <w:bookmarkStart w:id="241" w:name="_Toc152532427"/>
      <w:bookmarkStart w:id="242" w:name="_Toc190941713"/>
      <w:bookmarkStart w:id="243" w:name="_Toc190942413"/>
      <w:r w:rsidRPr="007D5CED">
        <w:t>10.7</w:t>
      </w:r>
      <w:r w:rsidR="00F5214A">
        <w:t xml:space="preserve"> </w:t>
      </w:r>
      <w:r w:rsidRPr="007D5CED">
        <w:t>Young people’s bystander responses</w:t>
      </w:r>
      <w:bookmarkEnd w:id="241"/>
      <w:bookmarkEnd w:id="242"/>
      <w:bookmarkEnd w:id="243"/>
    </w:p>
    <w:tbl>
      <w:tblPr>
        <w:tblW w:w="5000" w:type="pct"/>
        <w:tblCellMar>
          <w:left w:w="0" w:type="dxa"/>
          <w:right w:w="0" w:type="dxa"/>
        </w:tblCellMar>
        <w:tblLook w:val="0000" w:firstRow="0" w:lastRow="0" w:firstColumn="0" w:lastColumn="0" w:noHBand="0" w:noVBand="0"/>
      </w:tblPr>
      <w:tblGrid>
        <w:gridCol w:w="9638"/>
      </w:tblGrid>
      <w:tr w:rsidR="007D5CED" w:rsidRPr="00EA1044" w14:paraId="7B9628F2" w14:textId="77777777" w:rsidTr="00A00366">
        <w:trPr>
          <w:trHeight w:val="60"/>
        </w:trPr>
        <w:tc>
          <w:tcPr>
            <w:tcW w:w="5000" w:type="pct"/>
            <w:shd w:val="clear" w:color="auto" w:fill="FEF5D5"/>
            <w:tcMar>
              <w:top w:w="283" w:type="dxa"/>
              <w:left w:w="227" w:type="dxa"/>
              <w:bottom w:w="340" w:type="dxa"/>
              <w:right w:w="227" w:type="dxa"/>
            </w:tcMar>
          </w:tcPr>
          <w:p w14:paraId="6FF1FCB8" w14:textId="77777777" w:rsidR="007D5CED" w:rsidRPr="007D5CED" w:rsidRDefault="007D5CED" w:rsidP="00F5214A">
            <w:pPr>
              <w:pStyle w:val="Heading4nospacing"/>
            </w:pPr>
            <w:r w:rsidRPr="007D5CED">
              <w:t>Key findings</w:t>
            </w:r>
          </w:p>
          <w:p w14:paraId="31790CD7" w14:textId="77777777" w:rsidR="007D5CED" w:rsidRPr="007D5CED" w:rsidRDefault="007D5CED" w:rsidP="0084332B">
            <w:pPr>
              <w:pStyle w:val="Heading5"/>
            </w:pPr>
            <w:r w:rsidRPr="007D5CED">
              <w:t>Similarities in bystander responses between young and other respondents</w:t>
            </w:r>
          </w:p>
          <w:p w14:paraId="0BEE6076" w14:textId="77777777" w:rsidR="007D5CED" w:rsidRPr="007D5CED" w:rsidRDefault="007D5CED" w:rsidP="00347A41">
            <w:pPr>
              <w:rPr>
                <w:lang w:val="en-GB"/>
              </w:rPr>
            </w:pPr>
            <w:r w:rsidRPr="007D5CED">
              <w:rPr>
                <w:lang w:val="en-GB"/>
              </w:rPr>
              <w:t>Most Australians of all ages intend to intervene prosocially in response to witnessing abuse and disrespect against women. However, prosocial bystander intervention is context-dependent and can vary according to the type of disrespectful or abusive behaviour and power differentials. Specifically, young respondents and respondents of all ages:</w:t>
            </w:r>
          </w:p>
          <w:p w14:paraId="52F745DD" w14:textId="77777777" w:rsidR="007D5CED" w:rsidRPr="007D5CED" w:rsidRDefault="007D5CED" w:rsidP="00347A41">
            <w:pPr>
              <w:pStyle w:val="ListBullet"/>
              <w:rPr>
                <w:lang w:val="en-GB"/>
              </w:rPr>
            </w:pPr>
            <w:r w:rsidRPr="007D5CED">
              <w:rPr>
                <w:lang w:val="en-GB"/>
              </w:rPr>
              <w:t>were significantly more likely to say they would be bothered by and would intervene if they witnessed verbal abuse rather than a sexist joke</w:t>
            </w:r>
          </w:p>
          <w:p w14:paraId="7340158F" w14:textId="77777777" w:rsidR="007D5CED" w:rsidRPr="007D5CED" w:rsidRDefault="007D5CED" w:rsidP="00347A41">
            <w:pPr>
              <w:pStyle w:val="ListBullet"/>
              <w:rPr>
                <w:lang w:val="en-GB"/>
              </w:rPr>
            </w:pPr>
            <w:r w:rsidRPr="007D5CED">
              <w:rPr>
                <w:lang w:val="en-GB"/>
              </w:rPr>
              <w:t>were significantly more likely to say they would be bothered by a boss rather than a close work friend telling a sexist joke</w:t>
            </w:r>
          </w:p>
          <w:p w14:paraId="7C880CD3" w14:textId="77777777" w:rsidR="007D5CED" w:rsidRPr="007D5CED" w:rsidRDefault="007D5CED" w:rsidP="00347A41">
            <w:pPr>
              <w:pStyle w:val="ListBullet"/>
              <w:rPr>
                <w:lang w:val="en-GB"/>
              </w:rPr>
            </w:pPr>
            <w:r w:rsidRPr="007D5CED">
              <w:rPr>
                <w:lang w:val="en-GB"/>
              </w:rPr>
              <w:t>were significantly less likely to say they would intervene if a boss rather than a close work friend told a sexist joke</w:t>
            </w:r>
          </w:p>
          <w:p w14:paraId="0A6100DA" w14:textId="77777777" w:rsidR="007D5CED" w:rsidRPr="007D5CED" w:rsidRDefault="007D5CED" w:rsidP="00347A41">
            <w:pPr>
              <w:pStyle w:val="ListBullet"/>
              <w:rPr>
                <w:lang w:val="en-GB"/>
              </w:rPr>
            </w:pPr>
            <w:r w:rsidRPr="007D5CED">
              <w:rPr>
                <w:lang w:val="en-GB"/>
              </w:rPr>
              <w:t>thought their peers would support them either publicly or privately, and only a minority thought their peers would criticise them or say nothing if they were to show their disapproval of a friend’s sexist joke or verbal abuse.</w:t>
            </w:r>
          </w:p>
          <w:p w14:paraId="3F472342" w14:textId="1853AE04" w:rsidR="007D5CED" w:rsidRDefault="007D5CED" w:rsidP="00347A41">
            <w:pPr>
              <w:rPr>
                <w:lang w:val="en-GB"/>
              </w:rPr>
            </w:pPr>
            <w:r w:rsidRPr="007D5CED">
              <w:rPr>
                <w:lang w:val="en-GB"/>
              </w:rPr>
              <w:t>For young Australians and Australians of all ages, multiple barriers can impede prosocial bystander intervention, including personal, context-specific and structural barriers. The most common reasons provided by both young respondents and respondents of all ages (Main report) for not intervening were that it might have negative consequences, they would not feel comfortable speaking up and they would not know what to say. Fewer but still sizeable proportions of respondents were concerned that speaking up would not make any difference, or</w:t>
            </w:r>
            <w:r w:rsidR="00262EF5">
              <w:rPr>
                <w:lang w:val="en-GB"/>
              </w:rPr>
              <w:t> </w:t>
            </w:r>
            <w:r w:rsidRPr="007D5CED">
              <w:rPr>
                <w:lang w:val="en-GB"/>
              </w:rPr>
              <w:t>that it was not their business to intervene.</w:t>
            </w:r>
          </w:p>
          <w:p w14:paraId="272079B0" w14:textId="77777777" w:rsidR="00347A41" w:rsidRPr="007D5CED" w:rsidRDefault="00347A41" w:rsidP="0084332B">
            <w:pPr>
              <w:pStyle w:val="Heading5"/>
            </w:pPr>
            <w:r w:rsidRPr="007D5CED">
              <w:t>Differences in bystander responses between young and other respondents</w:t>
            </w:r>
          </w:p>
          <w:p w14:paraId="466A6AF6" w14:textId="23E91F32" w:rsidR="00347A41" w:rsidRPr="007D5CED" w:rsidRDefault="00347A41" w:rsidP="00347A41">
            <w:pPr>
              <w:rPr>
                <w:lang w:val="en-GB"/>
              </w:rPr>
            </w:pPr>
            <w:r w:rsidRPr="007D5CED">
              <w:rPr>
                <w:lang w:val="en-GB"/>
              </w:rPr>
              <w:t>Young respondents were significantly more likely than respondents aged 25 years or older to say they would be bothered by sexist jokes in the workplace. However, significantly fewer young respondents than respondents aged 25 years or older said they would intervene if they were bothered by a boss’s sexist</w:t>
            </w:r>
            <w:r w:rsidRPr="007D5CED">
              <w:rPr>
                <w:b/>
                <w:bCs/>
                <w:lang w:val="en-GB"/>
              </w:rPr>
              <w:t xml:space="preserve"> </w:t>
            </w:r>
            <w:r w:rsidRPr="007D5CED">
              <w:rPr>
                <w:lang w:val="en-GB"/>
              </w:rPr>
              <w:t>joke</w:t>
            </w:r>
            <w:r w:rsidRPr="009E14BD">
              <w:rPr>
                <w:lang w:val="en-US"/>
              </w:rPr>
              <w:t>.</w:t>
            </w:r>
          </w:p>
        </w:tc>
      </w:tr>
    </w:tbl>
    <w:p w14:paraId="151570A7" w14:textId="77777777" w:rsidR="007D5CED" w:rsidRPr="007D5CED" w:rsidRDefault="007D5CED" w:rsidP="00F5214A">
      <w:pPr>
        <w:pStyle w:val="Heading4"/>
        <w:keepNext/>
      </w:pPr>
      <w:r w:rsidRPr="007D5CED">
        <w:lastRenderedPageBreak/>
        <w:t>Implications</w:t>
      </w:r>
    </w:p>
    <w:p w14:paraId="728F8424" w14:textId="1C6DEB03" w:rsidR="007D5CED" w:rsidRDefault="007D5CED" w:rsidP="00347A41">
      <w:pPr>
        <w:rPr>
          <w:lang w:val="en-GB"/>
        </w:rPr>
      </w:pPr>
      <w:r w:rsidRPr="007D5CED">
        <w:rPr>
          <w:lang w:val="en-GB"/>
        </w:rPr>
        <w:t>Implications regarding bystander responses that were similar for young respondents and respondents aged 25 years or older are discussed in the Main report (pp. 258–260) and implications regarding bystander responses that differed between young respondents and respondents aged 25 years or</w:t>
      </w:r>
      <w:r w:rsidR="00262EF5">
        <w:rPr>
          <w:lang w:val="en-GB"/>
        </w:rPr>
        <w:t> </w:t>
      </w:r>
      <w:r w:rsidRPr="007D5CED">
        <w:rPr>
          <w:lang w:val="en-GB"/>
        </w:rPr>
        <w:t>older are also discussed in the Main report (pp. 264–265). Unique implications for young Australians are as follows.</w:t>
      </w:r>
    </w:p>
    <w:p w14:paraId="06CD5FE6" w14:textId="77777777" w:rsidR="007D5CED" w:rsidRPr="007D5CED" w:rsidRDefault="007D5CED" w:rsidP="0084332B">
      <w:pPr>
        <w:pStyle w:val="Heading5"/>
      </w:pPr>
      <w:r w:rsidRPr="007D5CED">
        <w:t>Increase young people’s knowledge, skills and confidence to act as prosocial bystanders</w:t>
      </w:r>
    </w:p>
    <w:p w14:paraId="0FE49D8D" w14:textId="5E797464" w:rsidR="007D5CED" w:rsidRPr="007D5CED" w:rsidRDefault="007D5CED" w:rsidP="00347A41">
      <w:pPr>
        <w:rPr>
          <w:lang w:val="en-GB"/>
        </w:rPr>
      </w:pPr>
      <w:r w:rsidRPr="007D5CED">
        <w:rPr>
          <w:lang w:val="en-GB"/>
        </w:rPr>
        <w:t>The findings show that most young Australians intend to intervene in a positive way in response to</w:t>
      </w:r>
      <w:r w:rsidR="00262EF5">
        <w:rPr>
          <w:lang w:val="en-GB"/>
        </w:rPr>
        <w:t> </w:t>
      </w:r>
      <w:r w:rsidRPr="007D5CED">
        <w:rPr>
          <w:lang w:val="en-GB"/>
        </w:rPr>
        <w:t>witnessing abuse and disrespect. To bolster bystander support, the National Plan 2022–2032 acknowledges the need to give people tools and confidence to act as prosocial bystanders and to</w:t>
      </w:r>
      <w:r w:rsidR="00262EF5">
        <w:rPr>
          <w:lang w:val="en-GB"/>
        </w:rPr>
        <w:t> </w:t>
      </w:r>
      <w:r w:rsidRPr="007D5CED">
        <w:rPr>
          <w:lang w:val="en-GB"/>
        </w:rPr>
        <w:t>expand bystander training and resources (DSS, 2022). Given that the NCAS findings show that bystander responses are situation-dependent, initiatives to bolster prosocial bystander behaviour among all Australians should be conducted across settings and tailored to the specific context (e.g.</w:t>
      </w:r>
      <w:r w:rsidR="00262EF5">
        <w:rPr>
          <w:lang w:val="en-GB"/>
        </w:rPr>
        <w:t> </w:t>
      </w:r>
      <w:r w:rsidRPr="007D5CED">
        <w:rPr>
          <w:lang w:val="en-GB"/>
        </w:rPr>
        <w:t>power dynamics, social pressures and safety considerations; see also Main report).</w:t>
      </w:r>
    </w:p>
    <w:p w14:paraId="507CD707" w14:textId="30E34863" w:rsidR="007D5CED" w:rsidRPr="007D5CED" w:rsidRDefault="007D5CED" w:rsidP="00347A41">
      <w:pPr>
        <w:rPr>
          <w:lang w:val="en-GB"/>
        </w:rPr>
      </w:pPr>
      <w:r w:rsidRPr="007D5CED">
        <w:rPr>
          <w:lang w:val="en-GB"/>
        </w:rPr>
        <w:t>In particular, further efforts are needed to address the most common concerns young people have about intervening as prosocial bystanders: fear of negative consequences, not feeling comfortable speaking up and not knowing what to say. While it is positive that young respondents were less concerned that intervening is “not their business” or that “it wouldn’t make any difference”, addressing</w:t>
      </w:r>
      <w:r w:rsidR="00262EF5">
        <w:rPr>
          <w:lang w:val="en-GB"/>
        </w:rPr>
        <w:t> </w:t>
      </w:r>
      <w:r w:rsidRPr="007D5CED">
        <w:rPr>
          <w:lang w:val="en-GB"/>
        </w:rPr>
        <w:t>these concerns is nonetheless important. The results indicate the need for initiatives to</w:t>
      </w:r>
      <w:r w:rsidR="00262EF5">
        <w:rPr>
          <w:lang w:val="en-GB"/>
        </w:rPr>
        <w:t> </w:t>
      </w:r>
      <w:r w:rsidRPr="007D5CED">
        <w:rPr>
          <w:lang w:val="en-GB"/>
        </w:rPr>
        <w:t>boost young people’s knowledge, skills and confidence to identify violence and disrespect and to</w:t>
      </w:r>
      <w:r w:rsidR="00262EF5">
        <w:rPr>
          <w:lang w:val="en-GB"/>
        </w:rPr>
        <w:t> </w:t>
      </w:r>
      <w:r w:rsidRPr="007D5CED">
        <w:rPr>
          <w:lang w:val="en-GB"/>
        </w:rPr>
        <w:t>respond as prosocial bystanders (see also Main report, pp. 258–260).</w:t>
      </w:r>
    </w:p>
    <w:p w14:paraId="60521935" w14:textId="4BB190CC" w:rsidR="007D5CED" w:rsidRPr="007D5CED" w:rsidRDefault="007D5CED" w:rsidP="00347A41">
      <w:pPr>
        <w:rPr>
          <w:lang w:val="en-GB"/>
        </w:rPr>
      </w:pPr>
      <w:r w:rsidRPr="007D5CED">
        <w:rPr>
          <w:lang w:val="en-GB"/>
        </w:rPr>
        <w:t>The NCAS also revealed the positive finding that most young respondents who intended to respond as</w:t>
      </w:r>
      <w:r w:rsidR="00262EF5">
        <w:rPr>
          <w:lang w:val="en-GB"/>
        </w:rPr>
        <w:t> </w:t>
      </w:r>
      <w:r w:rsidRPr="007D5CED">
        <w:rPr>
          <w:lang w:val="en-GB"/>
        </w:rPr>
        <w:t>prosocial bystanders felt their peers would support them. Peer relationships have been shown to</w:t>
      </w:r>
      <w:r w:rsidR="00262EF5">
        <w:rPr>
          <w:lang w:val="en-GB"/>
        </w:rPr>
        <w:t> </w:t>
      </w:r>
      <w:r w:rsidRPr="007D5CED">
        <w:rPr>
          <w:lang w:val="en-GB"/>
        </w:rPr>
        <w:t>play a significant role in shaping young people’s understandings, attitudes and behaviours, including in relation to gender inequality and violence against women (DeKeseredy &amp; Schwartz, 2013; Powell, 2014). Thus, violence prevention initiatives to increase young people’s prosocial behaviour could also consider leveraging peer influence and strengthening positive social norms among their peer groups and networks (see also Main report, pp. 258–260).</w:t>
      </w:r>
    </w:p>
    <w:p w14:paraId="489DF526" w14:textId="6436AC8E" w:rsidR="007D5CED" w:rsidRPr="007D5CED" w:rsidRDefault="007D5CED" w:rsidP="0084332B">
      <w:pPr>
        <w:pStyle w:val="Heading5"/>
      </w:pPr>
      <w:r w:rsidRPr="007D5CED">
        <w:t>Policies in workplaces and other settings should consider power dynamics to facilitate prosocial bystander</w:t>
      </w:r>
      <w:r w:rsidR="00262EF5">
        <w:t> </w:t>
      </w:r>
      <w:r w:rsidRPr="007D5CED">
        <w:t>behaviour</w:t>
      </w:r>
    </w:p>
    <w:p w14:paraId="6ED2860C" w14:textId="0857406C" w:rsidR="007D5CED" w:rsidRPr="00262EF5" w:rsidRDefault="007D5CED" w:rsidP="00347A41">
      <w:pPr>
        <w:rPr>
          <w:spacing w:val="-2"/>
          <w:lang w:val="en-GB"/>
        </w:rPr>
      </w:pPr>
      <w:r w:rsidRPr="00262EF5">
        <w:rPr>
          <w:spacing w:val="-2"/>
          <w:lang w:val="en-GB"/>
        </w:rPr>
        <w:t>The NCAS findings also indicate that, compared to other Australians, young people appear to face more</w:t>
      </w:r>
      <w:r w:rsidR="00262EF5" w:rsidRPr="00262EF5">
        <w:rPr>
          <w:spacing w:val="-2"/>
          <w:lang w:val="en-GB"/>
        </w:rPr>
        <w:t> </w:t>
      </w:r>
      <w:r w:rsidRPr="00262EF5">
        <w:rPr>
          <w:spacing w:val="-2"/>
          <w:lang w:val="en-GB"/>
        </w:rPr>
        <w:t>barriers to responding prosocially if their boss demonstrates disrespect in the workplace. This</w:t>
      </w:r>
      <w:r w:rsidR="00262EF5" w:rsidRPr="00262EF5">
        <w:rPr>
          <w:spacing w:val="-2"/>
          <w:lang w:val="en-GB"/>
        </w:rPr>
        <w:t> </w:t>
      </w:r>
      <w:r w:rsidRPr="00262EF5">
        <w:rPr>
          <w:spacing w:val="-2"/>
          <w:lang w:val="en-GB"/>
        </w:rPr>
        <w:t>NCAS scenario involves a power differential where the perpetrator is in a position of power over</w:t>
      </w:r>
      <w:r w:rsidR="00262EF5" w:rsidRPr="00262EF5">
        <w:rPr>
          <w:spacing w:val="-2"/>
          <w:lang w:val="en-GB"/>
        </w:rPr>
        <w:t> </w:t>
      </w:r>
      <w:r w:rsidRPr="00262EF5">
        <w:rPr>
          <w:spacing w:val="-2"/>
          <w:lang w:val="en-GB"/>
        </w:rPr>
        <w:t>the bystander. As young people will generally be new to the workforce, hold junior positions or</w:t>
      </w:r>
      <w:r w:rsidR="00262EF5" w:rsidRPr="00262EF5">
        <w:rPr>
          <w:spacing w:val="-2"/>
          <w:lang w:val="en-GB"/>
        </w:rPr>
        <w:t> </w:t>
      </w:r>
      <w:r w:rsidRPr="00262EF5">
        <w:rPr>
          <w:spacing w:val="-2"/>
          <w:lang w:val="en-GB"/>
        </w:rPr>
        <w:t>be</w:t>
      </w:r>
      <w:r w:rsidR="00262EF5" w:rsidRPr="00262EF5">
        <w:rPr>
          <w:spacing w:val="-2"/>
          <w:lang w:val="en-GB"/>
        </w:rPr>
        <w:t> </w:t>
      </w:r>
      <w:r w:rsidRPr="00262EF5">
        <w:rPr>
          <w:spacing w:val="-2"/>
          <w:lang w:val="en-GB"/>
        </w:rPr>
        <w:t>in</w:t>
      </w:r>
      <w:r w:rsidR="00CF4999" w:rsidRPr="00262EF5">
        <w:rPr>
          <w:spacing w:val="-2"/>
          <w:lang w:val="en-GB"/>
        </w:rPr>
        <w:t> </w:t>
      </w:r>
      <w:r w:rsidRPr="00262EF5">
        <w:rPr>
          <w:spacing w:val="-2"/>
          <w:lang w:val="en-GB"/>
        </w:rPr>
        <w:t>precarious employment, it is important to give consideration to their specific positioning and</w:t>
      </w:r>
      <w:r w:rsidR="00262EF5" w:rsidRPr="00262EF5">
        <w:rPr>
          <w:spacing w:val="-2"/>
          <w:lang w:val="en-GB"/>
        </w:rPr>
        <w:t> </w:t>
      </w:r>
      <w:r w:rsidRPr="00262EF5">
        <w:rPr>
          <w:spacing w:val="-2"/>
          <w:lang w:val="en-GB"/>
        </w:rPr>
        <w:t>experiences in the workplace, including the power differential that they often experience in</w:t>
      </w:r>
      <w:r w:rsidR="00262EF5" w:rsidRPr="00262EF5">
        <w:rPr>
          <w:spacing w:val="-2"/>
          <w:lang w:val="en-GB"/>
        </w:rPr>
        <w:t> </w:t>
      </w:r>
      <w:r w:rsidRPr="00262EF5">
        <w:rPr>
          <w:spacing w:val="-2"/>
          <w:lang w:val="en-GB"/>
        </w:rPr>
        <w:t>the</w:t>
      </w:r>
      <w:r w:rsidR="00CF4999" w:rsidRPr="00262EF5">
        <w:rPr>
          <w:spacing w:val="-2"/>
          <w:lang w:val="en-GB"/>
        </w:rPr>
        <w:t> </w:t>
      </w:r>
      <w:r w:rsidRPr="00262EF5">
        <w:rPr>
          <w:spacing w:val="-2"/>
          <w:lang w:val="en-GB"/>
        </w:rPr>
        <w:t>workplace.</w:t>
      </w:r>
    </w:p>
    <w:p w14:paraId="0AE16533" w14:textId="1A772205" w:rsidR="007D5CED" w:rsidRPr="007D5CED" w:rsidRDefault="007D5CED" w:rsidP="00347A41">
      <w:pPr>
        <w:rPr>
          <w:lang w:val="en-GB"/>
        </w:rPr>
      </w:pPr>
      <w:r w:rsidRPr="007D5CED">
        <w:rPr>
          <w:lang w:val="en-GB"/>
        </w:rPr>
        <w:t>Clear workplace policies that empower all staff to voice any concerns will be a cornerstone for addressing young people’s fear of negative consequences, discomfort speaking up and concern that speaking up will not make any difference. Our Watch has produced a host of tools and resources for workplaces to embed workplace equality and respect (see Our Watch, 2023b). Consideration could be</w:t>
      </w:r>
      <w:r w:rsidR="00262EF5">
        <w:rPr>
          <w:lang w:val="en-GB"/>
        </w:rPr>
        <w:t> </w:t>
      </w:r>
      <w:r w:rsidRPr="007D5CED">
        <w:rPr>
          <w:lang w:val="en-GB"/>
        </w:rPr>
        <w:t>given to how these tools and resources can give particular attention to the experience of young employees within all workplace settings. For example, forthcoming ANROWS research on addressing sexual harassment in the retail sector (a sector with high numbers of young employees) could help guide refinement of these tools and resources to specifically support young employees to intervene when witnessing abuse and disrespect (see Cooper et al., forthcoming).</w:t>
      </w:r>
    </w:p>
    <w:p w14:paraId="03F410BA" w14:textId="533B0FF7" w:rsidR="007D5CED" w:rsidRPr="007D5CED" w:rsidRDefault="007D5CED" w:rsidP="00347A41">
      <w:pPr>
        <w:rPr>
          <w:lang w:val="en-GB"/>
        </w:rPr>
      </w:pPr>
      <w:r w:rsidRPr="007D5CED">
        <w:rPr>
          <w:lang w:val="en-GB"/>
        </w:rPr>
        <w:t xml:space="preserve">It is also important that prevention policies and initiatives consider how power differentials may affect young people’s prosocial bystander responses in a variety of settings outside the workplace, including in school, university, vocational, sport and recreational settings. The </w:t>
      </w:r>
      <w:r w:rsidRPr="0073256E">
        <w:rPr>
          <w:rStyle w:val="Emphasis"/>
          <w:lang w:val="en-US"/>
        </w:rPr>
        <w:t xml:space="preserve">Australian National Research Agenda to End Violence against Women and Children (ANRA) 2023–2028 </w:t>
      </w:r>
      <w:r w:rsidRPr="007D5CED">
        <w:rPr>
          <w:lang w:val="en-GB"/>
        </w:rPr>
        <w:t>provides questions for keeping power considerations at the forefront when conducting research and evaluation (Lloyd et al., 2023).</w:t>
      </w:r>
    </w:p>
    <w:p w14:paraId="45324FB7" w14:textId="1558B97A" w:rsidR="007D5CED" w:rsidRPr="007D5CED" w:rsidRDefault="007D5CED" w:rsidP="00DC3FE8">
      <w:pPr>
        <w:pStyle w:val="Heading3"/>
      </w:pPr>
      <w:bookmarkStart w:id="244" w:name="_Toc152532428"/>
      <w:bookmarkStart w:id="245" w:name="_Toc190941714"/>
      <w:bookmarkStart w:id="246" w:name="_Toc190942414"/>
      <w:r w:rsidRPr="007D5CED">
        <w:lastRenderedPageBreak/>
        <w:t>10.8</w:t>
      </w:r>
      <w:r w:rsidR="00F5214A">
        <w:t xml:space="preserve"> </w:t>
      </w:r>
      <w:r w:rsidRPr="007D5CED">
        <w:t>People and contexts</w:t>
      </w:r>
      <w:bookmarkEnd w:id="244"/>
      <w:bookmarkEnd w:id="245"/>
      <w:bookmarkEnd w:id="246"/>
    </w:p>
    <w:p w14:paraId="3628F666" w14:textId="738F01D3" w:rsidR="007D5CED" w:rsidRPr="007D5CED" w:rsidRDefault="007D5CED" w:rsidP="00347A41">
      <w:pPr>
        <w:rPr>
          <w:lang w:val="en-GB"/>
        </w:rPr>
      </w:pPr>
      <w:r w:rsidRPr="007D5CED">
        <w:rPr>
          <w:lang w:val="en-GB"/>
        </w:rPr>
        <w:t>As for respondents of all ages (Main report), demographic factors explained only about one fifth or less of the differences in young respondents’ understanding of violence against women and attitudes towards gender inequality and violence against women, based on multiple regression analyses. Therefore, other factors are needed to predict understanding and attitudes more comprehensively. For</w:t>
      </w:r>
      <w:r w:rsidR="00262EF5">
        <w:rPr>
          <w:lang w:val="en-GB"/>
        </w:rPr>
        <w:t> </w:t>
      </w:r>
      <w:r w:rsidRPr="007D5CED">
        <w:rPr>
          <w:lang w:val="en-GB"/>
        </w:rPr>
        <w:t>young respondents, gender was the strongest demographic predictor of understanding and attitudes, but still only explained 10 per cent or less of the variability.</w:t>
      </w:r>
    </w:p>
    <w:p w14:paraId="5C817581" w14:textId="77777777" w:rsidR="007D5CED" w:rsidRPr="007D5CED" w:rsidRDefault="007D5CED" w:rsidP="00347A41">
      <w:pPr>
        <w:rPr>
          <w:lang w:val="en-GB"/>
        </w:rPr>
      </w:pPr>
      <w:r w:rsidRPr="007D5CED">
        <w:rPr>
          <w:lang w:val="en-GB"/>
        </w:rPr>
        <w:t>Young respondents’ demographic characteristics and understanding of violence against women helped to predict their attitudes towards violence against women, but these attitudes were most strongly predicted by their attitudes towards gender equality.</w:t>
      </w:r>
    </w:p>
    <w:p w14:paraId="6D85B685" w14:textId="77777777" w:rsidR="007D5CED" w:rsidRPr="0016019C" w:rsidRDefault="007D5CED" w:rsidP="0084332B">
      <w:pPr>
        <w:pStyle w:val="Heading4"/>
      </w:pPr>
      <w:r w:rsidRPr="0016019C">
        <w:t>Gender differences</w:t>
      </w:r>
    </w:p>
    <w:tbl>
      <w:tblPr>
        <w:tblW w:w="5000" w:type="pct"/>
        <w:shd w:val="clear" w:color="auto" w:fill="FEF5D5"/>
        <w:tblCellMar>
          <w:left w:w="0" w:type="dxa"/>
          <w:right w:w="0" w:type="dxa"/>
        </w:tblCellMar>
        <w:tblLook w:val="0000" w:firstRow="0" w:lastRow="0" w:firstColumn="0" w:lastColumn="0" w:noHBand="0" w:noVBand="0"/>
      </w:tblPr>
      <w:tblGrid>
        <w:gridCol w:w="9638"/>
      </w:tblGrid>
      <w:tr w:rsidR="007D5CED" w:rsidRPr="00EA1044" w14:paraId="588DAC70" w14:textId="77777777" w:rsidTr="00F5214A">
        <w:trPr>
          <w:trHeight w:val="7392"/>
        </w:trPr>
        <w:tc>
          <w:tcPr>
            <w:tcW w:w="5000" w:type="pct"/>
            <w:shd w:val="clear" w:color="auto" w:fill="FEF5D5"/>
            <w:tcMar>
              <w:top w:w="283" w:type="dxa"/>
              <w:left w:w="227" w:type="dxa"/>
              <w:bottom w:w="340" w:type="dxa"/>
              <w:right w:w="227" w:type="dxa"/>
            </w:tcMar>
          </w:tcPr>
          <w:p w14:paraId="3DB7F24B" w14:textId="77777777" w:rsidR="007D5CED" w:rsidRPr="007D5CED" w:rsidRDefault="007D5CED" w:rsidP="00F5214A">
            <w:pPr>
              <w:pStyle w:val="Heading4nospacing"/>
            </w:pPr>
            <w:r w:rsidRPr="007D5CED">
              <w:t>Key findings</w:t>
            </w:r>
          </w:p>
          <w:p w14:paraId="667107B9" w14:textId="5EC6885F" w:rsidR="007D5CED" w:rsidRDefault="007D5CED" w:rsidP="00347A41">
            <w:pPr>
              <w:rPr>
                <w:lang w:val="en-GB"/>
              </w:rPr>
            </w:pPr>
            <w:r w:rsidRPr="007D5CED">
              <w:rPr>
                <w:lang w:val="en-GB"/>
              </w:rPr>
              <w:t>There is a persistent gap between genders in understanding of violence against women, rejection</w:t>
            </w:r>
            <w:r w:rsidR="00262EF5">
              <w:rPr>
                <w:lang w:val="en-GB"/>
              </w:rPr>
              <w:t> </w:t>
            </w:r>
            <w:r w:rsidRPr="007D5CED">
              <w:rPr>
                <w:lang w:val="en-GB"/>
              </w:rPr>
              <w:t>of gender inequality, rejection of violence against women and prosocial bystander responses, with young men lagging behind young women. Young men also lagged behind young non-binary respondents in their rejection of some problematic attitudes.</w:t>
            </w:r>
            <w:r w:rsidRPr="007D5CED">
              <w:rPr>
                <w:vertAlign w:val="superscript"/>
                <w:lang w:val="en-GB"/>
              </w:rPr>
              <w:footnoteReference w:id="52"/>
            </w:r>
            <w:r w:rsidRPr="007D5CED">
              <w:rPr>
                <w:lang w:val="en-GB"/>
              </w:rPr>
              <w:t xml:space="preserve"> Specifically, young men respondents demonstrated significantly:</w:t>
            </w:r>
          </w:p>
          <w:p w14:paraId="194240D1" w14:textId="6DAC124C" w:rsidR="00347A41" w:rsidRPr="007D5CED" w:rsidRDefault="00347A41" w:rsidP="00347A41">
            <w:pPr>
              <w:pStyle w:val="ListBullet"/>
              <w:rPr>
                <w:lang w:val="en-GB"/>
              </w:rPr>
            </w:pPr>
            <w:r w:rsidRPr="007D5CED">
              <w:rPr>
                <w:lang w:val="en-GB"/>
              </w:rPr>
              <w:t>weaker understanding of violence against women compared to young women, including</w:t>
            </w:r>
            <w:r w:rsidR="00262EF5">
              <w:rPr>
                <w:lang w:val="en-GB"/>
              </w:rPr>
              <w:t> </w:t>
            </w:r>
            <w:r w:rsidRPr="007D5CED">
              <w:rPr>
                <w:lang w:val="en-GB"/>
              </w:rPr>
              <w:t>significantly:</w:t>
            </w:r>
          </w:p>
          <w:p w14:paraId="1DBD4807" w14:textId="1DCC6770" w:rsidR="00347A41" w:rsidRPr="007D5CED" w:rsidRDefault="00347A41" w:rsidP="00C30B77">
            <w:pPr>
              <w:pStyle w:val="ListBullet2"/>
            </w:pPr>
            <w:r w:rsidRPr="007D5CED">
              <w:t>weaker recognition of the different forms of domestic violence</w:t>
            </w:r>
          </w:p>
          <w:p w14:paraId="0180ED91" w14:textId="45A8EC42" w:rsidR="00347A41" w:rsidRPr="007D5CED" w:rsidRDefault="00347A41" w:rsidP="00C30B77">
            <w:pPr>
              <w:pStyle w:val="ListBullet2"/>
            </w:pPr>
            <w:r w:rsidRPr="007D5CED">
              <w:t>weaker recognition of violence against women more generally</w:t>
            </w:r>
          </w:p>
          <w:p w14:paraId="4A268FEB" w14:textId="77777777" w:rsidR="00347A41" w:rsidRPr="007D5CED" w:rsidRDefault="00347A41" w:rsidP="00347A41">
            <w:pPr>
              <w:pStyle w:val="ListBullet"/>
              <w:rPr>
                <w:lang w:val="en-GB"/>
              </w:rPr>
            </w:pPr>
            <w:r w:rsidRPr="007D5CED">
              <w:rPr>
                <w:lang w:val="en-GB"/>
              </w:rPr>
              <w:t>weaker rejection of all problematic attitudes towards gender inequality measured by the NCAS compared to young women and, in some cases, young non-binary respondents</w:t>
            </w:r>
          </w:p>
          <w:p w14:paraId="446C05B6" w14:textId="77777777" w:rsidR="00347A41" w:rsidRPr="007D5CED" w:rsidRDefault="00347A41" w:rsidP="00347A41">
            <w:pPr>
              <w:pStyle w:val="ListBullet"/>
              <w:rPr>
                <w:lang w:val="en-GB"/>
              </w:rPr>
            </w:pPr>
            <w:r w:rsidRPr="007D5CED">
              <w:rPr>
                <w:lang w:val="en-GB"/>
              </w:rPr>
              <w:t>weaker rejection of violence against women, including significantly:</w:t>
            </w:r>
          </w:p>
          <w:p w14:paraId="7F23E62A" w14:textId="7C7C7F22" w:rsidR="00347A41" w:rsidRPr="007D5CED" w:rsidRDefault="00347A41" w:rsidP="00C30B77">
            <w:pPr>
              <w:pStyle w:val="ListBullet2"/>
            </w:pPr>
            <w:r w:rsidRPr="007D5CED">
              <w:t>weaker rejection of attitudes that minimise violence compared to young women</w:t>
            </w:r>
          </w:p>
          <w:p w14:paraId="1F41CB4D" w14:textId="77777777" w:rsidR="00347A41" w:rsidRPr="007D5CED" w:rsidRDefault="00347A41" w:rsidP="00C30B77">
            <w:pPr>
              <w:pStyle w:val="ListBullet2"/>
            </w:pPr>
            <w:r w:rsidRPr="007D5CED">
              <w:t>weaker rejection of attitudes that mistrust women compared to young women and young non-binary respondents</w:t>
            </w:r>
          </w:p>
          <w:p w14:paraId="3A210E22" w14:textId="77777777" w:rsidR="00347A41" w:rsidRPr="007D5CED" w:rsidRDefault="00347A41" w:rsidP="00C30B77">
            <w:pPr>
              <w:pStyle w:val="ListBullet2"/>
            </w:pPr>
            <w:r w:rsidRPr="007D5CED">
              <w:t>weaker rejection of attitudes that objectify women compared to young women</w:t>
            </w:r>
          </w:p>
          <w:p w14:paraId="2127FAEE" w14:textId="77777777" w:rsidR="00347A41" w:rsidRPr="007D5CED" w:rsidRDefault="00347A41" w:rsidP="00347A41">
            <w:pPr>
              <w:pStyle w:val="ListBullet"/>
              <w:rPr>
                <w:lang w:val="en-GB"/>
              </w:rPr>
            </w:pPr>
            <w:r w:rsidRPr="007D5CED">
              <w:rPr>
                <w:lang w:val="en-GB"/>
              </w:rPr>
              <w:t>less frequent prosocial bystander responses than young women, including being:</w:t>
            </w:r>
          </w:p>
          <w:p w14:paraId="15D2485E" w14:textId="77777777" w:rsidR="00347A41" w:rsidRPr="007D5CED" w:rsidRDefault="00347A41" w:rsidP="00C30B77">
            <w:pPr>
              <w:pStyle w:val="ListBullet2"/>
            </w:pPr>
            <w:r w:rsidRPr="007D5CED">
              <w:t>less likely to be bothered by sexist jokes</w:t>
            </w:r>
          </w:p>
          <w:p w14:paraId="3F2EF1B3" w14:textId="20EB1238" w:rsidR="00347A41" w:rsidRPr="007D5CED" w:rsidRDefault="00347A41" w:rsidP="00C30B77">
            <w:pPr>
              <w:pStyle w:val="ListBullet2"/>
            </w:pPr>
            <w:r w:rsidRPr="007D5CED">
              <w:t>less likely to intend to show disapproval then and there, but more likely to intend to</w:t>
            </w:r>
            <w:r w:rsidR="00262EF5">
              <w:t> </w:t>
            </w:r>
            <w:r w:rsidRPr="007D5CED">
              <w:t>show disapproval in private later if a friend told a sexist joke.</w:t>
            </w:r>
          </w:p>
          <w:p w14:paraId="54D70954" w14:textId="67F231C0" w:rsidR="00347A41" w:rsidRPr="007D5CED" w:rsidRDefault="00347A41" w:rsidP="00347A41">
            <w:pPr>
              <w:rPr>
                <w:lang w:val="en-GB"/>
              </w:rPr>
            </w:pPr>
            <w:r w:rsidRPr="007D5CED">
              <w:rPr>
                <w:lang w:val="en-GB"/>
              </w:rPr>
              <w:t>Despite young women having significantly stronger recognition than young men of the behaviours that constitute domestic violence and violence against women more generally, young men and young women had similar levels of understanding of the gendered nature of domestic violence as</w:t>
            </w:r>
            <w:r w:rsidR="00262EF5">
              <w:rPr>
                <w:lang w:val="en-GB"/>
              </w:rPr>
              <w:t> </w:t>
            </w:r>
            <w:r w:rsidRPr="007D5CED">
              <w:rPr>
                <w:lang w:val="en-GB"/>
              </w:rPr>
              <w:t>a phenomenon perpetrated mainly by men against women.</w:t>
            </w:r>
          </w:p>
        </w:tc>
      </w:tr>
    </w:tbl>
    <w:p w14:paraId="5B194FF2" w14:textId="77777777" w:rsidR="007D5CED" w:rsidRPr="007D5CED" w:rsidRDefault="007D5CED" w:rsidP="00F5214A">
      <w:pPr>
        <w:pStyle w:val="Heading4"/>
        <w:keepNext/>
      </w:pPr>
      <w:r w:rsidRPr="007D5CED">
        <w:lastRenderedPageBreak/>
        <w:t>Implications</w:t>
      </w:r>
    </w:p>
    <w:p w14:paraId="751CE20F" w14:textId="235995B3" w:rsidR="007D5CED" w:rsidRPr="007D5CED" w:rsidRDefault="007D5CED" w:rsidP="007D5CED">
      <w:pPr>
        <w:suppressAutoHyphens/>
        <w:autoSpaceDE w:val="0"/>
        <w:autoSpaceDN w:val="0"/>
        <w:adjustRightInd w:val="0"/>
        <w:spacing w:before="57" w:after="227" w:line="240" w:lineRule="atLeast"/>
        <w:jc w:val="both"/>
        <w:textAlignment w:val="center"/>
        <w:rPr>
          <w:rFonts w:cs="Open Sans"/>
          <w:color w:val="000000"/>
          <w:kern w:val="0"/>
          <w:szCs w:val="18"/>
          <w:lang w:val="en-GB"/>
        </w:rPr>
      </w:pPr>
      <w:r w:rsidRPr="007D5CED">
        <w:rPr>
          <w:rFonts w:cs="Open Sans"/>
          <w:color w:val="000000"/>
          <w:kern w:val="0"/>
          <w:szCs w:val="18"/>
          <w:lang w:val="en-GB"/>
        </w:rPr>
        <w:t>Implications relevant to findings for gender are discussed in the Main report (pp. 261–263). Unique</w:t>
      </w:r>
      <w:r w:rsidR="00262EF5">
        <w:rPr>
          <w:rFonts w:cs="Open Sans"/>
          <w:color w:val="000000"/>
          <w:kern w:val="0"/>
          <w:szCs w:val="18"/>
          <w:lang w:val="en-GB"/>
        </w:rPr>
        <w:t> </w:t>
      </w:r>
      <w:r w:rsidRPr="007D5CED">
        <w:rPr>
          <w:rFonts w:cs="Open Sans"/>
          <w:color w:val="000000"/>
          <w:kern w:val="0"/>
          <w:szCs w:val="18"/>
          <w:lang w:val="en-GB"/>
        </w:rPr>
        <w:t>implications for young Australians are as follows.</w:t>
      </w:r>
    </w:p>
    <w:p w14:paraId="70194FE9" w14:textId="77777777" w:rsidR="007D5CED" w:rsidRPr="007D5CED" w:rsidRDefault="007D5CED" w:rsidP="0084332B">
      <w:pPr>
        <w:pStyle w:val="Heading5"/>
      </w:pPr>
      <w:r w:rsidRPr="007D5CED">
        <w:t>Primary prevention with young people is important because gendered differences in understanding and attitudes start early</w:t>
      </w:r>
    </w:p>
    <w:p w14:paraId="161B7E3B" w14:textId="67CD797A" w:rsidR="007D5CED" w:rsidRDefault="007D5CED" w:rsidP="00347A41">
      <w:pPr>
        <w:rPr>
          <w:lang w:val="en-GB"/>
        </w:rPr>
      </w:pPr>
      <w:r w:rsidRPr="007D5CED">
        <w:rPr>
          <w:lang w:val="en-GB"/>
        </w:rPr>
        <w:t>These findings highlight that the gender gap between men’s understandings and attitudes and those of</w:t>
      </w:r>
      <w:r w:rsidR="00262EF5">
        <w:rPr>
          <w:lang w:val="en-GB"/>
        </w:rPr>
        <w:t> </w:t>
      </w:r>
      <w:r w:rsidRPr="007D5CED">
        <w:rPr>
          <w:lang w:val="en-GB"/>
        </w:rPr>
        <w:t xml:space="preserve">women and non-binary people develop while they are still young. See “Work across genders and particularly with boys and men to address gender differences” in Section 10.1 of this present report for further discussion of the implications of these findings. </w:t>
      </w:r>
    </w:p>
    <w:p w14:paraId="37C65628" w14:textId="77777777" w:rsidR="007D5CED" w:rsidRPr="007D5CED" w:rsidRDefault="007D5CED" w:rsidP="0084332B">
      <w:pPr>
        <w:pStyle w:val="Heading4"/>
      </w:pPr>
      <w:r w:rsidRPr="007D5CED">
        <w:t>Age similarities and differences</w:t>
      </w:r>
    </w:p>
    <w:tbl>
      <w:tblPr>
        <w:tblW w:w="5000" w:type="pct"/>
        <w:shd w:val="clear" w:color="auto" w:fill="FEF5D5"/>
        <w:tblCellMar>
          <w:left w:w="0" w:type="dxa"/>
          <w:right w:w="0" w:type="dxa"/>
        </w:tblCellMar>
        <w:tblLook w:val="0000" w:firstRow="0" w:lastRow="0" w:firstColumn="0" w:lastColumn="0" w:noHBand="0" w:noVBand="0"/>
      </w:tblPr>
      <w:tblGrid>
        <w:gridCol w:w="9638"/>
      </w:tblGrid>
      <w:tr w:rsidR="007D5CED" w:rsidRPr="00EA1044" w14:paraId="6BF60022" w14:textId="77777777" w:rsidTr="00F5214A">
        <w:trPr>
          <w:trHeight w:val="4878"/>
        </w:trPr>
        <w:tc>
          <w:tcPr>
            <w:tcW w:w="5000" w:type="pct"/>
            <w:shd w:val="clear" w:color="auto" w:fill="FEF5D5"/>
            <w:tcMar>
              <w:top w:w="283" w:type="dxa"/>
              <w:left w:w="227" w:type="dxa"/>
              <w:bottom w:w="340" w:type="dxa"/>
              <w:right w:w="227" w:type="dxa"/>
            </w:tcMar>
          </w:tcPr>
          <w:p w14:paraId="4EE40343" w14:textId="77777777" w:rsidR="007D5CED" w:rsidRPr="007D5CED" w:rsidRDefault="007D5CED" w:rsidP="00F5214A">
            <w:pPr>
              <w:pStyle w:val="Heading4nospacing"/>
            </w:pPr>
            <w:r w:rsidRPr="007D5CED">
              <w:t>Key findings</w:t>
            </w:r>
          </w:p>
          <w:p w14:paraId="1C5E0D2A" w14:textId="3CC76E37" w:rsidR="007D5CED" w:rsidRPr="007D5CED" w:rsidRDefault="007D5CED" w:rsidP="00347A41">
            <w:pPr>
              <w:rPr>
                <w:lang w:val="en-GB"/>
              </w:rPr>
            </w:pPr>
            <w:r w:rsidRPr="007D5CED">
              <w:rPr>
                <w:lang w:val="en-GB"/>
              </w:rPr>
              <w:t>Within the cohort of young respondents, understanding of violence against women and rejection of problematic attitudes were often stronger for 18- to 24-year-old respondents than for 16-</w:t>
            </w:r>
            <w:r w:rsidR="00262EF5">
              <w:rPr>
                <w:lang w:val="en-GB"/>
              </w:rPr>
              <w:t> </w:t>
            </w:r>
            <w:r w:rsidRPr="007D5CED">
              <w:rPr>
                <w:lang w:val="en-GB"/>
              </w:rPr>
              <w:t>to</w:t>
            </w:r>
            <w:r w:rsidR="00262EF5">
              <w:rPr>
                <w:lang w:val="en-GB"/>
              </w:rPr>
              <w:t> </w:t>
            </w:r>
            <w:r w:rsidRPr="007D5CED">
              <w:rPr>
                <w:lang w:val="en-GB"/>
              </w:rPr>
              <w:t>17</w:t>
            </w:r>
            <w:r w:rsidR="00262EF5">
              <w:rPr>
                <w:lang w:val="en-GB"/>
              </w:rPr>
              <w:noBreakHyphen/>
            </w:r>
            <w:r w:rsidRPr="007D5CED">
              <w:rPr>
                <w:lang w:val="en-GB"/>
              </w:rPr>
              <w:t>year-old respondents. Specifically:</w:t>
            </w:r>
          </w:p>
          <w:p w14:paraId="5F2BC658" w14:textId="52729023" w:rsidR="007D5CED" w:rsidRPr="007D5CED" w:rsidRDefault="007D5CED" w:rsidP="00347A41">
            <w:pPr>
              <w:pStyle w:val="ListBullet"/>
              <w:rPr>
                <w:lang w:val="en-GB"/>
              </w:rPr>
            </w:pPr>
            <w:r w:rsidRPr="007D5CED">
              <w:rPr>
                <w:lang w:val="en-GB"/>
              </w:rPr>
              <w:t>Understanding of violence against women overall was similar for the two youth age groups, but</w:t>
            </w:r>
            <w:r w:rsidR="00262EF5">
              <w:rPr>
                <w:lang w:val="en-GB"/>
              </w:rPr>
              <w:t> </w:t>
            </w:r>
            <w:r w:rsidRPr="007D5CED">
              <w:rPr>
                <w:lang w:val="en-GB"/>
              </w:rPr>
              <w:t>18- to 24-year-old respondents had significantly better recognition of domestic violence than 16- to 17-year-old respondents.</w:t>
            </w:r>
          </w:p>
          <w:p w14:paraId="2D64FFC0" w14:textId="2E1DBC12" w:rsidR="007D5CED" w:rsidRPr="007D5CED" w:rsidRDefault="007D5CED" w:rsidP="00347A41">
            <w:pPr>
              <w:pStyle w:val="ListBullet"/>
              <w:rPr>
                <w:lang w:val="en-GB"/>
              </w:rPr>
            </w:pPr>
            <w:r w:rsidRPr="007D5CED">
              <w:rPr>
                <w:lang w:val="en-GB"/>
              </w:rPr>
              <w:t>Attitudes towards gender inequality overall were similar for the two youth age groups, but</w:t>
            </w:r>
            <w:r w:rsidR="00262EF5">
              <w:rPr>
                <w:lang w:val="en-GB"/>
              </w:rPr>
              <w:t> </w:t>
            </w:r>
            <w:r w:rsidRPr="007D5CED">
              <w:rPr>
                <w:lang w:val="en-GB"/>
              </w:rPr>
              <w:t>18-</w:t>
            </w:r>
            <w:r w:rsidR="00262EF5">
              <w:rPr>
                <w:lang w:val="en-GB"/>
              </w:rPr>
              <w:t> </w:t>
            </w:r>
            <w:r w:rsidRPr="007D5CED">
              <w:rPr>
                <w:lang w:val="en-GB"/>
              </w:rPr>
              <w:t>to 24-year-old respondents showed significantly higher rejection than 16- to 17-year-old respondents of attitudes that reinforce rigid gender roles and limit women’s autonomy.</w:t>
            </w:r>
          </w:p>
          <w:p w14:paraId="16B4442A" w14:textId="2A99DF54" w:rsidR="007D5CED" w:rsidRPr="007D5CED" w:rsidRDefault="007D5CED" w:rsidP="00347A41">
            <w:pPr>
              <w:pStyle w:val="ListBullet"/>
              <w:rPr>
                <w:lang w:val="en-GB"/>
              </w:rPr>
            </w:pPr>
            <w:r w:rsidRPr="007D5CED">
              <w:rPr>
                <w:lang w:val="en-GB"/>
              </w:rPr>
              <w:t>Compared to 16- to 17-year-old respondents, 18- to 24-year-old respondents showed significantly higher rejection of violence against women, including higher rejection of attitudes that minimise violence, objectify women and mistrust women, higher rejection of domestic violence and sexual violence, and higher understanding and rejection of technology-facilitated</w:t>
            </w:r>
            <w:r w:rsidR="00262EF5">
              <w:rPr>
                <w:lang w:val="en-GB"/>
              </w:rPr>
              <w:t> </w:t>
            </w:r>
            <w:r w:rsidRPr="007D5CED">
              <w:rPr>
                <w:lang w:val="en-GB"/>
              </w:rPr>
              <w:t>abuse.</w:t>
            </w:r>
          </w:p>
          <w:p w14:paraId="1CA7C9D0" w14:textId="23662A08" w:rsidR="007D5CED" w:rsidRPr="007D5CED" w:rsidRDefault="007D5CED" w:rsidP="00347A41">
            <w:pPr>
              <w:rPr>
                <w:lang w:val="en-GB"/>
              </w:rPr>
            </w:pPr>
            <w:r w:rsidRPr="007D5CED">
              <w:rPr>
                <w:lang w:val="en-GB"/>
              </w:rPr>
              <w:t>Compared to respondents aged 25 years or older, young respondents aged 16 to 24 years had similar rejection of problematic attitudes towards gender inequality (AGIS) and violence against women (AVAWS), but significantly less “advanced” understanding of violence against women</w:t>
            </w:r>
            <w:r w:rsidR="00262EF5">
              <w:rPr>
                <w:lang w:val="en-GB"/>
              </w:rPr>
              <w:t> </w:t>
            </w:r>
            <w:r w:rsidRPr="007D5CED">
              <w:rPr>
                <w:lang w:val="en-GB"/>
              </w:rPr>
              <w:t>(UVAWS).</w:t>
            </w:r>
          </w:p>
        </w:tc>
      </w:tr>
    </w:tbl>
    <w:p w14:paraId="4D2CDBB4" w14:textId="77777777" w:rsidR="007D5CED" w:rsidRPr="007D5CED" w:rsidRDefault="007D5CED" w:rsidP="0084332B">
      <w:pPr>
        <w:pStyle w:val="Heading4"/>
      </w:pPr>
      <w:r w:rsidRPr="007D5CED">
        <w:t>Implications</w:t>
      </w:r>
    </w:p>
    <w:p w14:paraId="4CF56621" w14:textId="77777777" w:rsidR="007D5CED" w:rsidRPr="007D5CED" w:rsidRDefault="007D5CED" w:rsidP="0084332B">
      <w:pPr>
        <w:pStyle w:val="Heading5"/>
      </w:pPr>
      <w:r w:rsidRPr="007D5CED">
        <w:t>Continued intervention is needed</w:t>
      </w:r>
    </w:p>
    <w:p w14:paraId="7D5BD361" w14:textId="77777777" w:rsidR="007D5CED" w:rsidRDefault="007D5CED" w:rsidP="00347A41">
      <w:pPr>
        <w:rPr>
          <w:lang w:val="en-GB"/>
        </w:rPr>
      </w:pPr>
      <w:r w:rsidRPr="007D5CED">
        <w:rPr>
          <w:lang w:val="en-GB"/>
        </w:rPr>
        <w:t>Respondents aged 16 to 17 years often demonstrated lower understanding of violence against women and rejection of problematic attitudes compared to respondents aged 18 to 24 years. See the section “Continue prevention efforts throughout the formative years in an age-appropriate way” in Section 10.1 of the present report for more information on the implications of this finding.</w:t>
      </w:r>
    </w:p>
    <w:bookmarkStart w:id="247" w:name="_Toc152532429"/>
    <w:bookmarkStart w:id="248" w:name="_Toc190941715"/>
    <w:bookmarkStart w:id="249" w:name="_Toc190942415"/>
    <w:p w14:paraId="46C936CF" w14:textId="78663BA9" w:rsidR="007D5CED" w:rsidRPr="00D32C21" w:rsidRDefault="00262EF5" w:rsidP="008C29F3">
      <w:pPr>
        <w:pStyle w:val="H2SectionTitle"/>
      </w:pPr>
      <w:r>
        <w:rPr>
          <w:noProof/>
        </w:rPr>
        <w:lastRenderedPageBreak/>
        <mc:AlternateContent>
          <mc:Choice Requires="wps">
            <w:drawing>
              <wp:anchor distT="0" distB="0" distL="114300" distR="114300" simplePos="0" relativeHeight="251658265" behindDoc="0" locked="0" layoutInCell="1" allowOverlap="1" wp14:anchorId="66933DD1" wp14:editId="6E61406B">
                <wp:simplePos x="0" y="0"/>
                <wp:positionH relativeFrom="column">
                  <wp:posOffset>5124</wp:posOffset>
                </wp:positionH>
                <wp:positionV relativeFrom="paragraph">
                  <wp:posOffset>109</wp:posOffset>
                </wp:positionV>
                <wp:extent cx="382138" cy="382138"/>
                <wp:effectExtent l="0" t="0" r="0" b="0"/>
                <wp:wrapSquare wrapText="bothSides"/>
                <wp:docPr id="204641517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44F95" id="Rectangle 2" o:spid="_x0000_s1026" alt="&quot;&quot;" style="position:absolute;margin-left:.4pt;margin-top:0;width:30.1pt;height:30.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11 </w:t>
      </w:r>
      <w:r w:rsidR="007D5CED" w:rsidRPr="00D32C21">
        <w:t>Conclusion</w:t>
      </w:r>
      <w:bookmarkEnd w:id="247"/>
      <w:bookmarkEnd w:id="248"/>
      <w:bookmarkEnd w:id="249"/>
    </w:p>
    <w:tbl>
      <w:tblPr>
        <w:tblStyle w:val="Yellowcalloutboxlayout"/>
        <w:tblW w:w="0" w:type="auto"/>
        <w:tblLayout w:type="fixed"/>
        <w:tblLook w:val="0000" w:firstRow="0" w:lastRow="0" w:firstColumn="0" w:lastColumn="0" w:noHBand="0" w:noVBand="0"/>
      </w:tblPr>
      <w:tblGrid>
        <w:gridCol w:w="8901"/>
      </w:tblGrid>
      <w:tr w:rsidR="007D5CED" w:rsidRPr="00EA1044" w14:paraId="693F2B4D" w14:textId="77777777" w:rsidTr="00F5214A">
        <w:trPr>
          <w:trHeight w:val="60"/>
        </w:trPr>
        <w:tc>
          <w:tcPr>
            <w:tcW w:w="8901" w:type="dxa"/>
          </w:tcPr>
          <w:p w14:paraId="304885BB" w14:textId="2A6831EF" w:rsidR="007D5CED" w:rsidRPr="007D5CED" w:rsidRDefault="007D5CED" w:rsidP="00B83062">
            <w:pPr>
              <w:pStyle w:val="ChapterIntro"/>
            </w:pPr>
            <w:r w:rsidRPr="007D5CED">
              <w:t>The NCAS findings for young people provide evidence that young Australians’ understanding and attitudes regarding violence against women are generally moving towards positive change, although this change is occurring slowly. Most young Australians, like most Australians of all ages, strongly reject violence against women, and</w:t>
            </w:r>
            <w:r w:rsidR="00262EF5">
              <w:t> </w:t>
            </w:r>
            <w:r w:rsidRPr="007D5CED">
              <w:t>particularly strongly reject sexual violence. However, there is</w:t>
            </w:r>
            <w:r w:rsidR="00262EF5">
              <w:t> </w:t>
            </w:r>
            <w:r w:rsidRPr="007D5CED">
              <w:t>room to improve young peoples’ recognition of non-physical forms of</w:t>
            </w:r>
            <w:r w:rsidR="00262EF5">
              <w:t> </w:t>
            </w:r>
            <w:r w:rsidRPr="007D5CED">
              <w:t>violence and the gendered nature of domestic violence, as well as</w:t>
            </w:r>
            <w:r w:rsidR="00262EF5">
              <w:t> </w:t>
            </w:r>
            <w:r w:rsidRPr="007D5CED">
              <w:t>attitudes that minimise violence against women and limit women’s</w:t>
            </w:r>
            <w:r w:rsidR="00262EF5">
              <w:t> </w:t>
            </w:r>
            <w:r w:rsidRPr="007D5CED">
              <w:t xml:space="preserve">autonomy. </w:t>
            </w:r>
          </w:p>
        </w:tc>
      </w:tr>
    </w:tbl>
    <w:p w14:paraId="6F19D450" w14:textId="6F3BFF77" w:rsidR="006A3338" w:rsidRDefault="006A3338">
      <w:pPr>
        <w:spacing w:before="0" w:after="0" w:line="240" w:lineRule="auto"/>
        <w:rPr>
          <w:szCs w:val="18"/>
          <w:lang w:val="en-GB"/>
        </w:rPr>
      </w:pPr>
      <w:r>
        <w:rPr>
          <w:szCs w:val="18"/>
          <w:lang w:val="en-GB"/>
        </w:rPr>
        <w:br w:type="page"/>
      </w:r>
    </w:p>
    <w:p w14:paraId="4CF300AA" w14:textId="56C5CA05" w:rsidR="007D5CED" w:rsidRPr="007D5CED" w:rsidRDefault="007D5CED" w:rsidP="00347A41">
      <w:pPr>
        <w:rPr>
          <w:lang w:val="en-GB"/>
        </w:rPr>
      </w:pPr>
      <w:r w:rsidRPr="007D5CED">
        <w:rPr>
          <w:lang w:val="en-GB"/>
        </w:rPr>
        <w:lastRenderedPageBreak/>
        <w:t>The NCAS results identify areas where it would be particularly beneficial to focus prevention efforts to</w:t>
      </w:r>
      <w:r w:rsidR="00262EF5">
        <w:rPr>
          <w:lang w:val="en-GB"/>
        </w:rPr>
        <w:t> </w:t>
      </w:r>
      <w:r w:rsidRPr="007D5CED">
        <w:rPr>
          <w:lang w:val="en-GB"/>
        </w:rPr>
        <w:t>address gaps in young peoples’ understanding of violence against women and to transform more entrenched problematic attitudes towards this violence and gender inequality. For instance, the</w:t>
      </w:r>
      <w:r w:rsidR="00262EF5">
        <w:rPr>
          <w:lang w:val="en-GB"/>
        </w:rPr>
        <w:t> </w:t>
      </w:r>
      <w:r w:rsidRPr="007D5CED">
        <w:rPr>
          <w:lang w:val="en-GB"/>
        </w:rPr>
        <w:t>findings point to many opportunities across the primary prevention, early intervention, response, and</w:t>
      </w:r>
      <w:r w:rsidR="00262EF5">
        <w:rPr>
          <w:lang w:val="en-GB"/>
        </w:rPr>
        <w:t> </w:t>
      </w:r>
      <w:r w:rsidRPr="007D5CED">
        <w:rPr>
          <w:lang w:val="en-GB"/>
        </w:rPr>
        <w:t>recovery and healing continuum that may assist in ending violence against women and building a</w:t>
      </w:r>
      <w:r w:rsidR="00262EF5">
        <w:rPr>
          <w:lang w:val="en-GB"/>
        </w:rPr>
        <w:t> </w:t>
      </w:r>
      <w:r w:rsidRPr="007D5CED">
        <w:rPr>
          <w:lang w:val="en-GB"/>
        </w:rPr>
        <w:t>culture that supports safety, respect and equality for all Australians (DSS, 2022). These initiatives must be implemented early and across the lifespan, including through parenting and school-based programs, as well as interventions that support young people within universities and workplaces. There</w:t>
      </w:r>
      <w:r w:rsidR="00262EF5">
        <w:rPr>
          <w:lang w:val="en-GB"/>
        </w:rPr>
        <w:t> </w:t>
      </w:r>
      <w:r w:rsidRPr="007D5CED">
        <w:rPr>
          <w:lang w:val="en-GB"/>
        </w:rPr>
        <w:t>is also an opportunity to co-design prevention initiatives with young people to ensure these initiatives are informed by their unique insights and experiences and to facilitate meeting their specific</w:t>
      </w:r>
      <w:r w:rsidR="00262EF5">
        <w:rPr>
          <w:lang w:val="en-GB"/>
        </w:rPr>
        <w:t> </w:t>
      </w:r>
      <w:r w:rsidRPr="007D5CED">
        <w:rPr>
          <w:lang w:val="en-GB"/>
        </w:rPr>
        <w:t>needs.</w:t>
      </w:r>
    </w:p>
    <w:p w14:paraId="216D607D" w14:textId="61452FF2" w:rsidR="007D5CED" w:rsidRPr="007D5CED" w:rsidRDefault="007D5CED" w:rsidP="00347A41">
      <w:pPr>
        <w:rPr>
          <w:lang w:val="en-GB"/>
        </w:rPr>
      </w:pPr>
      <w:r w:rsidRPr="007D5CED">
        <w:rPr>
          <w:lang w:val="en-GB"/>
        </w:rPr>
        <w:t>In addition, the NCAS highlights areas where further research, evaluation and monitoring could be</w:t>
      </w:r>
      <w:r w:rsidR="00262EF5">
        <w:rPr>
          <w:lang w:val="en-GB"/>
        </w:rPr>
        <w:t> </w:t>
      </w:r>
      <w:r w:rsidRPr="007D5CED">
        <w:rPr>
          <w:lang w:val="en-GB"/>
        </w:rPr>
        <w:t>beneficial. For example, future research provides the opportunity to evaluate the factors underlying perpetration, and the role of attitudes and understanding in predicting violence against women. Similarly, further investigation into the factors underlying problematic attitudes towards violence against women may provide insight into the barriers and facilitators to improving these attitudes and</w:t>
      </w:r>
      <w:r w:rsidR="00262EF5">
        <w:rPr>
          <w:lang w:val="en-GB"/>
        </w:rPr>
        <w:t> </w:t>
      </w:r>
      <w:r w:rsidRPr="007D5CED">
        <w:rPr>
          <w:lang w:val="en-GB"/>
        </w:rPr>
        <w:t>to breaking down the culture that perpetuates violence against women.</w:t>
      </w:r>
    </w:p>
    <w:bookmarkStart w:id="250" w:name="_Toc152532430"/>
    <w:bookmarkStart w:id="251" w:name="_Toc190941716"/>
    <w:bookmarkStart w:id="252" w:name="_Toc190942416"/>
    <w:p w14:paraId="3ED94A32" w14:textId="23F14B06" w:rsidR="007D5CED" w:rsidRPr="00D32C21" w:rsidRDefault="00262EF5" w:rsidP="008C29F3">
      <w:pPr>
        <w:pStyle w:val="H2SectionTitle"/>
      </w:pPr>
      <w:r>
        <w:rPr>
          <w:noProof/>
        </w:rPr>
        <w:lastRenderedPageBreak/>
        <mc:AlternateContent>
          <mc:Choice Requires="wps">
            <w:drawing>
              <wp:anchor distT="0" distB="0" distL="114300" distR="114300" simplePos="0" relativeHeight="251658266" behindDoc="0" locked="0" layoutInCell="1" allowOverlap="1" wp14:anchorId="294AB474" wp14:editId="345432AF">
                <wp:simplePos x="0" y="0"/>
                <wp:positionH relativeFrom="column">
                  <wp:posOffset>5124</wp:posOffset>
                </wp:positionH>
                <wp:positionV relativeFrom="paragraph">
                  <wp:posOffset>109</wp:posOffset>
                </wp:positionV>
                <wp:extent cx="382138" cy="382138"/>
                <wp:effectExtent l="0" t="0" r="0" b="0"/>
                <wp:wrapSquare wrapText="bothSides"/>
                <wp:docPr id="63602719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89EE8" id="Rectangle 2" o:spid="_x0000_s1026" alt="&quot;&quot;" style="position:absolute;margin-left:.4pt;margin-top:0;width:30.1pt;height:30.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" fillcolor="#ffcd00" stroked="f" strokeweight="1pt">
                <w10:wrap type="square"/>
              </v:rect>
            </w:pict>
          </mc:Fallback>
        </mc:AlternateContent>
      </w:r>
      <w:r w:rsidR="000702B8" w:rsidRPr="008C29F3">
        <w:t xml:space="preserve">12 </w:t>
      </w:r>
      <w:r w:rsidR="007D5CED" w:rsidRPr="00D32C21">
        <w:t>References</w:t>
      </w:r>
      <w:bookmarkEnd w:id="250"/>
      <w:bookmarkEnd w:id="251"/>
      <w:bookmarkEnd w:id="252"/>
    </w:p>
    <w:p w14:paraId="4A68D32E" w14:textId="77777777" w:rsidR="007A64D0" w:rsidRDefault="007A64D0" w:rsidP="007A64D0">
      <w:pPr>
        <w:pStyle w:val="Reference"/>
      </w:pPr>
      <w:r>
        <w:t xml:space="preserve">Abbott, K., Weckesser, A., &amp; Egan, H. (2020). “Everyone knows someone in an unhealthy relationship”: Young people’s talk about intimate heterosexual relationships in England. </w:t>
      </w:r>
      <w:r>
        <w:rPr>
          <w:rStyle w:val="Italic"/>
        </w:rPr>
        <w:t>Sex Education</w:t>
      </w:r>
      <w:r>
        <w:t>,</w:t>
      </w:r>
      <w:r>
        <w:rPr>
          <w:rStyle w:val="Italic"/>
        </w:rPr>
        <w:t xml:space="preserve"> 21</w:t>
      </w:r>
      <w:r>
        <w:t xml:space="preserve">(3), 304–318. </w:t>
      </w:r>
      <w:hyperlink r:id="rId55" w:history="1">
        <w:r>
          <w:rPr>
            <w:rStyle w:val="Hyperlink"/>
          </w:rPr>
          <w:t>https://doi.org/10.1080/14681811.2020.1801407</w:t>
        </w:r>
      </w:hyperlink>
      <w:r>
        <w:t xml:space="preserve"> </w:t>
      </w:r>
    </w:p>
    <w:p w14:paraId="327A5CEF" w14:textId="3FFE543B" w:rsidR="007A64D0" w:rsidRDefault="007A64D0" w:rsidP="007A64D0">
      <w:pPr>
        <w:pStyle w:val="Reference"/>
      </w:pPr>
      <w:r>
        <w:t>Abramsky, T., Devries, K. M., Michau, L., Nakuti, J., Musuya, T., Kiss, L., Kyegombe, N., &amp; Watts, C. (2016). Ecological pathways to</w:t>
      </w:r>
      <w:r w:rsidR="00262EF5">
        <w:t> </w:t>
      </w:r>
      <w:r>
        <w:t xml:space="preserve">prevention: How does the SASA! community mobilisation model work to prevent physical intimate partner violence against women? </w:t>
      </w:r>
      <w:r>
        <w:rPr>
          <w:rStyle w:val="Italic"/>
        </w:rPr>
        <w:t>BMC Public Health</w:t>
      </w:r>
      <w:r>
        <w:t>,</w:t>
      </w:r>
      <w:r>
        <w:rPr>
          <w:rStyle w:val="Italic"/>
        </w:rPr>
        <w:t xml:space="preserve"> 16</w:t>
      </w:r>
      <w:r>
        <w:t xml:space="preserve">(1), 339. </w:t>
      </w:r>
      <w:hyperlink r:id="rId56" w:history="1">
        <w:r>
          <w:rPr>
            <w:rStyle w:val="Hyperlink"/>
          </w:rPr>
          <w:t>https://doi.org/10.1186/s12889-016-3018-9</w:t>
        </w:r>
      </w:hyperlink>
      <w:r>
        <w:t xml:space="preserve"> </w:t>
      </w:r>
    </w:p>
    <w:p w14:paraId="1B4C12C5" w14:textId="77777777" w:rsidR="007A64D0" w:rsidRDefault="007A64D0" w:rsidP="007A64D0">
      <w:pPr>
        <w:pStyle w:val="Reference"/>
      </w:pPr>
      <w:r>
        <w:t xml:space="preserve">Ahmed, S., Foulkes, L., Leung, J. T., Griffin, C., Sakhardande, A., Bennett, M., Dunning, D. L., Griffiths, K., Parker, J., Kuyken, W., Williams, J. M. G., Dalgleish, T., &amp; Blakemore, S. J. (2020). Susceptibility to prosocial and antisocial influence in adolescence. </w:t>
      </w:r>
      <w:r>
        <w:rPr>
          <w:rStyle w:val="Italic"/>
        </w:rPr>
        <w:t>Journal of Adolescence</w:t>
      </w:r>
      <w:r>
        <w:t>,</w:t>
      </w:r>
      <w:r>
        <w:rPr>
          <w:rStyle w:val="Italic"/>
        </w:rPr>
        <w:t xml:space="preserve"> 84</w:t>
      </w:r>
      <w:r>
        <w:t xml:space="preserve">, 56–68. </w:t>
      </w:r>
      <w:hyperlink r:id="rId57" w:history="1">
        <w:r>
          <w:rPr>
            <w:rStyle w:val="Hyperlink"/>
          </w:rPr>
          <w:t>https://doi.org/10.1016/j.adolescence.2020.07.012</w:t>
        </w:r>
      </w:hyperlink>
      <w:r>
        <w:t xml:space="preserve"> </w:t>
      </w:r>
    </w:p>
    <w:p w14:paraId="5078D027" w14:textId="77777777" w:rsidR="007A64D0" w:rsidRDefault="007A64D0" w:rsidP="007A64D0">
      <w:pPr>
        <w:pStyle w:val="Reference"/>
      </w:pPr>
      <w:r>
        <w:t xml:space="preserve">Aliberti, M., Jenkins, L., &amp; Monk, M. (2023). Predictors of cyberbystander intervention among adolescents. </w:t>
      </w:r>
      <w:r>
        <w:rPr>
          <w:rStyle w:val="Italic"/>
        </w:rPr>
        <w:t>Journal of Interpersonal Violence</w:t>
      </w:r>
      <w:r>
        <w:t>,</w:t>
      </w:r>
      <w:r>
        <w:rPr>
          <w:rStyle w:val="Italic"/>
        </w:rPr>
        <w:t xml:space="preserve"> 38</w:t>
      </w:r>
      <w:r>
        <w:t xml:space="preserve">(9–10), 6454–6479. </w:t>
      </w:r>
      <w:hyperlink r:id="rId58" w:history="1">
        <w:r>
          <w:rPr>
            <w:rStyle w:val="Hyperlink"/>
          </w:rPr>
          <w:t>https://doi.org/10.1177/08862605221132784</w:t>
        </w:r>
      </w:hyperlink>
      <w:r>
        <w:t xml:space="preserve"> </w:t>
      </w:r>
    </w:p>
    <w:p w14:paraId="45D65809" w14:textId="77777777" w:rsidR="007A64D0" w:rsidRDefault="007A64D0" w:rsidP="007A64D0">
      <w:pPr>
        <w:pStyle w:val="Reference"/>
      </w:pPr>
      <w:r>
        <w:t xml:space="preserve">Altarturi, H. H., Saadoon, M., &amp; Anuar, N. B. (2020). Cyber parental control: A bibliometric study. </w:t>
      </w:r>
      <w:r>
        <w:rPr>
          <w:rStyle w:val="Italic"/>
        </w:rPr>
        <w:t>Children and Youth Services Review</w:t>
      </w:r>
      <w:r>
        <w:t>,</w:t>
      </w:r>
      <w:r>
        <w:rPr>
          <w:rStyle w:val="Italic"/>
        </w:rPr>
        <w:t xml:space="preserve"> 116</w:t>
      </w:r>
      <w:r>
        <w:t xml:space="preserve">, 105134. </w:t>
      </w:r>
      <w:hyperlink r:id="rId59" w:history="1">
        <w:r>
          <w:rPr>
            <w:rStyle w:val="Hyperlink"/>
          </w:rPr>
          <w:t>https://doi.org/10.1016/j.childyouth.2020.105134</w:t>
        </w:r>
      </w:hyperlink>
    </w:p>
    <w:p w14:paraId="4AFC3260" w14:textId="77777777" w:rsidR="007A64D0" w:rsidRDefault="007A64D0" w:rsidP="007A64D0">
      <w:pPr>
        <w:pStyle w:val="Reference"/>
      </w:pPr>
      <w:r>
        <w:t>American Psychological Association. (2022). Heteronormativity.</w:t>
      </w:r>
      <w:r>
        <w:rPr>
          <w:rStyle w:val="Italic"/>
        </w:rPr>
        <w:t xml:space="preserve"> APA Dictionary of Psychology. </w:t>
      </w:r>
      <w:hyperlink r:id="rId60" w:history="1">
        <w:r>
          <w:rPr>
            <w:rStyle w:val="Hyperlink"/>
          </w:rPr>
          <w:t>https://dictionary.apa.org/heteronormativity</w:t>
        </w:r>
      </w:hyperlink>
      <w:r>
        <w:t xml:space="preserve"> </w:t>
      </w:r>
    </w:p>
    <w:p w14:paraId="4825764D" w14:textId="77777777" w:rsidR="007A64D0" w:rsidRDefault="007A64D0" w:rsidP="007A64D0">
      <w:pPr>
        <w:pStyle w:val="Reference"/>
      </w:pPr>
      <w:r>
        <w:t xml:space="preserve">Armenti, N. A., Snead, A. L., &amp; Babcock, J. C. (2018). Exploring the moderating role of problematic substance use in the relations between borderline and antisocial personality features and intimate partner violence. </w:t>
      </w:r>
      <w:r>
        <w:rPr>
          <w:rStyle w:val="Italic"/>
        </w:rPr>
        <w:t>Violence Against Women</w:t>
      </w:r>
      <w:r>
        <w:t xml:space="preserve">, </w:t>
      </w:r>
      <w:r>
        <w:rPr>
          <w:rStyle w:val="Italic"/>
        </w:rPr>
        <w:t>24</w:t>
      </w:r>
      <w:r>
        <w:t xml:space="preserve">(2), 223–240. </w:t>
      </w:r>
      <w:hyperlink r:id="rId61" w:history="1">
        <w:r>
          <w:rPr>
            <w:rStyle w:val="Hyperlink"/>
          </w:rPr>
          <w:t>https://doi.org/10.1177/1077801216687875</w:t>
        </w:r>
      </w:hyperlink>
      <w:r>
        <w:t xml:space="preserve"> </w:t>
      </w:r>
    </w:p>
    <w:p w14:paraId="60383140" w14:textId="77777777" w:rsidR="007A64D0" w:rsidRDefault="007A64D0" w:rsidP="007A64D0">
      <w:pPr>
        <w:pStyle w:val="Reference"/>
      </w:pPr>
      <w:r>
        <w:t xml:space="preserve">Arriaga, X. B., &amp; Foshee, V. A. (2004). Adolescent dating violence: Do adolescents follow in their friends’, or their parents’, footsteps? </w:t>
      </w:r>
      <w:r>
        <w:rPr>
          <w:rStyle w:val="Italic"/>
        </w:rPr>
        <w:t>Journal of Interpersonal Violence</w:t>
      </w:r>
      <w:r>
        <w:t>,</w:t>
      </w:r>
      <w:r>
        <w:rPr>
          <w:rStyle w:val="Italic"/>
        </w:rPr>
        <w:t xml:space="preserve"> 19</w:t>
      </w:r>
      <w:r>
        <w:t xml:space="preserve">(2), 162–184. </w:t>
      </w:r>
      <w:hyperlink r:id="rId62" w:history="1">
        <w:r>
          <w:rPr>
            <w:rStyle w:val="Hyperlink"/>
          </w:rPr>
          <w:t>https://doi.org/10.1177/0886260503260247</w:t>
        </w:r>
      </w:hyperlink>
      <w:r>
        <w:t xml:space="preserve"> </w:t>
      </w:r>
    </w:p>
    <w:p w14:paraId="66C656D0" w14:textId="77777777" w:rsidR="007A64D0" w:rsidRDefault="007A64D0" w:rsidP="007A64D0">
      <w:pPr>
        <w:pStyle w:val="Reference"/>
      </w:pPr>
      <w:r>
        <w:t>Arrow, M. (2022, February 9). Making change, making history, making noise: Brittany Higgins and Grace Tame at the National Press Club.</w:t>
      </w:r>
      <w:r>
        <w:rPr>
          <w:rStyle w:val="Italic"/>
        </w:rPr>
        <w:t xml:space="preserve"> The Conversation</w:t>
      </w:r>
      <w:r>
        <w:t xml:space="preserve">. </w:t>
      </w:r>
      <w:hyperlink r:id="rId63" w:history="1">
        <w:r>
          <w:rPr>
            <w:rStyle w:val="Hyperlink"/>
          </w:rPr>
          <w:t>https://theconversation.com/making-change-making-history-making-noise-brittany-higgins-and-grace-tame-at-the-national-press-club-176252</w:t>
        </w:r>
      </w:hyperlink>
    </w:p>
    <w:p w14:paraId="61FD5F59" w14:textId="77777777" w:rsidR="007A64D0" w:rsidRDefault="007A64D0" w:rsidP="007A64D0">
      <w:pPr>
        <w:pStyle w:val="Reference"/>
      </w:pPr>
      <w:r>
        <w:t xml:space="preserve">Attorney-General’s Department. (2022). </w:t>
      </w:r>
      <w:r>
        <w:rPr>
          <w:rStyle w:val="Italic"/>
        </w:rPr>
        <w:t>The Meeting of Attorneys-General work plan to strengthen criminal justice responses to sexual assault: 2022–2027</w:t>
      </w:r>
      <w:r>
        <w:t xml:space="preserve">. Australian Government. </w:t>
      </w:r>
      <w:hyperlink r:id="rId64" w:history="1">
        <w:r>
          <w:rPr>
            <w:rStyle w:val="Hyperlink"/>
          </w:rPr>
          <w:t>https://www.ag.gov.au/system/files/2022-08/MAG-work-plan-strengthen-criminal-justice-responses-to-sexual-assault-2022-2027.pdf</w:t>
        </w:r>
      </w:hyperlink>
    </w:p>
    <w:p w14:paraId="503FC7DA" w14:textId="77777777" w:rsidR="007A64D0" w:rsidRDefault="007A64D0" w:rsidP="007A64D0">
      <w:pPr>
        <w:pStyle w:val="Reference"/>
      </w:pPr>
      <w:r>
        <w:t xml:space="preserve">Attorney-General’s Department. (2023). </w:t>
      </w:r>
      <w:r>
        <w:rPr>
          <w:rStyle w:val="Emphasis"/>
        </w:rPr>
        <w:t>National Principles to Address Coercive Control in Family and Domestic Violence</w:t>
      </w:r>
      <w:r>
        <w:t xml:space="preserve">. Commonwealth of Australia. </w:t>
      </w:r>
      <w:hyperlink r:id="rId65" w:history="1">
        <w:r>
          <w:rPr>
            <w:rStyle w:val="Hyperlink"/>
          </w:rPr>
          <w:t>https://www.ag.gov.au/families-and-marriage/publications/national-principles-address-coercive-control-family-and-domestic-violence</w:t>
        </w:r>
      </w:hyperlink>
    </w:p>
    <w:p w14:paraId="39E2CCF7" w14:textId="77777777" w:rsidR="007A64D0" w:rsidRDefault="007A64D0" w:rsidP="007A64D0">
      <w:pPr>
        <w:pStyle w:val="Reference"/>
      </w:pPr>
      <w:r>
        <w:t xml:space="preserve">Australian Bureau of Statistics. (2017). </w:t>
      </w:r>
      <w:r>
        <w:rPr>
          <w:rStyle w:val="Italic"/>
        </w:rPr>
        <w:t>Personal Safety, Australia: Statistics for family, domestic, sexual violence, physical assault, partner emotional abuse, child abuse, sexual harassment, stalking and safety.</w:t>
      </w:r>
      <w:r>
        <w:t xml:space="preserve"> </w:t>
      </w:r>
      <w:hyperlink r:id="rId66" w:history="1">
        <w:r>
          <w:rPr>
            <w:rStyle w:val="Hyperlink"/>
          </w:rPr>
          <w:t>https://www.abs.gov.au/statistics/people/crime-and-justice/personal-safety-australia/2016</w:t>
        </w:r>
      </w:hyperlink>
    </w:p>
    <w:p w14:paraId="4CDDE03E" w14:textId="77777777" w:rsidR="007A64D0" w:rsidRDefault="007A64D0" w:rsidP="007A64D0">
      <w:pPr>
        <w:pStyle w:val="Reference"/>
      </w:pPr>
      <w:r>
        <w:t xml:space="preserve">Australian Bureau of Statistics. (2018). </w:t>
      </w:r>
      <w:r>
        <w:rPr>
          <w:rStyle w:val="Italic"/>
        </w:rPr>
        <w:t>Socio-economic advantage and disadvantage</w:t>
      </w:r>
      <w:r>
        <w:t xml:space="preserve"> (Census of Population and Housing: Reflecting Australia – Stories from the Census, 2016). </w:t>
      </w:r>
      <w:hyperlink r:id="rId67" w:history="1">
        <w:r>
          <w:rPr>
            <w:rStyle w:val="Hyperlink"/>
          </w:rPr>
          <w:t>https://www.abs.gov.au/ausstats/abs@.nsf/Lookup/by%20Subject/2071.0~2016~Main%20Features~Socio-Economic%20Advantage%20and%20Disadvantage~123</w:t>
        </w:r>
      </w:hyperlink>
    </w:p>
    <w:p w14:paraId="76F0936C" w14:textId="77777777" w:rsidR="007A64D0" w:rsidRDefault="007A64D0" w:rsidP="007A64D0">
      <w:pPr>
        <w:pStyle w:val="Reference"/>
      </w:pPr>
      <w:r>
        <w:t xml:space="preserve">Australian Bureau of Statistics. (2021). </w:t>
      </w:r>
      <w:r>
        <w:rPr>
          <w:rStyle w:val="Italic"/>
        </w:rPr>
        <w:t>Population: Census</w:t>
      </w:r>
      <w:r>
        <w:t xml:space="preserve">. </w:t>
      </w:r>
      <w:hyperlink r:id="rId68" w:history="1">
        <w:r>
          <w:rPr>
            <w:rStyle w:val="Hyperlink"/>
          </w:rPr>
          <w:t>https://www.abs.gov.au/statistics/people/population/population-census/2021</w:t>
        </w:r>
      </w:hyperlink>
    </w:p>
    <w:p w14:paraId="06547B77" w14:textId="77777777" w:rsidR="007A64D0" w:rsidRDefault="007A64D0" w:rsidP="007A64D0">
      <w:pPr>
        <w:pStyle w:val="Reference"/>
      </w:pPr>
      <w:r>
        <w:t xml:space="preserve">Australian Bureau of Statistics. (2023a). </w:t>
      </w:r>
      <w:r>
        <w:rPr>
          <w:rStyle w:val="Italic"/>
        </w:rPr>
        <w:t>Personal Safety, Australia: Rates of physical and sexual assault, family and domestic violence, economic and emotional abuse, stalking, sexual harassment, and child abuse.</w:t>
      </w:r>
      <w:r>
        <w:t xml:space="preserve"> </w:t>
      </w:r>
      <w:hyperlink r:id="rId69" w:history="1">
        <w:r>
          <w:rPr>
            <w:rStyle w:val="Hyperlink"/>
          </w:rPr>
          <w:t>https://www.abs.gov.au/statistics/people/crime-and-justice/personal-safety-australia/latest-release</w:t>
        </w:r>
      </w:hyperlink>
    </w:p>
    <w:p w14:paraId="721146FD" w14:textId="77777777" w:rsidR="007A64D0" w:rsidRDefault="007A64D0" w:rsidP="007A64D0">
      <w:pPr>
        <w:pStyle w:val="Reference"/>
      </w:pPr>
      <w:r>
        <w:t xml:space="preserve">Australian Bureau of Statistics. (2023b). </w:t>
      </w:r>
      <w:r>
        <w:rPr>
          <w:rStyle w:val="Italic"/>
        </w:rPr>
        <w:t>Sexual harassment</w:t>
      </w:r>
      <w:r>
        <w:t xml:space="preserve">. </w:t>
      </w:r>
      <w:hyperlink r:id="rId70" w:anchor="socio-demograph" w:history="1">
        <w:r>
          <w:rPr>
            <w:rStyle w:val="Hyperlink"/>
          </w:rPr>
          <w:t>https://www.abs.gov.au/statistics/people/crime-and-justice/sexual-harassment/2021-22#socio-demographic-characteristics</w:t>
        </w:r>
      </w:hyperlink>
    </w:p>
    <w:p w14:paraId="1BDD520C" w14:textId="77777777" w:rsidR="007A64D0" w:rsidRDefault="007A64D0" w:rsidP="007A64D0">
      <w:pPr>
        <w:pStyle w:val="Reference"/>
      </w:pPr>
      <w:r>
        <w:lastRenderedPageBreak/>
        <w:t xml:space="preserve">Australian Bureau of Statistics. (2023c). </w:t>
      </w:r>
      <w:r>
        <w:rPr>
          <w:rStyle w:val="Italic"/>
        </w:rPr>
        <w:t>Sexual violence</w:t>
      </w:r>
      <w:r>
        <w:t xml:space="preserve">. </w:t>
      </w:r>
      <w:hyperlink r:id="rId71" w:anchor="cite-window1" w:history="1">
        <w:r>
          <w:rPr>
            <w:rStyle w:val="Hyperlink"/>
          </w:rPr>
          <w:t>https://www.abs.gov.au/statistics/people/crime-and-justice/sexual-violence/2021-22#cite-window1</w:t>
        </w:r>
      </w:hyperlink>
    </w:p>
    <w:p w14:paraId="14A14CD6" w14:textId="77777777" w:rsidR="007A64D0" w:rsidRDefault="007A64D0" w:rsidP="007A64D0">
      <w:pPr>
        <w:pStyle w:val="Reference"/>
      </w:pPr>
      <w:r>
        <w:t xml:space="preserve">Australian Communications and Media Authority. (2021). </w:t>
      </w:r>
      <w:r>
        <w:rPr>
          <w:rStyle w:val="Italic"/>
        </w:rPr>
        <w:t>Communication and media in Australia: The digital lives of younger Australians, May 2021</w:t>
      </w:r>
      <w:r>
        <w:t xml:space="preserve">. Commonwealth of Australia. </w:t>
      </w:r>
      <w:hyperlink r:id="rId72" w:history="1">
        <w:r>
          <w:rPr>
            <w:rStyle w:val="Hyperlink"/>
          </w:rPr>
          <w:t>https://www.acma.gov.au/sites/default/files/2021-05/The%20digital%20lives%20of%20younger%20Australians.pdf</w:t>
        </w:r>
      </w:hyperlink>
    </w:p>
    <w:p w14:paraId="0B0D633F" w14:textId="77777777" w:rsidR="007A64D0" w:rsidRDefault="007A64D0" w:rsidP="007A64D0">
      <w:pPr>
        <w:pStyle w:val="Reference"/>
      </w:pPr>
      <w:r>
        <w:t xml:space="preserve">Australian Curriculum Assessment and Reporting Authority. (2023). </w:t>
      </w:r>
      <w:r>
        <w:rPr>
          <w:rStyle w:val="Italic"/>
        </w:rPr>
        <w:t>Respect matters (version 8.4)</w:t>
      </w:r>
      <w:r>
        <w:t xml:space="preserve">. </w:t>
      </w:r>
      <w:hyperlink r:id="rId73" w:history="1">
        <w:r>
          <w:rPr>
            <w:rStyle w:val="Hyperlink"/>
          </w:rPr>
          <w:t>https://www.australiancurriculum.edu.au/resources/curriculum-connections/portfolios/respect-matters/</w:t>
        </w:r>
      </w:hyperlink>
    </w:p>
    <w:p w14:paraId="1BA50F87" w14:textId="77777777" w:rsidR="007A64D0" w:rsidRDefault="007A64D0" w:rsidP="007A64D0">
      <w:pPr>
        <w:pStyle w:val="Reference"/>
      </w:pPr>
      <w:r>
        <w:t xml:space="preserve">Australian Domestic and Family Violence Death Review Network, &amp; Australia’s National Research Organisation for Women’s Safety. (2022). </w:t>
      </w:r>
      <w:r>
        <w:rPr>
          <w:rStyle w:val="Italic"/>
        </w:rPr>
        <w:t>Australian Domestic and Family Violence Death Review Network data report: Intimate partner violence homicides 2010–2018</w:t>
      </w:r>
      <w:r>
        <w:t xml:space="preserve"> (2nd ed.; Research report 03/2022). ANROWS. </w:t>
      </w:r>
      <w:hyperlink r:id="rId74" w:history="1">
        <w:r>
          <w:rPr>
            <w:rStyle w:val="Hyperlink"/>
          </w:rPr>
          <w:t>https://www.anrows.org.au/publication/australian-domestic-and-family-violence-death-review-network-data-report-intimate-partner-violence-homicides-2010-2018/</w:t>
        </w:r>
      </w:hyperlink>
    </w:p>
    <w:p w14:paraId="265164E4" w14:textId="77777777" w:rsidR="007A64D0" w:rsidRDefault="007A64D0" w:rsidP="007A64D0">
      <w:pPr>
        <w:pStyle w:val="Reference"/>
      </w:pPr>
      <w:r>
        <w:t xml:space="preserve">Australian Government. (2022). </w:t>
      </w:r>
      <w:r>
        <w:rPr>
          <w:rStyle w:val="Italic"/>
        </w:rPr>
        <w:t>Bring up respect</w:t>
      </w:r>
      <w:r>
        <w:t xml:space="preserve">. </w:t>
      </w:r>
      <w:hyperlink r:id="rId75" w:history="1">
        <w:r>
          <w:rPr>
            <w:rStyle w:val="Hyperlink"/>
          </w:rPr>
          <w:t>https://www.respect.gov.au/</w:t>
        </w:r>
      </w:hyperlink>
    </w:p>
    <w:p w14:paraId="1B98572C" w14:textId="77777777" w:rsidR="007A64D0" w:rsidRDefault="007A64D0" w:rsidP="007A64D0">
      <w:pPr>
        <w:pStyle w:val="Reference"/>
      </w:pPr>
      <w:r>
        <w:t xml:space="preserve">Australian Institute of Family Studies. (2023). </w:t>
      </w:r>
      <w:r>
        <w:rPr>
          <w:rStyle w:val="Italic"/>
        </w:rPr>
        <w:t>Young people living with parents</w:t>
      </w:r>
      <w:r>
        <w:t xml:space="preserve">. </w:t>
      </w:r>
      <w:hyperlink r:id="rId76" w:history="1">
        <w:r>
          <w:rPr>
            <w:rStyle w:val="Hyperlink"/>
          </w:rPr>
          <w:t>https://aifs.gov.au/research/facts-and-figures/young-people-living-parents</w:t>
        </w:r>
      </w:hyperlink>
    </w:p>
    <w:p w14:paraId="3E54EC61" w14:textId="77777777" w:rsidR="007A64D0" w:rsidRDefault="007A64D0" w:rsidP="007A64D0">
      <w:pPr>
        <w:pStyle w:val="Reference"/>
      </w:pPr>
      <w:r>
        <w:t xml:space="preserve">Australian Institute of Health and Welfare. (2016). </w:t>
      </w:r>
      <w:r w:rsidRPr="0013577A">
        <w:rPr>
          <w:i/>
          <w:iCs/>
        </w:rPr>
        <w:t>Domestic &amp; family violence and homelessness 2011–12 to 2013–14</w:t>
      </w:r>
      <w:r>
        <w:t xml:space="preserve">. </w:t>
      </w:r>
      <w:hyperlink r:id="rId77" w:history="1">
        <w:r>
          <w:rPr>
            <w:rStyle w:val="Hyperlink"/>
          </w:rPr>
          <w:t>https://www.aihw.gov.au/reports/domestic-violence/domestic-family-violence-homelessness-2011-12-to/contents/summary</w:t>
        </w:r>
      </w:hyperlink>
    </w:p>
    <w:p w14:paraId="5AFD2452" w14:textId="77777777" w:rsidR="007A64D0" w:rsidRDefault="007A64D0" w:rsidP="007A64D0">
      <w:pPr>
        <w:pStyle w:val="Reference"/>
        <w:rPr>
          <w:rStyle w:val="Hyperlink"/>
        </w:rPr>
      </w:pPr>
      <w:r>
        <w:t xml:space="preserve">Australian Institute of Health and Welfare. (2019). </w:t>
      </w:r>
      <w:r>
        <w:rPr>
          <w:rStyle w:val="Italic"/>
        </w:rPr>
        <w:t>Australian Burden of Disease Study: Impact and causes of illness and death in Australia 2015</w:t>
      </w:r>
      <w:r>
        <w:t xml:space="preserve"> (Australian Burden of Disease series no. 19). </w:t>
      </w:r>
      <w:hyperlink r:id="rId78" w:history="1">
        <w:r>
          <w:rPr>
            <w:rStyle w:val="Hyperlink"/>
          </w:rPr>
          <w:t>https://www.aihw.gov.au/reports/burden-of-disease/burden-disease-study-illness-death-2015/summary</w:t>
        </w:r>
      </w:hyperlink>
    </w:p>
    <w:p w14:paraId="3C674AE3" w14:textId="77777777" w:rsidR="007A64D0" w:rsidRDefault="007A64D0" w:rsidP="007A64D0">
      <w:pPr>
        <w:pStyle w:val="Reference"/>
      </w:pPr>
      <w:r>
        <w:t xml:space="preserve">Australian Institute of Health and Welfare. (2020). </w:t>
      </w:r>
      <w:r>
        <w:rPr>
          <w:rStyle w:val="Italic"/>
        </w:rPr>
        <w:t>National Drug Strategy Household Survey 2019</w:t>
      </w:r>
      <w:r>
        <w:t xml:space="preserve"> (Drug Statistics series no. 32. PHE 270). </w:t>
      </w:r>
      <w:hyperlink r:id="rId79" w:history="1">
        <w:r>
          <w:rPr>
            <w:rStyle w:val="Hyperlink"/>
          </w:rPr>
          <w:t>https://www.aihw.gov.au/getmedia/77dbea6e-f071-495c-b71e-3a632237269d/aihw-phe-270.pdf.aspx?inline=true</w:t>
        </w:r>
      </w:hyperlink>
    </w:p>
    <w:p w14:paraId="61B0ABEC" w14:textId="77777777" w:rsidR="007A64D0" w:rsidRDefault="007A64D0" w:rsidP="007A64D0">
      <w:pPr>
        <w:pStyle w:val="Reference"/>
      </w:pPr>
      <w:r>
        <w:t xml:space="preserve">Australian Institute of Health and Welfare. (2021). </w:t>
      </w:r>
      <w:r>
        <w:rPr>
          <w:rStyle w:val="Italic"/>
        </w:rPr>
        <w:t>Family, domestic and sexual violence service responses in the time of COVID-19</w:t>
      </w:r>
      <w:r>
        <w:t xml:space="preserve">. </w:t>
      </w:r>
      <w:hyperlink r:id="rId80" w:history="1">
        <w:r>
          <w:rPr>
            <w:rStyle w:val="Hyperlink"/>
          </w:rPr>
          <w:t>https://apo.org.au/sites/default/files/resource-files/2021-12/apo-nid315733.pdf</w:t>
        </w:r>
      </w:hyperlink>
    </w:p>
    <w:p w14:paraId="51C0652F" w14:textId="77777777" w:rsidR="007A64D0" w:rsidRDefault="007A64D0" w:rsidP="007A64D0">
      <w:pPr>
        <w:pStyle w:val="Reference"/>
      </w:pPr>
      <w:r>
        <w:t xml:space="preserve">Australian Institute of Health and Welfare. (2022). </w:t>
      </w:r>
      <w:r>
        <w:rPr>
          <w:rStyle w:val="Italic"/>
        </w:rPr>
        <w:t>Family, domestic and sexual violence</w:t>
      </w:r>
      <w:r>
        <w:t xml:space="preserve">. </w:t>
      </w:r>
      <w:hyperlink r:id="rId81" w:history="1">
        <w:r>
          <w:rPr>
            <w:rStyle w:val="Hyperlink"/>
          </w:rPr>
          <w:t>https://www.aihw.gov.au/reports/domestic-violence/family-domestic-and-sexual-violence</w:t>
        </w:r>
      </w:hyperlink>
    </w:p>
    <w:p w14:paraId="5CF69DDB" w14:textId="77777777" w:rsidR="007A64D0" w:rsidRDefault="007A64D0" w:rsidP="007A64D0">
      <w:pPr>
        <w:pStyle w:val="Reference"/>
      </w:pPr>
      <w:r>
        <w:t xml:space="preserve">Australia’s National Research Organisation for Women’s Safety. (2018). </w:t>
      </w:r>
      <w:r>
        <w:rPr>
          <w:rStyle w:val="Italic"/>
        </w:rPr>
        <w:t>Research summary: The impacts of domestic and family violence on children</w:t>
      </w:r>
      <w:r>
        <w:t xml:space="preserve"> (2nd ed.; ANROWS Insights 11/2018). </w:t>
      </w:r>
      <w:hyperlink r:id="rId82" w:history="1">
        <w:r>
          <w:rPr>
            <w:rStyle w:val="Hyperlink"/>
          </w:rPr>
          <w:t>https://www.anrows.org.au/publication/research-summary-the-impacts-of-domestic-and-family-violence-on-children/</w:t>
        </w:r>
      </w:hyperlink>
    </w:p>
    <w:p w14:paraId="7C12B5F8" w14:textId="77777777" w:rsidR="007A64D0" w:rsidRDefault="007A64D0" w:rsidP="007A64D0">
      <w:pPr>
        <w:pStyle w:val="Reference"/>
      </w:pPr>
      <w:r>
        <w:t xml:space="preserve">Australia’s National Research Organisation for Women’s Safety. (2023). </w:t>
      </w:r>
      <w:r>
        <w:rPr>
          <w:rStyle w:val="Italic"/>
        </w:rPr>
        <w:t>ANROWS evidence portal</w:t>
      </w:r>
      <w:r>
        <w:t xml:space="preserve">. </w:t>
      </w:r>
      <w:hyperlink r:id="rId83" w:history="1">
        <w:r>
          <w:rPr>
            <w:rStyle w:val="Hyperlink"/>
          </w:rPr>
          <w:t>https://evidenceportal.au/</w:t>
        </w:r>
      </w:hyperlink>
    </w:p>
    <w:p w14:paraId="74DBDC02" w14:textId="77777777" w:rsidR="007A64D0" w:rsidRDefault="007A64D0" w:rsidP="007A64D0">
      <w:pPr>
        <w:pStyle w:val="Reference"/>
      </w:pPr>
      <w:r>
        <w:t xml:space="preserve">Bailey, E., Boland, A., Bell, I., Nicholas, J., La Sala, L., &amp; Robinson, J. (2022). The mental health and social media use of young Australians during the COVID-19 pandemic. </w:t>
      </w:r>
      <w:r>
        <w:rPr>
          <w:rStyle w:val="Italic"/>
        </w:rPr>
        <w:t>International Journal of Environmental Research and Public Health</w:t>
      </w:r>
      <w:r>
        <w:t>,</w:t>
      </w:r>
      <w:r>
        <w:rPr>
          <w:rStyle w:val="Italic"/>
        </w:rPr>
        <w:t xml:space="preserve"> 19</w:t>
      </w:r>
      <w:r>
        <w:t xml:space="preserve">(3), 1077. </w:t>
      </w:r>
      <w:hyperlink r:id="rId84" w:history="1">
        <w:r>
          <w:rPr>
            <w:rStyle w:val="Hyperlink"/>
          </w:rPr>
          <w:t>https://doi.org/10.3390/ijerph19031077</w:t>
        </w:r>
      </w:hyperlink>
      <w:r>
        <w:t xml:space="preserve"> </w:t>
      </w:r>
    </w:p>
    <w:p w14:paraId="31942EBD" w14:textId="77777777" w:rsidR="007A64D0" w:rsidRDefault="007A64D0" w:rsidP="007A64D0">
      <w:pPr>
        <w:pStyle w:val="Reference"/>
      </w:pPr>
      <w:r>
        <w:t xml:space="preserve">Baldwin-White, A. (2019). “When a girl says no, you should be persistent until she says yes”: College students and their beliefs about consent. </w:t>
      </w:r>
      <w:r>
        <w:rPr>
          <w:rStyle w:val="Italic"/>
        </w:rPr>
        <w:t>Journal of Interpersonal Violence</w:t>
      </w:r>
      <w:r>
        <w:t xml:space="preserve">. </w:t>
      </w:r>
      <w:hyperlink r:id="rId85" w:history="1">
        <w:r>
          <w:rPr>
            <w:rStyle w:val="Hyperlink"/>
          </w:rPr>
          <w:t>https://doi.org/10.1177/0886260519875552</w:t>
        </w:r>
      </w:hyperlink>
      <w:r>
        <w:t xml:space="preserve"> </w:t>
      </w:r>
    </w:p>
    <w:p w14:paraId="1CD1E5CC" w14:textId="77777777" w:rsidR="007A64D0" w:rsidRDefault="007A64D0" w:rsidP="007A64D0">
      <w:pPr>
        <w:pStyle w:val="Reference"/>
      </w:pPr>
      <w:r>
        <w:t xml:space="preserve">Banyard, V., Edwards, K., &amp; Rizzo, A. (2019). “What would the neighbors do?” Measuring sexual and domestic violence prevention social norms among youth and adults. </w:t>
      </w:r>
      <w:r>
        <w:rPr>
          <w:rStyle w:val="Emphasis"/>
        </w:rPr>
        <w:t>Journal of Community Psychology</w:t>
      </w:r>
      <w:r>
        <w:t>,</w:t>
      </w:r>
      <w:r>
        <w:rPr>
          <w:rStyle w:val="Italic"/>
        </w:rPr>
        <w:t xml:space="preserve"> 47</w:t>
      </w:r>
      <w:r>
        <w:t xml:space="preserve">(8), 1817–1833. </w:t>
      </w:r>
      <w:hyperlink r:id="rId86" w:history="1">
        <w:r>
          <w:rPr>
            <w:rStyle w:val="Hyperlink"/>
          </w:rPr>
          <w:t>https://doi.org/https://doi.org/10.1002/jcop.22201</w:t>
        </w:r>
      </w:hyperlink>
    </w:p>
    <w:p w14:paraId="3B69947B" w14:textId="77777777" w:rsidR="007A64D0" w:rsidRDefault="007A64D0" w:rsidP="007A64D0">
      <w:pPr>
        <w:pStyle w:val="Reference"/>
      </w:pPr>
      <w:r>
        <w:t xml:space="preserve">Beck, V. S., Boys, S., Rose, C., &amp; Beck, E. (2012). Violence against women in video games: A prequel or sequel to rape myth acceptance. </w:t>
      </w:r>
      <w:r>
        <w:rPr>
          <w:rStyle w:val="Italic"/>
        </w:rPr>
        <w:t>Journal of Interpersonal Violence</w:t>
      </w:r>
      <w:r>
        <w:t>,</w:t>
      </w:r>
      <w:r>
        <w:rPr>
          <w:rStyle w:val="Italic"/>
        </w:rPr>
        <w:t xml:space="preserve"> 27</w:t>
      </w:r>
      <w:r>
        <w:t xml:space="preserve">(15), 3016–3031. </w:t>
      </w:r>
      <w:hyperlink r:id="rId87" w:history="1">
        <w:r>
          <w:rPr>
            <w:rStyle w:val="Hyperlink"/>
          </w:rPr>
          <w:t>http://dx.doi.org/10.1177/0886260512441078</w:t>
        </w:r>
      </w:hyperlink>
      <w:r>
        <w:t xml:space="preserve"> </w:t>
      </w:r>
    </w:p>
    <w:p w14:paraId="5C721690" w14:textId="77777777" w:rsidR="007A64D0" w:rsidRDefault="007A64D0" w:rsidP="007A64D0">
      <w:pPr>
        <w:pStyle w:val="Reference"/>
      </w:pPr>
      <w:r>
        <w:t xml:space="preserve">Behre, A. (2015). Digging beneath the equality language: The influence of the fathers’ rights movement on intimate partner violence public policy debates and family law reform. </w:t>
      </w:r>
      <w:r>
        <w:rPr>
          <w:rStyle w:val="Italic"/>
        </w:rPr>
        <w:t>William &amp; Mary Journal of Women and the Law</w:t>
      </w:r>
      <w:r>
        <w:t>,</w:t>
      </w:r>
      <w:r>
        <w:rPr>
          <w:rStyle w:val="Italic"/>
        </w:rPr>
        <w:t xml:space="preserve"> 21</w:t>
      </w:r>
      <w:r>
        <w:t xml:space="preserve">(3), 525–602. </w:t>
      </w:r>
      <w:hyperlink r:id="rId88" w:history="1">
        <w:r>
          <w:rPr>
            <w:rStyle w:val="Hyperlink"/>
          </w:rPr>
          <w:t>https://scholarship.law.wm.edu/wmjowl/vol21/iss3/2</w:t>
        </w:r>
      </w:hyperlink>
      <w:r>
        <w:t xml:space="preserve"> </w:t>
      </w:r>
    </w:p>
    <w:p w14:paraId="1FD87106" w14:textId="77777777" w:rsidR="007A64D0" w:rsidRDefault="007A64D0" w:rsidP="007A64D0">
      <w:pPr>
        <w:pStyle w:val="Reference"/>
      </w:pPr>
      <w:r>
        <w:t xml:space="preserve">Bell, K., &amp; Flood, M. (2020). Change among the change agents? Men’s experiences of engaging in anti-violence advocacy as White Ribbon Australia Ambassadors. In R. Luyt &amp; K. Starck (Eds.), </w:t>
      </w:r>
      <w:r>
        <w:rPr>
          <w:rStyle w:val="Italic"/>
        </w:rPr>
        <w:t>Masculine power and gender equality: Masculinities as change agents</w:t>
      </w:r>
      <w:r>
        <w:t xml:space="preserve"> (pp. 55–80). Springer International Publishing. </w:t>
      </w:r>
      <w:hyperlink r:id="rId89" w:history="1">
        <w:r>
          <w:rPr>
            <w:rStyle w:val="Hyperlink"/>
          </w:rPr>
          <w:t>https://doi.org/10.1007/978-3-030-35162-5_4</w:t>
        </w:r>
      </w:hyperlink>
      <w:r>
        <w:t xml:space="preserve"> </w:t>
      </w:r>
    </w:p>
    <w:p w14:paraId="4D74BD6F" w14:textId="77777777" w:rsidR="007A64D0" w:rsidRDefault="007A64D0" w:rsidP="007A64D0">
      <w:pPr>
        <w:pStyle w:val="Reference"/>
      </w:pPr>
      <w:r>
        <w:t xml:space="preserve">Bell, K. M., &amp; Higgins, L. (2015). The impact of childhood emotional abuse and experiential avoidance on maladaptive problem solving and intimate partner violence. </w:t>
      </w:r>
      <w:r>
        <w:rPr>
          <w:rStyle w:val="Emphasis"/>
        </w:rPr>
        <w:t>Behavioral Sciences</w:t>
      </w:r>
      <w:r>
        <w:t xml:space="preserve">, </w:t>
      </w:r>
      <w:r>
        <w:rPr>
          <w:rStyle w:val="Italic"/>
        </w:rPr>
        <w:t>5</w:t>
      </w:r>
      <w:r>
        <w:t xml:space="preserve">(2), 154–175. </w:t>
      </w:r>
      <w:hyperlink r:id="rId90" w:history="1">
        <w:r>
          <w:rPr>
            <w:rStyle w:val="Hyperlink"/>
          </w:rPr>
          <w:t>https://doi.org/10.3390/bs5020154</w:t>
        </w:r>
      </w:hyperlink>
    </w:p>
    <w:p w14:paraId="12942564" w14:textId="77777777" w:rsidR="007A64D0" w:rsidRDefault="007A64D0" w:rsidP="007A64D0">
      <w:pPr>
        <w:pStyle w:val="Reference"/>
      </w:pPr>
      <w:r>
        <w:lastRenderedPageBreak/>
        <w:t xml:space="preserve">Benard, A. A. (2016). Colonizing Black female bodies within patriarchal capitalism: Feminist and human rights perspectives. </w:t>
      </w:r>
      <w:r>
        <w:rPr>
          <w:rStyle w:val="Italic"/>
        </w:rPr>
        <w:t>Sexualization, Media, &amp; Society</w:t>
      </w:r>
      <w:r>
        <w:t>,</w:t>
      </w:r>
      <w:r>
        <w:rPr>
          <w:rStyle w:val="Italic"/>
        </w:rPr>
        <w:t xml:space="preserve"> 2</w:t>
      </w:r>
      <w:r>
        <w:t xml:space="preserve">(4), 1–11. </w:t>
      </w:r>
      <w:hyperlink r:id="rId91" w:history="1">
        <w:r>
          <w:rPr>
            <w:rStyle w:val="Hyperlink"/>
          </w:rPr>
          <w:t>https://doi.org/10.1177/2374623816680622</w:t>
        </w:r>
      </w:hyperlink>
      <w:r>
        <w:t xml:space="preserve"> </w:t>
      </w:r>
    </w:p>
    <w:p w14:paraId="586B2D8A" w14:textId="77777777" w:rsidR="007A64D0" w:rsidRDefault="007A64D0" w:rsidP="007A64D0">
      <w:pPr>
        <w:pStyle w:val="Reference"/>
      </w:pPr>
      <w:r>
        <w:t xml:space="preserve">Bernstein, S., Warburton, W.A., Bussey, K., &amp; Sweller, N. (2022). Beyond the screen: Violence and aggression towards women within an excepted online space. </w:t>
      </w:r>
      <w:r>
        <w:rPr>
          <w:rStyle w:val="Italic"/>
        </w:rPr>
        <w:t>Sexes</w:t>
      </w:r>
      <w:r>
        <w:t>,</w:t>
      </w:r>
      <w:r>
        <w:rPr>
          <w:rStyle w:val="Italic"/>
        </w:rPr>
        <w:t xml:space="preserve"> 3</w:t>
      </w:r>
      <w:r>
        <w:t xml:space="preserve">(1), 78–96. </w:t>
      </w:r>
      <w:hyperlink r:id="rId92" w:history="1">
        <w:r>
          <w:rPr>
            <w:rStyle w:val="Hyperlink"/>
          </w:rPr>
          <w:t>https://doi.org/10.3390/sexes3010007</w:t>
        </w:r>
      </w:hyperlink>
      <w:r>
        <w:t xml:space="preserve"> </w:t>
      </w:r>
    </w:p>
    <w:p w14:paraId="22BEFA86" w14:textId="5AD857C0" w:rsidR="007A64D0" w:rsidRDefault="007A64D0" w:rsidP="007A64D0">
      <w:pPr>
        <w:pStyle w:val="Reference"/>
      </w:pPr>
      <w:r>
        <w:t>Beymer, M. R., Hill, C. G., Perry, M. A., Johnson, L. D., Jarvis, B. P., Pecko, J. A., Humphries, J. L., &amp; Watkins, E. Y. (2021). Pornography</w:t>
      </w:r>
      <w:r w:rsidR="00143A81">
        <w:t> </w:t>
      </w:r>
      <w:r>
        <w:t xml:space="preserve">use and intimate partner violence among a sample of U.S. Army soldiers in 2018: A cross-sectional study. </w:t>
      </w:r>
      <w:r>
        <w:rPr>
          <w:rStyle w:val="Italic"/>
        </w:rPr>
        <w:t>Archives of Sexual Behavior</w:t>
      </w:r>
      <w:r>
        <w:t>,</w:t>
      </w:r>
      <w:r>
        <w:rPr>
          <w:rStyle w:val="Italic"/>
        </w:rPr>
        <w:t xml:space="preserve"> 50</w:t>
      </w:r>
      <w:r>
        <w:t xml:space="preserve">(5), 2245–2257. </w:t>
      </w:r>
      <w:hyperlink r:id="rId93" w:history="1">
        <w:r>
          <w:rPr>
            <w:rStyle w:val="Hyperlink"/>
          </w:rPr>
          <w:t>https://doi.org/10.1007/s10508-021-01924-x</w:t>
        </w:r>
      </w:hyperlink>
      <w:r>
        <w:t xml:space="preserve"> </w:t>
      </w:r>
    </w:p>
    <w:p w14:paraId="139DB608" w14:textId="77777777" w:rsidR="007A64D0" w:rsidRDefault="007A64D0" w:rsidP="007A64D0">
      <w:pPr>
        <w:pStyle w:val="Reference"/>
      </w:pPr>
      <w:r>
        <w:t xml:space="preserve">Body Safety Australia. (2023). </w:t>
      </w:r>
      <w:r>
        <w:rPr>
          <w:rStyle w:val="Italic"/>
        </w:rPr>
        <w:t>Consent, respectful relationships and eSafety</w:t>
      </w:r>
      <w:r>
        <w:t xml:space="preserve">. </w:t>
      </w:r>
      <w:hyperlink r:id="rId94" w:history="1">
        <w:r>
          <w:rPr>
            <w:rStyle w:val="Hyperlink"/>
          </w:rPr>
          <w:t>https://www.bodysafetyaustralia.com.au/naked-truths-consent-respectful-relationships-and-esafety</w:t>
        </w:r>
      </w:hyperlink>
    </w:p>
    <w:p w14:paraId="245D1219" w14:textId="77777777" w:rsidR="007A64D0" w:rsidRDefault="007A64D0" w:rsidP="007A64D0">
      <w:pPr>
        <w:pStyle w:val="Reference"/>
      </w:pPr>
      <w:r>
        <w:t xml:space="preserve">Bolton, R., Edwards, C., Leane, M., Ó Súilleabháin, F., &amp; Fennell, C. (2021). “They’re you know, their audience”: How women are (ab)used to cement the heterosexual bonds between men. </w:t>
      </w:r>
      <w:r>
        <w:rPr>
          <w:rStyle w:val="Italic"/>
        </w:rPr>
        <w:t>Irish Journal of Sociology</w:t>
      </w:r>
      <w:r>
        <w:t>,</w:t>
      </w:r>
      <w:r>
        <w:rPr>
          <w:rStyle w:val="Italic"/>
        </w:rPr>
        <w:t xml:space="preserve"> 30</w:t>
      </w:r>
      <w:r>
        <w:t xml:space="preserve">(1), 3–24. </w:t>
      </w:r>
      <w:hyperlink r:id="rId95" w:history="1">
        <w:r>
          <w:rPr>
            <w:rStyle w:val="Hyperlink"/>
          </w:rPr>
          <w:t>https://doi.org/10.1177/07916035211034355</w:t>
        </w:r>
      </w:hyperlink>
      <w:r>
        <w:t xml:space="preserve"> </w:t>
      </w:r>
    </w:p>
    <w:p w14:paraId="218BFD9C" w14:textId="5247C2DE" w:rsidR="007A64D0" w:rsidRDefault="007A64D0" w:rsidP="007A64D0">
      <w:pPr>
        <w:pStyle w:val="Reference"/>
      </w:pPr>
      <w:r>
        <w:t xml:space="preserve">Boxall, H., &amp; Morgan, A. (2021). </w:t>
      </w:r>
      <w:r>
        <w:rPr>
          <w:rStyle w:val="Italic"/>
        </w:rPr>
        <w:t>Intimate partner violence during the COVID-19 pandemic: A survey of women in Australia</w:t>
      </w:r>
      <w:r>
        <w:t xml:space="preserve">. ANROWS. </w:t>
      </w:r>
      <w:hyperlink r:id="rId96" w:history="1">
        <w:r w:rsidR="00143A81" w:rsidRPr="00914FF5">
          <w:rPr>
            <w:rStyle w:val="Hyperlink"/>
          </w:rPr>
          <w:t>https://www.anrows.org.au/publication/intimate-partner-violence-during-the-covid-19-pandemic-a-survey-of-women-in</w:t>
        </w:r>
        <w:r w:rsidR="00143A81" w:rsidRPr="00914FF5">
          <w:rPr>
            <w:rStyle w:val="Hyperlink"/>
          </w:rPr>
          <w:noBreakHyphen/>
          <w:t>australia/</w:t>
        </w:r>
      </w:hyperlink>
    </w:p>
    <w:p w14:paraId="128D09D0" w14:textId="77777777" w:rsidR="007A64D0" w:rsidRDefault="007A64D0" w:rsidP="007A64D0">
      <w:pPr>
        <w:pStyle w:val="Reference"/>
      </w:pPr>
      <w:r>
        <w:t xml:space="preserve">Brem, M. J., Garner, A. R., Grigorian, H., Florimbio, A. R., Wolford-Clevenger, C., Shorey, R. C., &amp; Stuart, G. L. (2021). Problematic pornography use and physical and sexual intimate partner violence perpetration among men in batterer intervention programs. </w:t>
      </w:r>
      <w:r>
        <w:rPr>
          <w:rStyle w:val="Italic"/>
        </w:rPr>
        <w:t>Journal of Interpersonal Violence</w:t>
      </w:r>
      <w:r>
        <w:t>,</w:t>
      </w:r>
      <w:r>
        <w:rPr>
          <w:rStyle w:val="Italic"/>
        </w:rPr>
        <w:t xml:space="preserve"> 36</w:t>
      </w:r>
      <w:r>
        <w:t xml:space="preserve">(11–12), NP6085–NP6105. </w:t>
      </w:r>
      <w:hyperlink r:id="rId97" w:history="1">
        <w:r>
          <w:rPr>
            <w:rStyle w:val="Hyperlink"/>
          </w:rPr>
          <w:t>https://doi.org/10.1177/0886260518812806</w:t>
        </w:r>
      </w:hyperlink>
      <w:r>
        <w:t xml:space="preserve"> </w:t>
      </w:r>
    </w:p>
    <w:p w14:paraId="47BE369F" w14:textId="69214C9E" w:rsidR="007A64D0" w:rsidRDefault="007A64D0" w:rsidP="007A64D0">
      <w:pPr>
        <w:pStyle w:val="Reference"/>
      </w:pPr>
      <w:r>
        <w:t xml:space="preserve">Brennan, J., Chanfreau, J., Finnegan, J., Griggs, J., Kiss, Z., &amp; Park, A. (2015). </w:t>
      </w:r>
      <w:r>
        <w:rPr>
          <w:rStyle w:val="Italic"/>
        </w:rPr>
        <w:t>The effect of higher education on graduates’ attitudes: Secondary analysis of the British Social Attitudes Survey</w:t>
      </w:r>
      <w:r>
        <w:t xml:space="preserve"> (BIS Research Paper No. 200). Department for Business Innovation &amp;</w:t>
      </w:r>
      <w:r w:rsidR="00143A81">
        <w:t> </w:t>
      </w:r>
      <w:r>
        <w:t xml:space="preserve">Skills. </w:t>
      </w:r>
      <w:hyperlink r:id="rId98" w:history="1">
        <w:r>
          <w:rPr>
            <w:rStyle w:val="Hyperlink"/>
          </w:rPr>
          <w:t>https://assets.publishing.service.gov.uk/government/uploads/system/uploads/attachment_data/file/474228/BIS-15-89-the-effect-of-higher-education-on-attitudes.pdf</w:t>
        </w:r>
      </w:hyperlink>
    </w:p>
    <w:p w14:paraId="6742453B" w14:textId="38F31DD5" w:rsidR="007A64D0" w:rsidRDefault="007A64D0" w:rsidP="007A64D0">
      <w:pPr>
        <w:pStyle w:val="Reference"/>
      </w:pPr>
      <w:r>
        <w:t xml:space="preserve">Broćić, M., &amp; Miles, A. (2021). College and the “culture war”: Assessing higher education’s influence on moral attitudes. </w:t>
      </w:r>
      <w:r>
        <w:rPr>
          <w:rStyle w:val="Italic"/>
        </w:rPr>
        <w:t>American</w:t>
      </w:r>
      <w:r w:rsidR="00143A81">
        <w:rPr>
          <w:rStyle w:val="Italic"/>
        </w:rPr>
        <w:t> </w:t>
      </w:r>
      <w:r>
        <w:rPr>
          <w:rStyle w:val="Italic"/>
        </w:rPr>
        <w:t>Sociological Review</w:t>
      </w:r>
      <w:r>
        <w:t>,</w:t>
      </w:r>
      <w:r>
        <w:rPr>
          <w:rStyle w:val="Italic"/>
        </w:rPr>
        <w:t xml:space="preserve"> 86</w:t>
      </w:r>
      <w:r>
        <w:t xml:space="preserve">(5), 856–895. </w:t>
      </w:r>
      <w:hyperlink r:id="rId99" w:history="1">
        <w:r>
          <w:rPr>
            <w:rStyle w:val="Hyperlink"/>
          </w:rPr>
          <w:t>https://doi.org/10.1177/00031224211041094</w:t>
        </w:r>
      </w:hyperlink>
      <w:r>
        <w:t xml:space="preserve"> </w:t>
      </w:r>
    </w:p>
    <w:p w14:paraId="7466CF9B" w14:textId="77777777" w:rsidR="007A64D0" w:rsidRDefault="007A64D0" w:rsidP="007A64D0">
      <w:pPr>
        <w:pStyle w:val="Reference"/>
        <w:rPr>
          <w:rStyle w:val="Hyperlink"/>
        </w:rPr>
      </w:pPr>
      <w:r>
        <w:t xml:space="preserve">Brown, C., Yap, M., Thomassin, A., Murray, M., &amp; Yu, E. (2021). “Can I just share my story?” Experiences of technology-facilitated abuse among Aboriginal and Torres Strait Islander women in regional and remote Australia. </w:t>
      </w:r>
      <w:r>
        <w:rPr>
          <w:rStyle w:val="Italic"/>
        </w:rPr>
        <w:t>Journal of Global Indigeneity</w:t>
      </w:r>
      <w:r>
        <w:t xml:space="preserve">, </w:t>
      </w:r>
      <w:r>
        <w:rPr>
          <w:rStyle w:val="Italic"/>
        </w:rPr>
        <w:t>5</w:t>
      </w:r>
      <w:r>
        <w:t xml:space="preserve">(2), 29716. </w:t>
      </w:r>
      <w:hyperlink r:id="rId100" w:history="1">
        <w:r>
          <w:rPr>
            <w:rStyle w:val="Hyperlink"/>
          </w:rPr>
          <w:t>https://www.journalofglobalindigeneity.com/article/29716.pdf</w:t>
        </w:r>
      </w:hyperlink>
    </w:p>
    <w:p w14:paraId="27377215" w14:textId="77777777" w:rsidR="007A64D0" w:rsidRDefault="007A64D0" w:rsidP="007A64D0">
      <w:pPr>
        <w:pStyle w:val="Reference"/>
      </w:pPr>
      <w:r>
        <w:t xml:space="preserve">Burton, L. J., Cyr, D., &amp; Weiner, J. M. (2020). “Unbroken, but Bent”: Gendered Racism in School Leadership. </w:t>
      </w:r>
      <w:r>
        <w:rPr>
          <w:rStyle w:val="Emphasis"/>
        </w:rPr>
        <w:t>Frontiers in Education</w:t>
      </w:r>
      <w:r>
        <w:t xml:space="preserve">, </w:t>
      </w:r>
      <w:r>
        <w:rPr>
          <w:rStyle w:val="Italic"/>
        </w:rPr>
        <w:t>5</w:t>
      </w:r>
      <w:r>
        <w:t xml:space="preserve">. </w:t>
      </w:r>
      <w:hyperlink r:id="rId101" w:history="1">
        <w:r>
          <w:rPr>
            <w:rStyle w:val="Hyperlink"/>
          </w:rPr>
          <w:t>https://doi.org/10.3389/feduc.2020.00052</w:t>
        </w:r>
      </w:hyperlink>
      <w:r>
        <w:t xml:space="preserve"> </w:t>
      </w:r>
    </w:p>
    <w:p w14:paraId="15206460" w14:textId="2A35354E" w:rsidR="007A64D0" w:rsidRDefault="007A64D0" w:rsidP="007A64D0">
      <w:pPr>
        <w:pStyle w:val="Reference"/>
      </w:pPr>
      <w:r>
        <w:t xml:space="preserve">Cahill, H., Lusher, D., Farrelly, A., Calleja, N., Wang, P., &amp; Hassani, A. (2023). </w:t>
      </w:r>
      <w:r>
        <w:rPr>
          <w:rStyle w:val="Italic"/>
        </w:rPr>
        <w:t>A social network analysis and implementation study of</w:t>
      </w:r>
      <w:r w:rsidR="00143A81">
        <w:t> </w:t>
      </w:r>
      <w:r>
        <w:rPr>
          <w:rStyle w:val="Italic"/>
        </w:rPr>
        <w:t>an</w:t>
      </w:r>
      <w:r w:rsidR="00143A81">
        <w:rPr>
          <w:rStyle w:val="Italic"/>
        </w:rPr>
        <w:t> </w:t>
      </w:r>
      <w:r>
        <w:rPr>
          <w:rStyle w:val="Italic"/>
        </w:rPr>
        <w:t xml:space="preserve"> intervention designed to advance social and emotional learning and respectful relationships in secondary schools</w:t>
      </w:r>
      <w:r>
        <w:t xml:space="preserve"> (Research report, 07/2023). ANROWS. </w:t>
      </w:r>
      <w:hyperlink r:id="rId102" w:history="1">
        <w:r>
          <w:rPr>
            <w:rStyle w:val="Hyperlink"/>
          </w:rPr>
          <w:t>https://www.anrows.org.au/publication/respectful-relationships-research-report/</w:t>
        </w:r>
      </w:hyperlink>
    </w:p>
    <w:p w14:paraId="16B77B10" w14:textId="77777777" w:rsidR="007A64D0" w:rsidRDefault="007A64D0" w:rsidP="007A64D0">
      <w:pPr>
        <w:pStyle w:val="Reference"/>
      </w:pPr>
      <w:r>
        <w:t xml:space="preserve">Callander, D., Wiggins, J., Rosenberg, S., Cornelisse, V. J., Duck-Chong, E., Holt, M., Pony, M., Vlahakis, E., MacGibbon, J., &amp; Cook, T. (2019). </w:t>
      </w:r>
      <w:r>
        <w:rPr>
          <w:rStyle w:val="Italic"/>
        </w:rPr>
        <w:t>The 2018 Australian Trans and Gender Diverse Sexual Health Survey: Report of findings</w:t>
      </w:r>
      <w:r>
        <w:t xml:space="preserve">. The Kirby Institute, UNSW Sydney. </w:t>
      </w:r>
      <w:hyperlink r:id="rId103" w:history="1">
        <w:r>
          <w:rPr>
            <w:rStyle w:val="Hyperlink"/>
          </w:rPr>
          <w:t>https://www.kirby.unsw.edu.au/research/reports/2018-australian-trans-and-gender-diverse-sexual-health-survey-report-findings</w:t>
        </w:r>
      </w:hyperlink>
    </w:p>
    <w:p w14:paraId="17F8D388" w14:textId="77777777" w:rsidR="007A64D0" w:rsidRDefault="007A64D0" w:rsidP="007A64D0">
      <w:pPr>
        <w:pStyle w:val="Reference"/>
      </w:pPr>
      <w:r>
        <w:rPr>
          <w:lang w:val="it-IT"/>
        </w:rPr>
        <w:t xml:space="preserve">Calton, J. M., Cattaneo, L. B., &amp; Gebhard, K. T. (2015). </w:t>
      </w:r>
      <w:r>
        <w:t xml:space="preserve">Barriers to help seeking for lesbian, gay, bisexual, transgender, and queer survivors of intimate partner violence. </w:t>
      </w:r>
      <w:r>
        <w:rPr>
          <w:rStyle w:val="Italic"/>
        </w:rPr>
        <w:t>Trauma, Violence, &amp; Abuse, 17</w:t>
      </w:r>
      <w:r>
        <w:t xml:space="preserve">(5). </w:t>
      </w:r>
      <w:hyperlink r:id="rId104" w:history="1">
        <w:r>
          <w:rPr>
            <w:rStyle w:val="Hyperlink"/>
          </w:rPr>
          <w:t>https://doi.org/10.1177/1524838015585318</w:t>
        </w:r>
      </w:hyperlink>
      <w:r>
        <w:t xml:space="preserve"> </w:t>
      </w:r>
    </w:p>
    <w:p w14:paraId="3FD7BD28" w14:textId="0A8FFAFE" w:rsidR="007A64D0" w:rsidRDefault="007A64D0" w:rsidP="007A64D0">
      <w:pPr>
        <w:pStyle w:val="Reference"/>
      </w:pPr>
      <w:r>
        <w:t xml:space="preserve">Campbell, E., Ellard, R., Hew, E., Simpson, M., McCann, B., &amp; Meyer, S. (2023). </w:t>
      </w:r>
      <w:r>
        <w:rPr>
          <w:rStyle w:val="Italic"/>
        </w:rPr>
        <w:t>WRAP around families experiencing AVITH: Towards a</w:t>
      </w:r>
      <w:r w:rsidR="00143A81">
        <w:rPr>
          <w:rStyle w:val="Italic"/>
        </w:rPr>
        <w:t> </w:t>
      </w:r>
      <w:r>
        <w:rPr>
          <w:rStyle w:val="Italic"/>
        </w:rPr>
        <w:t>collaborative service response</w:t>
      </w:r>
      <w:r>
        <w:t xml:space="preserve"> (Research report, 04/2023). ANROWS. </w:t>
      </w:r>
      <w:hyperlink r:id="rId105" w:history="1">
        <w:r>
          <w:rPr>
            <w:rStyle w:val="Hyperlink"/>
          </w:rPr>
          <w:t>https://www.anrows.org.au/publication/wrap-around-families-experiencing-avith-towards-a-collaborative-service-response/</w:t>
        </w:r>
      </w:hyperlink>
    </w:p>
    <w:p w14:paraId="52807C93" w14:textId="77777777" w:rsidR="007A64D0" w:rsidRDefault="007A64D0" w:rsidP="007A64D0">
      <w:pPr>
        <w:pStyle w:val="Reference"/>
      </w:pPr>
      <w:r>
        <w:t xml:space="preserve">Campbell, E., Richter, J., Howard, J., &amp; Cockburn, H. (2020). </w:t>
      </w:r>
      <w:r>
        <w:rPr>
          <w:rStyle w:val="Italic"/>
        </w:rPr>
        <w:t>The PIPA project: Positive interventions for perpetrators of adolescent violence in the home (AVITH)</w:t>
      </w:r>
      <w:r>
        <w:t xml:space="preserve"> (Research report 04/2020). ANROWS. </w:t>
      </w:r>
      <w:hyperlink r:id="rId106" w:history="1">
        <w:r>
          <w:rPr>
            <w:rStyle w:val="Hyperlink"/>
          </w:rPr>
          <w:t>https://www.anrows.org.au/publication/the-pipa-project-positive-interventions-for-perpetrators-of-adolescent-violence-in-the-home-avith/</w:t>
        </w:r>
      </w:hyperlink>
    </w:p>
    <w:p w14:paraId="2637F376" w14:textId="77777777" w:rsidR="007A64D0" w:rsidRDefault="007A64D0" w:rsidP="007A64D0">
      <w:pPr>
        <w:pStyle w:val="Reference"/>
      </w:pPr>
      <w:r>
        <w:t xml:space="preserve">Campbell, H. (2019). Stalking and abuse in the digital age: What you can do to protect your clients. </w:t>
      </w:r>
      <w:r>
        <w:rPr>
          <w:rStyle w:val="Italic"/>
        </w:rPr>
        <w:t xml:space="preserve">Law Society of NSW Journal </w:t>
      </w:r>
      <w:r>
        <w:t xml:space="preserve">(52), 77–79. </w:t>
      </w:r>
      <w:hyperlink r:id="rId107" w:history="1">
        <w:r>
          <w:rPr>
            <w:rStyle w:val="Hyperlink"/>
          </w:rPr>
          <w:t>https://www.wlsnsw.org.au/wp-content/uploads/Campbell-H.DV-and-tech.-PROOFv2.-LSJ-Feb-2019-copy.pdf</w:t>
        </w:r>
      </w:hyperlink>
      <w:r>
        <w:t xml:space="preserve"> </w:t>
      </w:r>
    </w:p>
    <w:p w14:paraId="4B83CA76" w14:textId="77777777" w:rsidR="007A64D0" w:rsidRDefault="007A64D0" w:rsidP="007A64D0">
      <w:pPr>
        <w:pStyle w:val="Reference"/>
      </w:pPr>
      <w:r>
        <w:t xml:space="preserve">Campbell, M., Hand, K., Shaw, T., Runions, K., Burns, S., Lester, L., &amp; Cross, D. (2020). Adolescent proactive bystanding versus passive bystanding responses to school bullying: The role of peer and moral predictors. </w:t>
      </w:r>
      <w:r>
        <w:rPr>
          <w:rStyle w:val="Italic"/>
        </w:rPr>
        <w:t>International Journal of Bullying Prevention</w:t>
      </w:r>
      <w:r>
        <w:t xml:space="preserve">, 1–10. </w:t>
      </w:r>
      <w:hyperlink r:id="rId108" w:history="1">
        <w:r>
          <w:rPr>
            <w:rStyle w:val="Hyperlink"/>
          </w:rPr>
          <w:t>https://doi.org/10.1007/s42380-020-00075-2</w:t>
        </w:r>
      </w:hyperlink>
      <w:r>
        <w:t xml:space="preserve"> </w:t>
      </w:r>
    </w:p>
    <w:p w14:paraId="19FAED7B" w14:textId="77777777" w:rsidR="007A64D0" w:rsidRDefault="007A64D0" w:rsidP="007A64D0">
      <w:pPr>
        <w:pStyle w:val="Reference"/>
        <w:rPr>
          <w:rStyle w:val="Hyperlink"/>
        </w:rPr>
      </w:pPr>
      <w:r>
        <w:lastRenderedPageBreak/>
        <w:t xml:space="preserve">Campo, M. (2015). </w:t>
      </w:r>
      <w:r>
        <w:rPr>
          <w:rStyle w:val="Italic"/>
        </w:rPr>
        <w:t>Children’s exposure to domestic and family violence: Key issues and responses</w:t>
      </w:r>
      <w:r>
        <w:t xml:space="preserve">. Australian Institute of Family Studies. </w:t>
      </w:r>
      <w:hyperlink r:id="rId109" w:history="1">
        <w:r>
          <w:rPr>
            <w:rStyle w:val="Hyperlink"/>
          </w:rPr>
          <w:t>https://aifs.gov.au/resources/policy-and-practice-papers/childrens-exposure-domestic-and-family-violence</w:t>
        </w:r>
      </w:hyperlink>
    </w:p>
    <w:p w14:paraId="4A754EA4" w14:textId="285E2027" w:rsidR="007A64D0" w:rsidRDefault="007A64D0" w:rsidP="00143A81">
      <w:pPr>
        <w:pStyle w:val="Reference"/>
      </w:pPr>
      <w:r>
        <w:t xml:space="preserve">Cano-Gonzalez, I., Charak, R., Gilbar, O., Viñas-Racionero, R., &amp; Strait, M. K. (2020). Witnessing Parental Violence and Cyber IPV Perpetration in Hispanic Emerging Adults: The Mediating Role of Attitudes Toward IPV. </w:t>
      </w:r>
      <w:r>
        <w:rPr>
          <w:rStyle w:val="Emphasis"/>
        </w:rPr>
        <w:t>Journal of Interpersonal Violence</w:t>
      </w:r>
      <w:r>
        <w:t xml:space="preserve">, </w:t>
      </w:r>
      <w:r>
        <w:rPr>
          <w:rStyle w:val="Italic"/>
        </w:rPr>
        <w:t>37</w:t>
      </w:r>
      <w:r>
        <w:t>(9</w:t>
      </w:r>
      <w:r w:rsidR="00143A81">
        <w:noBreakHyphen/>
      </w:r>
      <w:r>
        <w:t xml:space="preserve">10), NP8115–NP8137. </w:t>
      </w:r>
      <w:hyperlink r:id="rId110" w:history="1">
        <w:r>
          <w:rPr>
            <w:rStyle w:val="Hyperlink"/>
          </w:rPr>
          <w:t>https://doi.org/10.1177/0886260520975834</w:t>
        </w:r>
      </w:hyperlink>
      <w:r>
        <w:t xml:space="preserve"> </w:t>
      </w:r>
    </w:p>
    <w:p w14:paraId="1156C3F2" w14:textId="251AD68A" w:rsidR="007A64D0" w:rsidRDefault="007A64D0" w:rsidP="007A64D0">
      <w:pPr>
        <w:pStyle w:val="Reference"/>
      </w:pPr>
      <w:r>
        <w:t xml:space="preserve">Carian, E. K. (2022). The Inversive Sexism Scale: Endorsement of the belief that women are privileged. In E. K. Carian, A. DiBranco, &amp; C. Ebin (Eds.), </w:t>
      </w:r>
      <w:r>
        <w:rPr>
          <w:rStyle w:val="Italic"/>
        </w:rPr>
        <w:t>Male supremacism in the United States: From patriarchal traditionalism to misogynist incels and the alt-right</w:t>
      </w:r>
      <w:r>
        <w:t xml:space="preserve"> (pp.</w:t>
      </w:r>
      <w:r w:rsidR="00143A81">
        <w:t> </w:t>
      </w:r>
      <w:r>
        <w:t xml:space="preserve">21–47). Routledge. </w:t>
      </w:r>
      <w:hyperlink r:id="rId111" w:history="1">
        <w:r>
          <w:rPr>
            <w:rStyle w:val="Hyperlink"/>
          </w:rPr>
          <w:t>https://doi.org/10.4324/9781003164722-3</w:t>
        </w:r>
      </w:hyperlink>
      <w:r>
        <w:t xml:space="preserve"> </w:t>
      </w:r>
    </w:p>
    <w:p w14:paraId="48A7D0A3" w14:textId="0B943D7A" w:rsidR="007A64D0" w:rsidRDefault="007A64D0" w:rsidP="007A64D0">
      <w:pPr>
        <w:pStyle w:val="Reference"/>
      </w:pPr>
      <w:r>
        <w:t xml:space="preserve">Carlisle, E., Coumarelos, C., Minter, K., &amp; Lohmeyer, B. A. (2022). </w:t>
      </w:r>
      <w:r>
        <w:rPr>
          <w:rStyle w:val="Italic"/>
        </w:rPr>
        <w:t>“It depends on what the definition of domestic violence is”: How</w:t>
      </w:r>
      <w:r w:rsidR="00143A81">
        <w:rPr>
          <w:rStyle w:val="Italic"/>
        </w:rPr>
        <w:t> </w:t>
      </w:r>
      <w:r>
        <w:rPr>
          <w:rStyle w:val="Italic"/>
        </w:rPr>
        <w:t>young Australians conceptualise domestic violence and abuse</w:t>
      </w:r>
      <w:r>
        <w:t xml:space="preserve">. ANROWS. </w:t>
      </w:r>
      <w:hyperlink r:id="rId112" w:history="1">
        <w:r>
          <w:rPr>
            <w:rStyle w:val="Hyperlink"/>
          </w:rPr>
          <w:t>https://www.anrows.org.au/publication/it-depends-on-what-the-definition-of-domestic-violence-is-how-young-people-conceptualise-domestic-violence-and-abuse/</w:t>
        </w:r>
      </w:hyperlink>
    </w:p>
    <w:p w14:paraId="68FBE01E" w14:textId="3B09B002" w:rsidR="007A64D0" w:rsidRDefault="007A64D0" w:rsidP="007A64D0">
      <w:pPr>
        <w:pStyle w:val="Reference"/>
        <w:rPr>
          <w:rStyle w:val="Hyperlink"/>
        </w:rPr>
      </w:pPr>
      <w:r>
        <w:t>Carlson, J., Voith, L., Brown, J. C., &amp; Holmes, M. (2019). Viewing children’s exposure to intimate partner violence through a</w:t>
      </w:r>
      <w:r w:rsidR="00143A81">
        <w:t> </w:t>
      </w:r>
      <w:r>
        <w:t xml:space="preserve">developmental, social-ecological, and survivor lens: The current state of the field, challenges, and future directions. </w:t>
      </w:r>
      <w:r>
        <w:rPr>
          <w:rStyle w:val="Italic"/>
        </w:rPr>
        <w:t>Violence</w:t>
      </w:r>
      <w:r w:rsidR="00143A81">
        <w:rPr>
          <w:rStyle w:val="Italic"/>
        </w:rPr>
        <w:t> </w:t>
      </w:r>
      <w:r>
        <w:rPr>
          <w:rStyle w:val="Italic"/>
        </w:rPr>
        <w:t>Against Women</w:t>
      </w:r>
      <w:r>
        <w:t>,</w:t>
      </w:r>
      <w:r>
        <w:rPr>
          <w:rStyle w:val="Italic"/>
        </w:rPr>
        <w:t xml:space="preserve"> 25</w:t>
      </w:r>
      <w:r>
        <w:t xml:space="preserve">(1), 6–28. </w:t>
      </w:r>
      <w:r>
        <w:rPr>
          <w:rStyle w:val="Hyperlink"/>
        </w:rPr>
        <w:fldChar w:fldCharType="begin"/>
      </w:r>
      <w:r>
        <w:rPr>
          <w:rStyle w:val="Hyperlink"/>
        </w:rPr>
        <w:instrText>HYPERLINK  "https://doi.org/10.1177/1077801218816187</w:instrText>
      </w:r>
    </w:p>
    <w:p w14:paraId="21D1D61D" w14:textId="77777777" w:rsidR="007A64D0" w:rsidRDefault="007A64D0" w:rsidP="007A64D0">
      <w:pPr>
        <w:pStyle w:val="Reference"/>
      </w:pPr>
      <w:r>
        <w:rPr>
          <w:rStyle w:val="Hyperlink"/>
        </w:rPr>
        <w:instrText>"</w:instrText>
      </w:r>
      <w:r>
        <w:rPr>
          <w:rStyle w:val="Hyperlink"/>
        </w:rPr>
      </w:r>
      <w:r>
        <w:rPr>
          <w:rStyle w:val="Hyperlink"/>
        </w:rPr>
        <w:fldChar w:fldCharType="separate"/>
      </w:r>
      <w:r>
        <w:rPr>
          <w:rStyle w:val="Hyperlink"/>
        </w:rPr>
        <w:t>https://doi.org/10.1177/1077801218816187</w:t>
      </w:r>
      <w:r>
        <w:rPr>
          <w:rStyle w:val="Hyperlink"/>
        </w:rPr>
        <w:fldChar w:fldCharType="end"/>
      </w:r>
    </w:p>
    <w:p w14:paraId="0A0FC9A4" w14:textId="699DAC4C" w:rsidR="007A64D0" w:rsidRDefault="007A64D0" w:rsidP="007A64D0">
      <w:pPr>
        <w:pStyle w:val="Reference"/>
      </w:pPr>
      <w:r>
        <w:t xml:space="preserve">Carman, M., Fairchild, J., Parsons, M., Farrugia, C., Power, J., &amp; Bourne, A. (2020). </w:t>
      </w:r>
      <w:r>
        <w:rPr>
          <w:rStyle w:val="Italic"/>
        </w:rPr>
        <w:t>Pride in prevention: A guide to primary prevention of</w:t>
      </w:r>
      <w:r w:rsidR="00143A81">
        <w:rPr>
          <w:rStyle w:val="Italic"/>
        </w:rPr>
        <w:t> </w:t>
      </w:r>
      <w:r>
        <w:rPr>
          <w:rStyle w:val="Italic"/>
        </w:rPr>
        <w:t>family violence experienced by LGBTIQ communities.</w:t>
      </w:r>
      <w:r>
        <w:t xml:space="preserve"> </w:t>
      </w:r>
      <w:hyperlink r:id="rId113" w:history="1">
        <w:r w:rsidR="00143A81" w:rsidRPr="00914FF5">
          <w:rPr>
            <w:rStyle w:val="Hyperlink"/>
          </w:rPr>
          <w:t>https://www.latrobe.edu.au/__data/assets/pdf_file/0003/1141833/Pride-in-Prevention-Evidence-Guide.pdf</w:t>
        </w:r>
      </w:hyperlink>
    </w:p>
    <w:p w14:paraId="1AB74769" w14:textId="77777777" w:rsidR="007A64D0" w:rsidRDefault="007A64D0" w:rsidP="007A64D0">
      <w:pPr>
        <w:pStyle w:val="Reference"/>
      </w:pPr>
      <w:r>
        <w:t xml:space="preserve">Carman, M., Rosenberg, S., Bourne, A., &amp; Parsons, M. (2021). </w:t>
      </w:r>
      <w:r>
        <w:rPr>
          <w:rStyle w:val="Italic"/>
        </w:rPr>
        <w:t>Research matters: What does LGBTIQ mean?</w:t>
      </w:r>
      <w:r>
        <w:t xml:space="preserve"> </w:t>
      </w:r>
      <w:r>
        <w:rPr>
          <w:rStyle w:val="Italic"/>
        </w:rPr>
        <w:t>A fact sheet by Rainbow Health Victoria</w:t>
      </w:r>
      <w:r>
        <w:t xml:space="preserve">, Issue. Rainbow Health Victoria. </w:t>
      </w:r>
      <w:hyperlink r:id="rId114" w:history="1">
        <w:r>
          <w:rPr>
            <w:rStyle w:val="Hyperlink"/>
          </w:rPr>
          <w:t>https://rainbowhealthaustralia.org.au/research-resources</w:t>
        </w:r>
      </w:hyperlink>
    </w:p>
    <w:p w14:paraId="043B4EC8" w14:textId="77777777" w:rsidR="007A64D0" w:rsidRDefault="007A64D0" w:rsidP="007A64D0">
      <w:pPr>
        <w:pStyle w:val="Reference"/>
      </w:pPr>
      <w:r>
        <w:t xml:space="preserve">Centers for Disease Control and Prevention. (2022). </w:t>
      </w:r>
      <w:r>
        <w:rPr>
          <w:rStyle w:val="Italic"/>
        </w:rPr>
        <w:t>The social-ecological model: A framework for Prevention</w:t>
      </w:r>
      <w:r>
        <w:t xml:space="preserve">. </w:t>
      </w:r>
      <w:hyperlink r:id="rId115" w:history="1">
        <w:r>
          <w:rPr>
            <w:rStyle w:val="Hyperlink"/>
          </w:rPr>
          <w:t>https://www.cdc.gov/violenceprevention/about/social-ecologicalmodel.html</w:t>
        </w:r>
      </w:hyperlink>
    </w:p>
    <w:p w14:paraId="7249F4A4" w14:textId="77777777" w:rsidR="007A64D0" w:rsidRDefault="007A64D0" w:rsidP="007A64D0">
      <w:pPr>
        <w:pStyle w:val="Reference"/>
      </w:pPr>
      <w:r>
        <w:t xml:space="preserve">Chandra-Mouli, V., Plesons, M., Adebayo, E., Amin, A., Avni, M., Kraft, J. M., Lane, C., Brundage, C. L., Kreinin, T., &amp; Bosworth, E. (2017). Implications of the global early adolescent study’s formative research findings for action and for research. </w:t>
      </w:r>
      <w:r>
        <w:rPr>
          <w:rStyle w:val="Italic"/>
        </w:rPr>
        <w:t>Journal of Adolescent Health</w:t>
      </w:r>
      <w:r>
        <w:t>,</w:t>
      </w:r>
      <w:r>
        <w:rPr>
          <w:rStyle w:val="Italic"/>
        </w:rPr>
        <w:t xml:space="preserve"> 61</w:t>
      </w:r>
      <w:r>
        <w:t xml:space="preserve">(4), S5–S9. </w:t>
      </w:r>
      <w:hyperlink r:id="rId116" w:history="1">
        <w:r>
          <w:rPr>
            <w:rStyle w:val="Hyperlink"/>
          </w:rPr>
          <w:t>https://doi.org/10.1016/j.jadohealth.2017.07.012</w:t>
        </w:r>
      </w:hyperlink>
      <w:r>
        <w:t xml:space="preserve"> </w:t>
      </w:r>
    </w:p>
    <w:p w14:paraId="1A3B3B4E" w14:textId="77777777" w:rsidR="007A64D0" w:rsidRDefault="007A64D0" w:rsidP="007A64D0">
      <w:pPr>
        <w:pStyle w:val="Reference"/>
      </w:pPr>
      <w:r>
        <w:t>Chawla, T. (2023, July 17). People tell me they would never hit their partner. That’s not enough.</w:t>
      </w:r>
      <w:r>
        <w:rPr>
          <w:rStyle w:val="Italic"/>
        </w:rPr>
        <w:t xml:space="preserve"> The Sydney Morning Herald</w:t>
      </w:r>
      <w:r>
        <w:t xml:space="preserve">. </w:t>
      </w:r>
      <w:hyperlink r:id="rId117" w:history="1">
        <w:r>
          <w:rPr>
            <w:rStyle w:val="Hyperlink"/>
          </w:rPr>
          <w:t>https://www.smh.com.au/national/people-tell-me-they-would-never-hit-their-partner-that-s-not-enough-20230707-p5dmnf.html</w:t>
        </w:r>
      </w:hyperlink>
    </w:p>
    <w:p w14:paraId="6D5EDF66" w14:textId="77777777" w:rsidR="007A64D0" w:rsidRDefault="007A64D0" w:rsidP="007A64D0">
      <w:pPr>
        <w:pStyle w:val="Reference"/>
      </w:pPr>
      <w:r>
        <w:t xml:space="preserve">Child Family Community Australia. (2020). </w:t>
      </w:r>
      <w:r>
        <w:rPr>
          <w:rStyle w:val="Italic"/>
        </w:rPr>
        <w:t>Mandatory reporting of child abuse and neglect</w:t>
      </w:r>
      <w:r>
        <w:t xml:space="preserve">. Australian Institute of Family Studies. </w:t>
      </w:r>
      <w:hyperlink r:id="rId118" w:history="1">
        <w:r>
          <w:rPr>
            <w:rStyle w:val="Hyperlink"/>
          </w:rPr>
          <w:t>https://aifs.gov.au/sites/default/files/publication-documents/2006_mandatory_reporting_of_child_abuse_and_neglect_0.pdf</w:t>
        </w:r>
      </w:hyperlink>
    </w:p>
    <w:p w14:paraId="6BAD3181" w14:textId="2CC91044" w:rsidR="007A64D0" w:rsidRDefault="007A64D0" w:rsidP="007A64D0">
      <w:pPr>
        <w:pStyle w:val="Reference"/>
      </w:pPr>
      <w:r>
        <w:t xml:space="preserve">Christie, N. (1986). The ideal victim. In E. A. Fattah (Ed.), </w:t>
      </w:r>
      <w:r>
        <w:rPr>
          <w:rStyle w:val="Italic"/>
        </w:rPr>
        <w:t>From crime policy to victim policy: Reorienting the justice system</w:t>
      </w:r>
      <w:r>
        <w:t xml:space="preserve"> (pp. 17</w:t>
      </w:r>
      <w:r w:rsidR="00143A81">
        <w:noBreakHyphen/>
      </w:r>
      <w:r>
        <w:t>30).</w:t>
      </w:r>
      <w:r w:rsidR="00143A81">
        <w:t> </w:t>
      </w:r>
      <w:r>
        <w:t xml:space="preserve">Springer. </w:t>
      </w:r>
    </w:p>
    <w:p w14:paraId="6E511FF7" w14:textId="77777777" w:rsidR="007A64D0" w:rsidRDefault="007A64D0" w:rsidP="007A64D0">
      <w:pPr>
        <w:pStyle w:val="Reference"/>
      </w:pPr>
      <w:r>
        <w:t xml:space="preserve">Ciranka, S., &amp; van den Bos, W. (2021). Adolescent risk-taking in the context of exploration and social influence. </w:t>
      </w:r>
      <w:r>
        <w:rPr>
          <w:rStyle w:val="Italic"/>
        </w:rPr>
        <w:t>Developmental Review</w:t>
      </w:r>
      <w:r>
        <w:t>,</w:t>
      </w:r>
      <w:r>
        <w:rPr>
          <w:rStyle w:val="Italic"/>
        </w:rPr>
        <w:t xml:space="preserve"> 61</w:t>
      </w:r>
      <w:r>
        <w:t xml:space="preserve">, 1–14. </w:t>
      </w:r>
      <w:hyperlink r:id="rId119" w:history="1">
        <w:r>
          <w:rPr>
            <w:rStyle w:val="Hyperlink"/>
          </w:rPr>
          <w:t>https://doi.org/10.1016/j.dr.2021.100979</w:t>
        </w:r>
      </w:hyperlink>
      <w:r>
        <w:t xml:space="preserve"> </w:t>
      </w:r>
    </w:p>
    <w:p w14:paraId="39443B8B" w14:textId="67B86307" w:rsidR="007A64D0" w:rsidRDefault="007A64D0" w:rsidP="007A64D0">
      <w:pPr>
        <w:pStyle w:val="Reference"/>
      </w:pPr>
      <w:r>
        <w:t>Clark, T., Dodson, S., Guivarra, N., &amp; Widders Hunt, Y. (2021). “We’re not treated equally as Indigenous people or as women”: The</w:t>
      </w:r>
      <w:r w:rsidR="00143A81">
        <w:t> </w:t>
      </w:r>
      <w:r>
        <w:t xml:space="preserve">perspectives and experiences of Indigenous women in Australian public relations. </w:t>
      </w:r>
      <w:r>
        <w:rPr>
          <w:rStyle w:val="Emphasis"/>
        </w:rPr>
        <w:t>Public Relations Inquiry</w:t>
      </w:r>
      <w:r>
        <w:t xml:space="preserve">, </w:t>
      </w:r>
      <w:r>
        <w:rPr>
          <w:rStyle w:val="Emphasis"/>
        </w:rPr>
        <w:t>10</w:t>
      </w:r>
      <w:r>
        <w:t xml:space="preserve">(2), 163–183. </w:t>
      </w:r>
      <w:hyperlink r:id="rId120" w:history="1">
        <w:r>
          <w:rPr>
            <w:rStyle w:val="Hyperlink"/>
          </w:rPr>
          <w:t>https://doi.org/10.1177/2046147x211005358</w:t>
        </w:r>
      </w:hyperlink>
      <w:r>
        <w:t xml:space="preserve"> </w:t>
      </w:r>
    </w:p>
    <w:p w14:paraId="09AD243B" w14:textId="77777777" w:rsidR="007A64D0" w:rsidRDefault="007A64D0" w:rsidP="007A64D0">
      <w:pPr>
        <w:pStyle w:val="Reference"/>
      </w:pPr>
      <w:r>
        <w:t xml:space="preserve">Collins, M. (2012). Women most at risk of violence from their male partner. </w:t>
      </w:r>
      <w:r>
        <w:rPr>
          <w:rStyle w:val="Emphasis"/>
        </w:rPr>
        <w:t>Kai Tiaki: Nursing New Zealand, 18</w:t>
      </w:r>
      <w:r>
        <w:t>(7), 12–13.</w:t>
      </w:r>
    </w:p>
    <w:p w14:paraId="5253B204" w14:textId="77777777" w:rsidR="007A64D0" w:rsidRDefault="007A64D0" w:rsidP="007A64D0">
      <w:pPr>
        <w:pStyle w:val="Reference"/>
      </w:pPr>
      <w:r>
        <w:t xml:space="preserve">Cooper, M. L. (2002). Alcohol use and risky sexual behavior among college students and youth: Evaluating the evidence. </w:t>
      </w:r>
      <w:r>
        <w:rPr>
          <w:rStyle w:val="Italic"/>
        </w:rPr>
        <w:t xml:space="preserve">Journal of Studies on Alcohol, supplement </w:t>
      </w:r>
      <w:r>
        <w:t xml:space="preserve">(14), 101–117. </w:t>
      </w:r>
      <w:hyperlink r:id="rId121" w:history="1">
        <w:r>
          <w:rPr>
            <w:rStyle w:val="Hyperlink"/>
          </w:rPr>
          <w:t>https://doi.org/10.15288/jsas.2002.s14.101</w:t>
        </w:r>
      </w:hyperlink>
      <w:r>
        <w:t xml:space="preserve"> </w:t>
      </w:r>
    </w:p>
    <w:p w14:paraId="6FE12156" w14:textId="77777777" w:rsidR="007A64D0" w:rsidRDefault="007A64D0" w:rsidP="007A64D0">
      <w:pPr>
        <w:pStyle w:val="Reference"/>
      </w:pPr>
      <w:r>
        <w:t xml:space="preserve">Cooper, R., Hill, E., Seetahul, S., Foley, M., Harris, M., Hock, C., &amp; Tapsell, A. (forthcoming). </w:t>
      </w:r>
      <w:r>
        <w:rPr>
          <w:rStyle w:val="Emphasis"/>
        </w:rPr>
        <w:t>Understanding and addressing workplace sexual harassment in the Australian retail industry</w:t>
      </w:r>
      <w:r>
        <w:t>. ANROWS.</w:t>
      </w:r>
    </w:p>
    <w:p w14:paraId="2AC8D0F0" w14:textId="77777777" w:rsidR="007A64D0" w:rsidRDefault="007A64D0" w:rsidP="007A64D0">
      <w:pPr>
        <w:pStyle w:val="Reference"/>
      </w:pPr>
      <w:r>
        <w:t xml:space="preserve">Coore Desai, C., Reece, J.-A., &amp; Shakespeare-Pellington, S. (2017). The prevention of violence in childhood through parenting programmes: A global review. </w:t>
      </w:r>
      <w:r>
        <w:rPr>
          <w:rStyle w:val="Italic"/>
        </w:rPr>
        <w:t>Psychology, Health &amp; Medicine</w:t>
      </w:r>
      <w:r>
        <w:t>,</w:t>
      </w:r>
      <w:r>
        <w:rPr>
          <w:rStyle w:val="Italic"/>
        </w:rPr>
        <w:t xml:space="preserve"> 22</w:t>
      </w:r>
      <w:r>
        <w:t xml:space="preserve">(sup1), 166–186. </w:t>
      </w:r>
      <w:hyperlink r:id="rId122" w:history="1">
        <w:r>
          <w:rPr>
            <w:rStyle w:val="Hyperlink"/>
          </w:rPr>
          <w:t>https://doi.org/10.1080/13548506.2016.1271952</w:t>
        </w:r>
      </w:hyperlink>
    </w:p>
    <w:p w14:paraId="750441DA" w14:textId="77777777" w:rsidR="007A64D0" w:rsidRDefault="007A64D0" w:rsidP="007A64D0">
      <w:pPr>
        <w:pStyle w:val="Reference"/>
        <w:rPr>
          <w:rStyle w:val="Hyperlink"/>
        </w:rPr>
      </w:pPr>
      <w:r>
        <w:t xml:space="preserve">Copp, J. E., Giordano, P. C., Manning, W. D., &amp; Longmore, M. A. (2019). Neighborhood norms, disadvantage, and intimate partner violence perpetration. </w:t>
      </w:r>
      <w:r>
        <w:rPr>
          <w:rStyle w:val="Italic"/>
        </w:rPr>
        <w:t>Sociological Forum, 34</w:t>
      </w:r>
      <w:r>
        <w:t xml:space="preserve">(3), 594–615. </w:t>
      </w:r>
      <w:hyperlink r:id="rId123" w:history="1">
        <w:r>
          <w:rPr>
            <w:rStyle w:val="Hyperlink"/>
          </w:rPr>
          <w:t>https://doi.org/10.1111/socf.12516</w:t>
        </w:r>
      </w:hyperlink>
    </w:p>
    <w:p w14:paraId="3F5F5104" w14:textId="77777777" w:rsidR="007A64D0" w:rsidRDefault="007A64D0" w:rsidP="007A64D0">
      <w:pPr>
        <w:pStyle w:val="Reference"/>
        <w:rPr>
          <w:rStyle w:val="Hyperlink"/>
        </w:rPr>
      </w:pPr>
      <w:r>
        <w:t xml:space="preserve">Corboz, J., Flood, M., &amp; Dyson, S. (2016). Challenges of bystander intervention in male-dominated professional sport: Lessons from the Australian Football League. </w:t>
      </w:r>
      <w:r>
        <w:rPr>
          <w:rStyle w:val="Italic"/>
        </w:rPr>
        <w:t>Violence Against Women, 22</w:t>
      </w:r>
      <w:r>
        <w:t xml:space="preserve">(3), 324–343. </w:t>
      </w:r>
      <w:hyperlink r:id="rId124" w:history="1">
        <w:r>
          <w:rPr>
            <w:rStyle w:val="Hyperlink"/>
          </w:rPr>
          <w:t>https://doi.org/10.1177/1077801215602343</w:t>
        </w:r>
      </w:hyperlink>
    </w:p>
    <w:p w14:paraId="46B3D401" w14:textId="72F9C748" w:rsidR="007A64D0" w:rsidRDefault="007A64D0" w:rsidP="007A64D0">
      <w:pPr>
        <w:pStyle w:val="Reference"/>
      </w:pPr>
      <w:r>
        <w:t>Cortés-Treviño, K. L., Garduño-Alanis, A., &amp; Monroy, G. V. (2022). Association between dating violence and personality type in</w:t>
      </w:r>
      <w:r w:rsidR="00143A81">
        <w:t> </w:t>
      </w:r>
      <w:r>
        <w:t xml:space="preserve">Mexican university students. </w:t>
      </w:r>
      <w:r>
        <w:rPr>
          <w:rStyle w:val="Emphasis"/>
        </w:rPr>
        <w:t>Current Psychology</w:t>
      </w:r>
      <w:r>
        <w:t xml:space="preserve">, </w:t>
      </w:r>
      <w:r>
        <w:rPr>
          <w:rStyle w:val="Emphasis"/>
        </w:rPr>
        <w:t>41</w:t>
      </w:r>
      <w:r>
        <w:t xml:space="preserve">(9), 6597–6607. </w:t>
      </w:r>
      <w:hyperlink r:id="rId125" w:history="1">
        <w:r>
          <w:rPr>
            <w:rStyle w:val="Hyperlink"/>
          </w:rPr>
          <w:t>https://doi.org/10.1007/s12144-020-01159-4</w:t>
        </w:r>
      </w:hyperlink>
    </w:p>
    <w:p w14:paraId="7BD90420" w14:textId="77777777" w:rsidR="007A64D0" w:rsidRDefault="007A64D0" w:rsidP="007A64D0">
      <w:pPr>
        <w:pStyle w:val="Reference"/>
      </w:pPr>
      <w:r>
        <w:lastRenderedPageBreak/>
        <w:t xml:space="preserve">Coumarelos, C., Honey, N., Ward, A., Weeks, N., &amp; Minter, K. (2023). </w:t>
      </w:r>
      <w:r>
        <w:rPr>
          <w:rStyle w:val="Emphasis"/>
        </w:rPr>
        <w:t>Attitudes matter: The 2021 National Community Attitudes towards Violence against Women Survey (NCAS), Technical report</w:t>
      </w:r>
      <w:r>
        <w:t xml:space="preserve"> (ANROWS Insights, 02/2023). ANROWS. </w:t>
      </w:r>
      <w:hyperlink r:id="rId126" w:history="1">
        <w:r>
          <w:rPr>
            <w:rStyle w:val="Hyperlink"/>
          </w:rPr>
          <w:t>https://www.anrows.org.au/publication/attitudes-matter-the-2021-national-community-attitudes-towards-violence-against-women-survey-ncas-technical-report/</w:t>
        </w:r>
      </w:hyperlink>
    </w:p>
    <w:p w14:paraId="4F8030B1" w14:textId="77777777" w:rsidR="007A64D0" w:rsidRDefault="007A64D0" w:rsidP="007A64D0">
      <w:pPr>
        <w:pStyle w:val="Reference"/>
      </w:pPr>
      <w:r>
        <w:t xml:space="preserve">Coumarelos, C., Roberts, N., Weeks, N., Bernstein, S., &amp; Honey, N. (2023). </w:t>
      </w:r>
      <w:r>
        <w:rPr>
          <w:rStyle w:val="Italic"/>
        </w:rPr>
        <w:t>Attitudes matter: The 2021 National Community Attitudes towards Violence against Women Survey (NCAS), Findings for Australian states and territories</w:t>
      </w:r>
      <w:r>
        <w:t xml:space="preserve"> (Research report, 05/2023). ANROWS. </w:t>
      </w:r>
      <w:hyperlink r:id="rId127" w:history="1">
        <w:r>
          <w:rPr>
            <w:rStyle w:val="Hyperlink"/>
          </w:rPr>
          <w:t>https://www.anrows.org.au/publication/attitudes-matter-the-2021-national-community-attitudes-towards-violence-against-women-survey-ncas-findings-for-australian-states-and-territories/</w:t>
        </w:r>
      </w:hyperlink>
    </w:p>
    <w:p w14:paraId="03D8D3E4" w14:textId="77777777" w:rsidR="007A64D0" w:rsidRDefault="007A64D0" w:rsidP="007A64D0">
      <w:pPr>
        <w:pStyle w:val="Reference"/>
      </w:pPr>
      <w:r>
        <w:t>Coumarelos, C., Weeks, N., Bernstein, S., Roberts, N.,</w:t>
      </w:r>
      <w:r>
        <w:rPr>
          <w:sz w:val="18"/>
          <w:szCs w:val="18"/>
        </w:rPr>
        <w:t xml:space="preserve"> </w:t>
      </w:r>
      <w:r>
        <w:t xml:space="preserve">Honey, N., Minter, K., &amp; Carlisle, E. (2023a). </w:t>
      </w:r>
      <w:r>
        <w:rPr>
          <w:rStyle w:val="Italic"/>
        </w:rPr>
        <w:t>Attitudes matter: The 2021 National Community Attitudes towards Violence against Women Survey (NCAS), Findings for Australia</w:t>
      </w:r>
      <w:r>
        <w:t xml:space="preserve"> (Research report 02/2023). ANROWS. </w:t>
      </w:r>
      <w:hyperlink r:id="rId128" w:history="1">
        <w:r>
          <w:rPr>
            <w:rStyle w:val="Hyperlink"/>
          </w:rPr>
          <w:t>https://www.anrows.org.au/publication/attitudes-matter-the-2021-national-community-attitudes-towards-violence-against-women-survey-ncas-findings-for-australia/</w:t>
        </w:r>
      </w:hyperlink>
    </w:p>
    <w:p w14:paraId="30458049" w14:textId="77777777" w:rsidR="007A64D0" w:rsidRDefault="007A64D0" w:rsidP="007A64D0">
      <w:pPr>
        <w:pStyle w:val="Reference"/>
      </w:pPr>
      <w:r>
        <w:t xml:space="preserve">Coumarelos, C., Weeks, N., Bernstein, S., Roberts, N., Honey, N., Minter, K., &amp; Carlisle, E. (2023b). </w:t>
      </w:r>
      <w:r>
        <w:rPr>
          <w:rStyle w:val="Italic"/>
        </w:rPr>
        <w:t>Attitudes matter: The 2021 National Community Attitudes towards Violence against Women Survey (NCAS), Summary for Australia</w:t>
      </w:r>
      <w:r>
        <w:t xml:space="preserve"> (Research report, 03/2023). ANROWS. </w:t>
      </w:r>
      <w:hyperlink r:id="rId129" w:history="1">
        <w:r>
          <w:rPr>
            <w:rStyle w:val="Hyperlink"/>
          </w:rPr>
          <w:t>https://www.anrows.org.au/publication/attitudes-matter-the-2021-national-community-attitudes-towards-violence-against-women-survey-ncas-summary-for-australia/</w:t>
        </w:r>
      </w:hyperlink>
    </w:p>
    <w:p w14:paraId="75573BAB" w14:textId="77777777" w:rsidR="007A64D0" w:rsidRDefault="007A64D0" w:rsidP="007A64D0">
      <w:pPr>
        <w:pStyle w:val="Reference"/>
        <w:rPr>
          <w:sz w:val="18"/>
          <w:szCs w:val="18"/>
        </w:rPr>
      </w:pPr>
      <w:r>
        <w:t xml:space="preserve">Council of Australian Governments. (2010). </w:t>
      </w:r>
      <w:r>
        <w:rPr>
          <w:rStyle w:val="Italic"/>
        </w:rPr>
        <w:t xml:space="preserve">National Plan to Reduce Violence against Women and their Children 2010–2022. </w:t>
      </w:r>
      <w:r>
        <w:t xml:space="preserve">Commonwealth of Australia. </w:t>
      </w:r>
      <w:hyperlink r:id="rId130" w:history="1">
        <w:r>
          <w:rPr>
            <w:rStyle w:val="Hyperlink"/>
          </w:rPr>
          <w:t>https://www.dss.gov.au/women/programs-services/reducing-violence/the-national-plan-to-reduce-violence-against-women-and-their-children-2010-2022</w:t>
        </w:r>
      </w:hyperlink>
    </w:p>
    <w:p w14:paraId="2E991671" w14:textId="77777777" w:rsidR="007A64D0" w:rsidRDefault="007A64D0" w:rsidP="007A64D0">
      <w:pPr>
        <w:pStyle w:val="Reference"/>
      </w:pPr>
      <w:r>
        <w:t xml:space="preserve">Cox, P. (2015a). </w:t>
      </w:r>
      <w:r>
        <w:rPr>
          <w:rStyle w:val="Italic"/>
        </w:rPr>
        <w:t>Sexual assault and domestic violence in the context of co-occurrence and re-victimisation: State of knowledge paper</w:t>
      </w:r>
      <w:r>
        <w:t xml:space="preserve"> (Landscapes issue 13/2015). ANROWS. </w:t>
      </w:r>
      <w:hyperlink r:id="rId131" w:history="1">
        <w:r>
          <w:rPr>
            <w:rStyle w:val="Hyperlink"/>
          </w:rPr>
          <w:t>https://www.anrows.org.au/publication/sexual-assault-and-domestic-violence-in-the-context-of-co-occurrence-and-re-victimisation-state-of-knowledge-paper/</w:t>
        </w:r>
      </w:hyperlink>
    </w:p>
    <w:p w14:paraId="41FEC8B0" w14:textId="77777777" w:rsidR="007A64D0" w:rsidRDefault="007A64D0" w:rsidP="007A64D0">
      <w:pPr>
        <w:pStyle w:val="Reference"/>
      </w:pPr>
      <w:r>
        <w:t xml:space="preserve">Cox, P. (2015b). </w:t>
      </w:r>
      <w:r>
        <w:rPr>
          <w:rStyle w:val="Italic"/>
        </w:rPr>
        <w:t>Violence against women in Australia: Additional analysis of the Australian Bureau of Statistics’ Personal Safety Survey, 2012</w:t>
      </w:r>
      <w:r>
        <w:t xml:space="preserve"> (ANROWS Horizons: 01.01/2016 Rev. ed.). </w:t>
      </w:r>
      <w:hyperlink r:id="rId132" w:history="1">
        <w:r>
          <w:rPr>
            <w:rStyle w:val="Hyperlink"/>
          </w:rPr>
          <w:t>https://www.anrows.org.au/publication/violence-against-women-in-australia-additional-analysis-of-the-australian-bureau-of-statistics-personal-safety-survey-2012/</w:t>
        </w:r>
      </w:hyperlink>
    </w:p>
    <w:p w14:paraId="6665E765" w14:textId="77777777" w:rsidR="007A64D0" w:rsidRDefault="007A64D0" w:rsidP="007A64D0">
      <w:pPr>
        <w:pStyle w:val="Reference"/>
      </w:pPr>
      <w:r>
        <w:t xml:space="preserve">Crabbe, M., &amp; Flood, M. (2021). School-based education to address pornography’s influence on young people: A proposed practice framework. </w:t>
      </w:r>
      <w:r>
        <w:rPr>
          <w:rStyle w:val="Italic"/>
        </w:rPr>
        <w:t>American Journal of Sexuality Education</w:t>
      </w:r>
      <w:r>
        <w:t>,</w:t>
      </w:r>
      <w:r>
        <w:rPr>
          <w:rStyle w:val="Italic"/>
        </w:rPr>
        <w:t xml:space="preserve"> 16</w:t>
      </w:r>
      <w:r>
        <w:t xml:space="preserve">(1), 1–37. </w:t>
      </w:r>
      <w:hyperlink r:id="rId133" w:history="1">
        <w:r>
          <w:rPr>
            <w:rStyle w:val="Hyperlink"/>
          </w:rPr>
          <w:t>https://doi.org/10.1080/15546128.2020.1856744</w:t>
        </w:r>
      </w:hyperlink>
      <w:r>
        <w:t xml:space="preserve"> </w:t>
      </w:r>
    </w:p>
    <w:p w14:paraId="6E6AF743" w14:textId="77777777" w:rsidR="007A64D0" w:rsidRDefault="007A64D0" w:rsidP="007A64D0">
      <w:pPr>
        <w:pStyle w:val="Reference"/>
      </w:pPr>
      <w:r>
        <w:t xml:space="preserve">Crenshaw, K. (1991). Mapping the margins: Intersectionality, identity politics, and violence against women of color. </w:t>
      </w:r>
      <w:r>
        <w:rPr>
          <w:rStyle w:val="Italic"/>
        </w:rPr>
        <w:t>Standford Law Review</w:t>
      </w:r>
      <w:r>
        <w:t>,</w:t>
      </w:r>
      <w:r>
        <w:rPr>
          <w:rStyle w:val="Italic"/>
        </w:rPr>
        <w:t xml:space="preserve"> 43</w:t>
      </w:r>
      <w:r>
        <w:t xml:space="preserve">, 1241–1299. </w:t>
      </w:r>
      <w:hyperlink r:id="rId134" w:history="1">
        <w:r>
          <w:rPr>
            <w:rStyle w:val="Hyperlink"/>
          </w:rPr>
          <w:t>https://doi.org/10.2307/1229039</w:t>
        </w:r>
      </w:hyperlink>
      <w:r>
        <w:t xml:space="preserve"> </w:t>
      </w:r>
    </w:p>
    <w:p w14:paraId="189CC2EC" w14:textId="77777777" w:rsidR="007A64D0" w:rsidRDefault="007A64D0" w:rsidP="007A64D0">
      <w:pPr>
        <w:pStyle w:val="Reference"/>
      </w:pPr>
      <w:r>
        <w:t xml:space="preserve">Cripps, K. (2021). Media constructions of Indigenous women in sexual assault cases: Reflections from Australia and Canada. </w:t>
      </w:r>
      <w:r>
        <w:rPr>
          <w:rStyle w:val="Italic"/>
        </w:rPr>
        <w:t>Current Issues in Criminal Justice</w:t>
      </w:r>
      <w:r>
        <w:t>,</w:t>
      </w:r>
      <w:r>
        <w:rPr>
          <w:rStyle w:val="Italic"/>
        </w:rPr>
        <w:t xml:space="preserve"> 33</w:t>
      </w:r>
      <w:r>
        <w:t xml:space="preserve">(3), 1–22. </w:t>
      </w:r>
      <w:hyperlink r:id="rId135" w:history="1">
        <w:r>
          <w:rPr>
            <w:rStyle w:val="Hyperlink"/>
          </w:rPr>
          <w:t>https://doi.org/10.1080/10345329.2020.1867039</w:t>
        </w:r>
      </w:hyperlink>
      <w:r>
        <w:t xml:space="preserve"> </w:t>
      </w:r>
    </w:p>
    <w:p w14:paraId="50EE9BB2" w14:textId="77777777" w:rsidR="007A64D0" w:rsidRDefault="007A64D0" w:rsidP="007A64D0">
      <w:pPr>
        <w:pStyle w:val="Reference"/>
        <w:rPr>
          <w:lang w:val="it-IT"/>
        </w:rPr>
      </w:pPr>
      <w:r>
        <w:t xml:space="preserve">Cuenca-Piqueras, C., Fernández-Prados, J. S., &amp; González-Moreno, M. J. (2020). Face-to-face versus online harassment of European women: Importance of date and place of birth. </w:t>
      </w:r>
      <w:r w:rsidRPr="00E215BB">
        <w:rPr>
          <w:rStyle w:val="Italic"/>
          <w:lang w:val="it-IT"/>
        </w:rPr>
        <w:t>Sexuality &amp; Culture</w:t>
      </w:r>
      <w:r>
        <w:rPr>
          <w:lang w:val="it-IT"/>
        </w:rPr>
        <w:t>,</w:t>
      </w:r>
      <w:r w:rsidRPr="00E215BB">
        <w:rPr>
          <w:rStyle w:val="Italic"/>
          <w:lang w:val="it-IT"/>
        </w:rPr>
        <w:t xml:space="preserve"> 24</w:t>
      </w:r>
      <w:r>
        <w:rPr>
          <w:lang w:val="it-IT"/>
        </w:rPr>
        <w:t xml:space="preserve">(1), 157–173. </w:t>
      </w:r>
      <w:hyperlink r:id="rId136" w:history="1">
        <w:r>
          <w:rPr>
            <w:rStyle w:val="Hyperlink"/>
            <w:lang w:val="it-IT"/>
          </w:rPr>
          <w:t>https://doi.org/10.1007/s12119-019-09632-4</w:t>
        </w:r>
      </w:hyperlink>
      <w:r>
        <w:rPr>
          <w:lang w:val="it-IT"/>
        </w:rPr>
        <w:t xml:space="preserve"> </w:t>
      </w:r>
    </w:p>
    <w:p w14:paraId="6CD7CBD6" w14:textId="77777777" w:rsidR="007A64D0" w:rsidRDefault="007A64D0" w:rsidP="007A64D0">
      <w:pPr>
        <w:pStyle w:val="Reference"/>
      </w:pPr>
      <w:r>
        <w:rPr>
          <w:lang w:val="it-IT"/>
        </w:rPr>
        <w:t xml:space="preserve">D’Ambrosi, L., Papakristo, P., &amp; Polci, V. (2018). </w:t>
      </w:r>
      <w:r>
        <w:t xml:space="preserve">Social media and gender violence: Communication strategies for a “new education”. </w:t>
      </w:r>
      <w:r>
        <w:rPr>
          <w:rStyle w:val="Italic"/>
        </w:rPr>
        <w:t>Italian Journal of Sociology of Education</w:t>
      </w:r>
      <w:r>
        <w:t>,</w:t>
      </w:r>
      <w:r>
        <w:rPr>
          <w:rStyle w:val="Italic"/>
        </w:rPr>
        <w:t xml:space="preserve"> 10</w:t>
      </w:r>
      <w:r>
        <w:t xml:space="preserve">(2), 76–89. </w:t>
      </w:r>
      <w:hyperlink r:id="rId137" w:history="1">
        <w:r>
          <w:rPr>
            <w:rStyle w:val="Hyperlink"/>
          </w:rPr>
          <w:t>https://doi.org/10.14658/pupj-ijse-2018-2-6</w:t>
        </w:r>
      </w:hyperlink>
      <w:r>
        <w:t xml:space="preserve"> </w:t>
      </w:r>
    </w:p>
    <w:p w14:paraId="2DB3B838" w14:textId="77777777" w:rsidR="007A64D0" w:rsidRDefault="007A64D0" w:rsidP="007A64D0">
      <w:pPr>
        <w:pStyle w:val="Reference"/>
      </w:pPr>
      <w:r w:rsidRPr="00E215BB">
        <w:rPr>
          <w:lang w:val="it-IT"/>
        </w:rPr>
        <w:t xml:space="preserve">Dahl, J., Vescio, T., &amp; Weaver, K. (2015). </w:t>
      </w:r>
      <w:r>
        <w:t xml:space="preserve">How threats to masculinity sequentially cause public discomfort, anger, and ideological dominance over women. </w:t>
      </w:r>
      <w:r>
        <w:rPr>
          <w:rStyle w:val="Italic"/>
        </w:rPr>
        <w:t>Social Psychology 46</w:t>
      </w:r>
      <w:r>
        <w:t xml:space="preserve">(4), 242–254. </w:t>
      </w:r>
      <w:hyperlink r:id="rId138" w:history="1">
        <w:r>
          <w:rPr>
            <w:rStyle w:val="Hyperlink"/>
          </w:rPr>
          <w:t>https://doi.org/10.1027/1864-9335/a000248</w:t>
        </w:r>
      </w:hyperlink>
    </w:p>
    <w:p w14:paraId="62AF1056" w14:textId="77777777" w:rsidR="007A64D0" w:rsidRDefault="007A64D0" w:rsidP="007A64D0">
      <w:pPr>
        <w:pStyle w:val="Reference"/>
      </w:pPr>
      <w:r>
        <w:t xml:space="preserve">Dalton, S. (2020). When staying at home can mean danger. </w:t>
      </w:r>
      <w:r>
        <w:rPr>
          <w:rStyle w:val="Italic"/>
        </w:rPr>
        <w:t>Concept</w:t>
      </w:r>
      <w:r>
        <w:t>,</w:t>
      </w:r>
      <w:r>
        <w:rPr>
          <w:rStyle w:val="Italic"/>
        </w:rPr>
        <w:t xml:space="preserve"> 11</w:t>
      </w:r>
      <w:r>
        <w:t xml:space="preserve">, 1–3. </w:t>
      </w:r>
      <w:hyperlink r:id="rId139" w:history="1">
        <w:r>
          <w:rPr>
            <w:rStyle w:val="Hyperlink"/>
          </w:rPr>
          <w:t>http://concept.lib.ed.ac.uk/article/view/4371</w:t>
        </w:r>
      </w:hyperlink>
      <w:r>
        <w:t xml:space="preserve"> </w:t>
      </w:r>
    </w:p>
    <w:p w14:paraId="7112A4D5" w14:textId="77777777" w:rsidR="007A64D0" w:rsidRDefault="007A64D0" w:rsidP="007A64D0">
      <w:pPr>
        <w:pStyle w:val="Reference"/>
      </w:pPr>
      <w:r>
        <w:t xml:space="preserve">Davies, C. T. (2023). The gendered “doing of sex”: Sexual double standards. In </w:t>
      </w:r>
      <w:r>
        <w:rPr>
          <w:rStyle w:val="Italic"/>
        </w:rPr>
        <w:t>Understanding abuse in young people’s intimate relationships: Female perspectives on power, control and gendered social norms</w:t>
      </w:r>
      <w:r>
        <w:t xml:space="preserve"> (pp. 64–75). Policy Press. </w:t>
      </w:r>
      <w:hyperlink r:id="rId140" w:history="1">
        <w:r>
          <w:rPr>
            <w:rStyle w:val="Hyperlink"/>
          </w:rPr>
          <w:t>https://doi.org/10.51952/9781447362692.ch004</w:t>
        </w:r>
      </w:hyperlink>
    </w:p>
    <w:p w14:paraId="734A674D" w14:textId="1DFD67A0" w:rsidR="007A64D0" w:rsidRDefault="007A64D0" w:rsidP="007A64D0">
      <w:pPr>
        <w:pStyle w:val="Reference"/>
      </w:pPr>
      <w:r>
        <w:t>Davis, A. C., Carrotte, E. R., Hellard, M. E., &amp; Lim, M. S. (2018). What behaviors do young heterosexual Australians see in</w:t>
      </w:r>
      <w:r w:rsidR="00143A81">
        <w:t> </w:t>
      </w:r>
      <w:r>
        <w:t xml:space="preserve">pornography? A cross-sectional study. </w:t>
      </w:r>
      <w:r>
        <w:rPr>
          <w:rStyle w:val="Italic"/>
        </w:rPr>
        <w:t>The Journal of Sex Research</w:t>
      </w:r>
      <w:r>
        <w:t>,</w:t>
      </w:r>
      <w:r>
        <w:rPr>
          <w:rStyle w:val="Italic"/>
        </w:rPr>
        <w:t xml:space="preserve"> 55</w:t>
      </w:r>
      <w:r>
        <w:t xml:space="preserve">(3), 310–319. </w:t>
      </w:r>
      <w:hyperlink r:id="rId141" w:history="1">
        <w:r>
          <w:rPr>
            <w:rStyle w:val="Hyperlink"/>
          </w:rPr>
          <w:t>https://doi.org/10.1080/00224499.2017.1417350</w:t>
        </w:r>
      </w:hyperlink>
      <w:r>
        <w:t xml:space="preserve"> </w:t>
      </w:r>
    </w:p>
    <w:p w14:paraId="0869F2C8" w14:textId="77777777" w:rsidR="007A64D0" w:rsidRDefault="007A64D0" w:rsidP="007A64D0">
      <w:pPr>
        <w:pStyle w:val="Reference"/>
      </w:pPr>
      <w:r>
        <w:t xml:space="preserve">Davis, A. C., Wright, C., Curtis, M., Hellard, M. E., Lim, M. S. C., &amp; Temple-Smith, M. J. (2021). “Not my child”: Parenting, pornography, and views on education. </w:t>
      </w:r>
      <w:r>
        <w:rPr>
          <w:rStyle w:val="Italic"/>
        </w:rPr>
        <w:t>Journal of Family Studies</w:t>
      </w:r>
      <w:r>
        <w:t>,</w:t>
      </w:r>
      <w:r>
        <w:rPr>
          <w:rStyle w:val="Italic"/>
        </w:rPr>
        <w:t xml:space="preserve"> 27</w:t>
      </w:r>
      <w:r>
        <w:t xml:space="preserve">(4), 573–588. </w:t>
      </w:r>
      <w:hyperlink r:id="rId142" w:history="1">
        <w:r>
          <w:rPr>
            <w:rStyle w:val="Hyperlink"/>
          </w:rPr>
          <w:t>https://doi.org/10.1080/13229400.2019.1657929</w:t>
        </w:r>
      </w:hyperlink>
      <w:r>
        <w:t xml:space="preserve"> </w:t>
      </w:r>
    </w:p>
    <w:p w14:paraId="6393953B" w14:textId="64AC8C07" w:rsidR="007A64D0" w:rsidRDefault="007A64D0" w:rsidP="007A64D0">
      <w:pPr>
        <w:pStyle w:val="Reference"/>
      </w:pPr>
      <w:r>
        <w:t>DeKeseredy, W. S., &amp; Hall-Sanchez, A. (2017). Adult pornography and violence against women in the heartland: Results from a</w:t>
      </w:r>
      <w:r w:rsidR="00143A81">
        <w:t> </w:t>
      </w:r>
      <w:r>
        <w:t xml:space="preserve">rural Southeast Ohio study. </w:t>
      </w:r>
      <w:r>
        <w:rPr>
          <w:rStyle w:val="Emphasis"/>
        </w:rPr>
        <w:t>Violence Against Women</w:t>
      </w:r>
      <w:r>
        <w:t xml:space="preserve">, </w:t>
      </w:r>
      <w:r>
        <w:rPr>
          <w:rStyle w:val="Emphasis"/>
        </w:rPr>
        <w:t>23</w:t>
      </w:r>
      <w:r>
        <w:t xml:space="preserve">(7), 830–849. </w:t>
      </w:r>
      <w:hyperlink r:id="rId143" w:history="1">
        <w:r>
          <w:rPr>
            <w:rStyle w:val="Hyperlink"/>
          </w:rPr>
          <w:t>https://doi.org/10.1177/1077801216648795</w:t>
        </w:r>
      </w:hyperlink>
    </w:p>
    <w:p w14:paraId="2FD0E994" w14:textId="77777777" w:rsidR="007A64D0" w:rsidRDefault="007A64D0" w:rsidP="007A64D0">
      <w:pPr>
        <w:pStyle w:val="Reference"/>
      </w:pPr>
      <w:r>
        <w:lastRenderedPageBreak/>
        <w:t xml:space="preserve">DeKeseredy, W. S., Hall-Sanchez, A., &amp; Nolan, J. (2018). College campus sexual assault: The contribution of peers’ proabuse informational support and attachments to abusive peers. </w:t>
      </w:r>
      <w:r>
        <w:rPr>
          <w:rStyle w:val="Emphasis"/>
        </w:rPr>
        <w:t>Violence Against Women</w:t>
      </w:r>
      <w:r>
        <w:t xml:space="preserve">, </w:t>
      </w:r>
      <w:r>
        <w:rPr>
          <w:rStyle w:val="Emphasis"/>
        </w:rPr>
        <w:t>24</w:t>
      </w:r>
      <w:r>
        <w:t xml:space="preserve">(8), 922–935. </w:t>
      </w:r>
      <w:hyperlink r:id="rId144" w:history="1">
        <w:r>
          <w:rPr>
            <w:rStyle w:val="Hyperlink"/>
          </w:rPr>
          <w:t>https://doi.org/10.1177/1077801217724920</w:t>
        </w:r>
      </w:hyperlink>
    </w:p>
    <w:p w14:paraId="7C9D90E1" w14:textId="77777777" w:rsidR="007A64D0" w:rsidRDefault="007A64D0" w:rsidP="007A64D0">
      <w:pPr>
        <w:pStyle w:val="Reference"/>
      </w:pPr>
      <w:r>
        <w:t xml:space="preserve">DeKeseredy, W. S., &amp; Schwartz, M. D. (2013). </w:t>
      </w:r>
      <w:r>
        <w:rPr>
          <w:rStyle w:val="Italic"/>
        </w:rPr>
        <w:t>Male peer support and violence against women: The history and verification of a theory</w:t>
      </w:r>
      <w:r>
        <w:t xml:space="preserve">. Northeastern University Press. </w:t>
      </w:r>
      <w:hyperlink r:id="rId145" w:history="1">
        <w:r>
          <w:rPr>
            <w:rStyle w:val="Hyperlink"/>
          </w:rPr>
          <w:t>https://books.google.com.au/books?id=AWYCAQAAQBAJ</w:t>
        </w:r>
      </w:hyperlink>
      <w:r>
        <w:t xml:space="preserve"> </w:t>
      </w:r>
    </w:p>
    <w:p w14:paraId="43CBF7D5" w14:textId="644FA22F" w:rsidR="007A64D0" w:rsidRDefault="007A64D0" w:rsidP="007A64D0">
      <w:pPr>
        <w:pStyle w:val="Reference"/>
      </w:pPr>
      <w:r>
        <w:rPr>
          <w:lang w:val="it-IT"/>
        </w:rPr>
        <w:t xml:space="preserve">Dembo, R. S., Mitra, M., &amp; McKee, M. (2018). </w:t>
      </w:r>
      <w:r>
        <w:t xml:space="preserve">The psychological consequences of violence against people with disabilities. </w:t>
      </w:r>
      <w:r>
        <w:rPr>
          <w:rStyle w:val="Italic"/>
        </w:rPr>
        <w:t>Disability</w:t>
      </w:r>
      <w:r w:rsidR="00143A81">
        <w:rPr>
          <w:rStyle w:val="Italic"/>
        </w:rPr>
        <w:t> </w:t>
      </w:r>
      <w:r>
        <w:rPr>
          <w:rStyle w:val="Italic"/>
        </w:rPr>
        <w:t>and Health Journal</w:t>
      </w:r>
      <w:r>
        <w:t>,</w:t>
      </w:r>
      <w:r>
        <w:rPr>
          <w:rStyle w:val="Italic"/>
        </w:rPr>
        <w:t xml:space="preserve"> 11</w:t>
      </w:r>
      <w:r>
        <w:t xml:space="preserve">(3), 390–397. </w:t>
      </w:r>
      <w:hyperlink r:id="rId146" w:history="1">
        <w:r>
          <w:rPr>
            <w:rStyle w:val="Hyperlink"/>
          </w:rPr>
          <w:t>https://doi.org/10.1016/j.dhjo.2018.01.006</w:t>
        </w:r>
      </w:hyperlink>
      <w:r>
        <w:t xml:space="preserve"> </w:t>
      </w:r>
    </w:p>
    <w:p w14:paraId="02EF7608" w14:textId="77777777" w:rsidR="007A64D0" w:rsidRDefault="007A64D0" w:rsidP="007A64D0">
      <w:pPr>
        <w:pStyle w:val="Reference"/>
      </w:pPr>
      <w:r>
        <w:t xml:space="preserve">Department of Education. (2023). </w:t>
      </w:r>
      <w:r>
        <w:rPr>
          <w:rStyle w:val="Italic"/>
        </w:rPr>
        <w:t>Budget October 2022</w:t>
      </w:r>
      <w:r>
        <w:t>–</w:t>
      </w:r>
      <w:r>
        <w:rPr>
          <w:rStyle w:val="Italic"/>
        </w:rPr>
        <w:t>23</w:t>
      </w:r>
      <w:r>
        <w:t xml:space="preserve">. Australian Government. </w:t>
      </w:r>
      <w:hyperlink r:id="rId147" w:history="1">
        <w:r>
          <w:rPr>
            <w:rStyle w:val="Hyperlink"/>
          </w:rPr>
          <w:t>https://www.education.gov.au/about-department/corporate-reporting/budget/budget-october-2022-23</w:t>
        </w:r>
      </w:hyperlink>
    </w:p>
    <w:p w14:paraId="378FC79B" w14:textId="77777777" w:rsidR="007A64D0" w:rsidRDefault="007A64D0" w:rsidP="007A64D0">
      <w:pPr>
        <w:pStyle w:val="Reference"/>
      </w:pPr>
      <w:r>
        <w:t xml:space="preserve">Department of Social Services. (2022). </w:t>
      </w:r>
      <w:r>
        <w:rPr>
          <w:rStyle w:val="Italic"/>
        </w:rPr>
        <w:t>National Plan to End Violence against Women and Children 2022–2032: Ending gender-based violence in one generation</w:t>
      </w:r>
      <w:r>
        <w:t xml:space="preserve">. Commonwealth of Australia. </w:t>
      </w:r>
      <w:hyperlink r:id="rId148" w:history="1">
        <w:r>
          <w:rPr>
            <w:rStyle w:val="Hyperlink"/>
          </w:rPr>
          <w:t>https://www.dss.gov.au/the-national-plan-to-end-violence-against-women-and-children/the-national-plan-to-end-violence-against-women-and-children-2022-2032</w:t>
        </w:r>
      </w:hyperlink>
    </w:p>
    <w:p w14:paraId="21E94FB8" w14:textId="77777777" w:rsidR="007A64D0" w:rsidRDefault="007A64D0" w:rsidP="007A64D0">
      <w:pPr>
        <w:pStyle w:val="Reference"/>
      </w:pPr>
      <w:r>
        <w:t xml:space="preserve">Digolo, L., Asghar, K., Berry, V., Mitchell, S., Rumble, L., Alemann, C., &amp; Heise, L. (2019). </w:t>
      </w:r>
      <w:r>
        <w:rPr>
          <w:rStyle w:val="Italic"/>
        </w:rPr>
        <w:t>Evidence review: Parenting and caregiver support programmes to prevent and respond to violence in the home</w:t>
      </w:r>
      <w:r>
        <w:t xml:space="preserve">. The Prevention Collaborative. </w:t>
      </w:r>
      <w:hyperlink r:id="rId149" w:history="1">
        <w:r>
          <w:rPr>
            <w:rStyle w:val="Hyperlink"/>
          </w:rPr>
          <w:t>https://prevention-collaborative.org/wp-content/uploads/2019/11/Evidence-Review-Parenting-programmes-lowres-23112019.pdf</w:t>
        </w:r>
      </w:hyperlink>
    </w:p>
    <w:p w14:paraId="0EA3F820" w14:textId="371E9595" w:rsidR="007A64D0" w:rsidRDefault="007A64D0" w:rsidP="007A64D0">
      <w:pPr>
        <w:pStyle w:val="Reference"/>
      </w:pPr>
      <w:r>
        <w:t>Dishion, T. J., &amp; Patterson, G. R. (2015). The development and ecology of antisocial behavior in children and adolescents. In</w:t>
      </w:r>
      <w:r w:rsidR="00143A81">
        <w:t> </w:t>
      </w:r>
      <w:r>
        <w:t>D.</w:t>
      </w:r>
      <w:r w:rsidR="00143A81">
        <w:t> </w:t>
      </w:r>
      <w:r>
        <w:t xml:space="preserve">Cicchetti &amp; D. J. Cohen (Eds.), </w:t>
      </w:r>
      <w:r>
        <w:rPr>
          <w:rStyle w:val="Italic"/>
        </w:rPr>
        <w:t>Developmental psychopathology</w:t>
      </w:r>
      <w:r>
        <w:t xml:space="preserve">: </w:t>
      </w:r>
      <w:r>
        <w:rPr>
          <w:rStyle w:val="Italic"/>
        </w:rPr>
        <w:t xml:space="preserve">Volume three: Risk, disorder, and adaptation </w:t>
      </w:r>
      <w:r>
        <w:t xml:space="preserve">(pp. 503–541). </w:t>
      </w:r>
      <w:hyperlink r:id="rId150" w:history="1">
        <w:r>
          <w:rPr>
            <w:rStyle w:val="Hyperlink"/>
          </w:rPr>
          <w:t>https://doi.org/10.1002/9780470939406.ch13</w:t>
        </w:r>
      </w:hyperlink>
      <w:r>
        <w:t xml:space="preserve"> </w:t>
      </w:r>
    </w:p>
    <w:p w14:paraId="43729288" w14:textId="77777777" w:rsidR="007A64D0" w:rsidRDefault="007A64D0" w:rsidP="007A64D0">
      <w:pPr>
        <w:pStyle w:val="Reference"/>
      </w:pPr>
      <w:r>
        <w:t xml:space="preserve">Dodge, K. A., &amp; Pettit, G. S. (2003). A biopsychosocial model of the development of chronic conduct problems in adolescence. </w:t>
      </w:r>
      <w:r>
        <w:rPr>
          <w:rStyle w:val="Italic"/>
        </w:rPr>
        <w:t>Developmental Psychology</w:t>
      </w:r>
      <w:r>
        <w:t>,</w:t>
      </w:r>
      <w:r>
        <w:rPr>
          <w:rStyle w:val="Italic"/>
        </w:rPr>
        <w:t xml:space="preserve"> 39</w:t>
      </w:r>
      <w:r>
        <w:t xml:space="preserve">(2), 349–371. </w:t>
      </w:r>
      <w:hyperlink r:id="rId151" w:history="1">
        <w:r>
          <w:rPr>
            <w:rStyle w:val="Hyperlink"/>
          </w:rPr>
          <w:t>https://doi.org/10.1037/0012-1649.39.2.349</w:t>
        </w:r>
      </w:hyperlink>
      <w:r>
        <w:t xml:space="preserve"> </w:t>
      </w:r>
    </w:p>
    <w:p w14:paraId="1D6C3A02" w14:textId="77777777" w:rsidR="007A64D0" w:rsidRDefault="007A64D0" w:rsidP="007A64D0">
      <w:pPr>
        <w:pStyle w:val="Reference"/>
      </w:pPr>
      <w:r>
        <w:t xml:space="preserve">Drotning, K. J., Doan, L., Sayer, L. C., Fish, J. N., &amp; Rinderknecht, R. G. (2023). Not all homes are safe: Family violence following the onset of the Covid-19 pandemic. </w:t>
      </w:r>
      <w:r>
        <w:rPr>
          <w:rStyle w:val="Italic"/>
        </w:rPr>
        <w:t>Journal of Family Violence</w:t>
      </w:r>
      <w:r>
        <w:t>,</w:t>
      </w:r>
      <w:r>
        <w:rPr>
          <w:rStyle w:val="Italic"/>
        </w:rPr>
        <w:t xml:space="preserve"> 38</w:t>
      </w:r>
      <w:r>
        <w:t xml:space="preserve">(2), 189–201. </w:t>
      </w:r>
      <w:hyperlink r:id="rId152" w:history="1">
        <w:r>
          <w:rPr>
            <w:rStyle w:val="Hyperlink"/>
          </w:rPr>
          <w:t>https://doi.org/10.1007/s10896-022-00372-y</w:t>
        </w:r>
      </w:hyperlink>
      <w:r>
        <w:t xml:space="preserve"> </w:t>
      </w:r>
    </w:p>
    <w:p w14:paraId="5BFA26F5" w14:textId="77777777" w:rsidR="007A64D0" w:rsidRDefault="007A64D0" w:rsidP="007A64D0">
      <w:pPr>
        <w:pStyle w:val="Reference"/>
      </w:pPr>
      <w:r>
        <w:t xml:space="preserve">Dueñas, J.-M., Santiago-Larrieu, B., Ferre-Rey, G., &amp; Cosi, S. (2020). The relationship between family socialization styles and ambivalent sexism in adolescence. </w:t>
      </w:r>
      <w:r>
        <w:rPr>
          <w:rStyle w:val="Italic"/>
        </w:rPr>
        <w:t>Interpersona: An International Journal on Personal Relationships</w:t>
      </w:r>
      <w:r>
        <w:t>,</w:t>
      </w:r>
      <w:r>
        <w:rPr>
          <w:rStyle w:val="Italic"/>
        </w:rPr>
        <w:t xml:space="preserve"> 14</w:t>
      </w:r>
      <w:r>
        <w:t xml:space="preserve">(1), 28–39. </w:t>
      </w:r>
      <w:hyperlink r:id="rId153" w:history="1">
        <w:r>
          <w:rPr>
            <w:rStyle w:val="Hyperlink"/>
          </w:rPr>
          <w:t>https://doi.org/10.5964/ijpr.v14i1.3923</w:t>
        </w:r>
      </w:hyperlink>
      <w:r>
        <w:t xml:space="preserve"> </w:t>
      </w:r>
    </w:p>
    <w:p w14:paraId="26B562BE" w14:textId="77777777" w:rsidR="007A64D0" w:rsidRDefault="007A64D0" w:rsidP="007A64D0">
      <w:pPr>
        <w:pStyle w:val="Reference"/>
      </w:pPr>
      <w:r>
        <w:t xml:space="preserve">Dyson, S., Frawley, P., &amp; Robinson, S. (2017). </w:t>
      </w:r>
      <w:r>
        <w:rPr>
          <w:rStyle w:val="Emphasis"/>
        </w:rPr>
        <w:t>“Whatever it takes”: Access for women with disabilities to domestic and domestic violence services: Final report</w:t>
      </w:r>
      <w:r>
        <w:t xml:space="preserve"> (ANROWS Horizons, 05/2017). ANROWS. </w:t>
      </w:r>
      <w:hyperlink r:id="rId154" w:history="1">
        <w:r>
          <w:rPr>
            <w:rStyle w:val="Hyperlink"/>
          </w:rPr>
          <w:t>https://www.anrows.org.au/publication/whatever-it-takes-access-for-women-with-disabilities-to-domestic-and-family-violence-services-final-report/</w:t>
        </w:r>
      </w:hyperlink>
    </w:p>
    <w:p w14:paraId="1799CF6B" w14:textId="77777777" w:rsidR="007A64D0" w:rsidRDefault="007A64D0" w:rsidP="007A64D0">
      <w:pPr>
        <w:pStyle w:val="Reference"/>
      </w:pPr>
      <w:r>
        <w:t xml:space="preserve">Edwards, K. M., Sylaska, K. M., &amp; Neal, A. M. (2015). Intimate partner violence among sexual minority populations: A critical review of the literature and agenda for future research. </w:t>
      </w:r>
      <w:r>
        <w:rPr>
          <w:rStyle w:val="Italic"/>
        </w:rPr>
        <w:t>Psychology of Violence</w:t>
      </w:r>
      <w:r>
        <w:t>,</w:t>
      </w:r>
      <w:r>
        <w:rPr>
          <w:rStyle w:val="Italic"/>
        </w:rPr>
        <w:t xml:space="preserve"> 5</w:t>
      </w:r>
      <w:r>
        <w:t xml:space="preserve">(2), 112–121. </w:t>
      </w:r>
      <w:hyperlink r:id="rId155" w:history="1">
        <w:r>
          <w:rPr>
            <w:rStyle w:val="Hyperlink"/>
          </w:rPr>
          <w:t>https://doi.org/10.1037/a0038656</w:t>
        </w:r>
      </w:hyperlink>
      <w:r>
        <w:t xml:space="preserve"> </w:t>
      </w:r>
    </w:p>
    <w:p w14:paraId="02B6FEC9" w14:textId="77777777" w:rsidR="007A64D0" w:rsidRDefault="007A64D0" w:rsidP="007A64D0">
      <w:pPr>
        <w:pStyle w:val="Reference"/>
      </w:pPr>
      <w:r>
        <w:t xml:space="preserve">Elsaesser, C., Russell, B., Ohannessian, C. M., &amp; Patton, D. (2017). Parenting in a digital age: A review of parents’ role in preventing adolescent cyberbullying. </w:t>
      </w:r>
      <w:r>
        <w:rPr>
          <w:rStyle w:val="Italic"/>
        </w:rPr>
        <w:t>Aggression and Violent Behavior</w:t>
      </w:r>
      <w:r>
        <w:t>,</w:t>
      </w:r>
      <w:r>
        <w:rPr>
          <w:rStyle w:val="Italic"/>
        </w:rPr>
        <w:t xml:space="preserve"> 35</w:t>
      </w:r>
      <w:r>
        <w:t xml:space="preserve">, 62–72. </w:t>
      </w:r>
      <w:hyperlink r:id="rId156" w:history="1">
        <w:r>
          <w:rPr>
            <w:rStyle w:val="Hyperlink"/>
          </w:rPr>
          <w:t>https://psycnet.apa.org/doi/10.1016/j.avb.2017.06.004</w:t>
        </w:r>
      </w:hyperlink>
    </w:p>
    <w:p w14:paraId="4159205D" w14:textId="77777777" w:rsidR="007A64D0" w:rsidRPr="00E215BB" w:rsidRDefault="007A64D0" w:rsidP="007A64D0">
      <w:pPr>
        <w:pStyle w:val="Reference"/>
        <w:rPr>
          <w:lang w:val="it-IT"/>
        </w:rPr>
      </w:pPr>
      <w:r>
        <w:t xml:space="preserve">eSafety Commissioner. (2022a). </w:t>
      </w:r>
      <w:r>
        <w:rPr>
          <w:rStyle w:val="Italic"/>
        </w:rPr>
        <w:t>Domestic and family violence</w:t>
      </w:r>
      <w:r>
        <w:t xml:space="preserve">. </w:t>
      </w:r>
      <w:hyperlink r:id="rId157" w:history="1">
        <w:r w:rsidRPr="00E215BB">
          <w:rPr>
            <w:rStyle w:val="Hyperlink"/>
            <w:lang w:val="it-IT"/>
          </w:rPr>
          <w:t>https://www.esafety.gov.au/key-issues/domestic-family-violence</w:t>
        </w:r>
      </w:hyperlink>
    </w:p>
    <w:p w14:paraId="133B643C" w14:textId="77777777" w:rsidR="007A64D0" w:rsidRDefault="007A64D0" w:rsidP="007A64D0">
      <w:pPr>
        <w:pStyle w:val="Reference"/>
      </w:pPr>
      <w:r w:rsidRPr="00E215BB">
        <w:rPr>
          <w:lang w:val="it-IT"/>
        </w:rPr>
        <w:t xml:space="preserve">eSafety Commissioner. </w:t>
      </w:r>
      <w:r>
        <w:t xml:space="preserve">(2022b). </w:t>
      </w:r>
      <w:r>
        <w:rPr>
          <w:rStyle w:val="Italic"/>
        </w:rPr>
        <w:t>Mind the gap: Parental awareness of children’s exposure to risks online</w:t>
      </w:r>
      <w:r>
        <w:t xml:space="preserve">. Aussie Kids Online. </w:t>
      </w:r>
      <w:hyperlink r:id="rId158" w:history="1">
        <w:r>
          <w:rPr>
            <w:rStyle w:val="Hyperlink"/>
          </w:rPr>
          <w:t>https://www.esafety.gov.au/research/mind-gap</w:t>
        </w:r>
      </w:hyperlink>
    </w:p>
    <w:p w14:paraId="6881111C" w14:textId="77777777" w:rsidR="007A64D0" w:rsidRPr="00E215BB" w:rsidRDefault="007A64D0" w:rsidP="007A64D0">
      <w:pPr>
        <w:pStyle w:val="Reference"/>
        <w:rPr>
          <w:lang w:val="it-IT"/>
        </w:rPr>
      </w:pPr>
      <w:r>
        <w:t xml:space="preserve">eSafety Commissioner. (2023a). </w:t>
      </w:r>
      <w:r>
        <w:rPr>
          <w:rStyle w:val="Italic"/>
        </w:rPr>
        <w:t>eSafety young people</w:t>
      </w:r>
      <w:r>
        <w:t xml:space="preserve">. </w:t>
      </w:r>
      <w:hyperlink r:id="rId159" w:history="1">
        <w:r w:rsidRPr="00E215BB">
          <w:rPr>
            <w:rStyle w:val="Hyperlink"/>
            <w:lang w:val="it-IT"/>
          </w:rPr>
          <w:t>https://www.esafety.gov.au/young-people</w:t>
        </w:r>
      </w:hyperlink>
    </w:p>
    <w:p w14:paraId="3A7A4BAB" w14:textId="77777777" w:rsidR="007A64D0" w:rsidRDefault="007A64D0" w:rsidP="007A64D0">
      <w:pPr>
        <w:pStyle w:val="Reference"/>
      </w:pPr>
      <w:r w:rsidRPr="00E215BB">
        <w:rPr>
          <w:lang w:val="it-IT"/>
        </w:rPr>
        <w:t xml:space="preserve">eSafety Commissioner. (2023b). </w:t>
      </w:r>
      <w:r>
        <w:rPr>
          <w:rStyle w:val="Italic"/>
        </w:rPr>
        <w:t>Unsafe or unwanted contact</w:t>
      </w:r>
      <w:r>
        <w:t xml:space="preserve">. </w:t>
      </w:r>
      <w:hyperlink r:id="rId160" w:history="1">
        <w:r>
          <w:rPr>
            <w:rStyle w:val="Hyperlink"/>
          </w:rPr>
          <w:t>https://www.esafety.gov.au/young-people/unwanted-contact-signs</w:t>
        </w:r>
      </w:hyperlink>
    </w:p>
    <w:p w14:paraId="00B5B990" w14:textId="77777777" w:rsidR="007A64D0" w:rsidRDefault="007A64D0" w:rsidP="007A64D0">
      <w:pPr>
        <w:pStyle w:val="Reference"/>
      </w:pPr>
      <w:r>
        <w:t xml:space="preserve">European Union Agency for Fundamental Rights. (2014). </w:t>
      </w:r>
      <w:r>
        <w:rPr>
          <w:rStyle w:val="Italic"/>
        </w:rPr>
        <w:t>Violence against women: An EU-wide survey</w:t>
      </w:r>
      <w:r>
        <w:t xml:space="preserve">. </w:t>
      </w:r>
      <w:hyperlink r:id="rId161" w:history="1">
        <w:r>
          <w:rPr>
            <w:rStyle w:val="Hyperlink"/>
          </w:rPr>
          <w:t>https://fra.europa.eu/sites/default/files/fra_uploads/fra-2014-vaw-survey-main-results-apr14_en.pdf</w:t>
        </w:r>
      </w:hyperlink>
    </w:p>
    <w:p w14:paraId="569C8601" w14:textId="77777777" w:rsidR="007A64D0" w:rsidRDefault="007A64D0" w:rsidP="007A64D0">
      <w:pPr>
        <w:pStyle w:val="Reference"/>
      </w:pPr>
      <w:r>
        <w:t>Farid, F. (2022, August 13). Survivors are silenced: Ex-NSW Lib staffer.</w:t>
      </w:r>
      <w:r>
        <w:rPr>
          <w:rStyle w:val="Italic"/>
        </w:rPr>
        <w:t xml:space="preserve"> The Canberra Times</w:t>
      </w:r>
      <w:r>
        <w:t xml:space="preserve">. </w:t>
      </w:r>
      <w:hyperlink r:id="rId162" w:history="1">
        <w:r>
          <w:rPr>
            <w:rStyle w:val="Hyperlink"/>
          </w:rPr>
          <w:t>https://www.canberratimes.com.au/story/7859426/survivors-are-silenced-ex-nsw-lib-staffer/</w:t>
        </w:r>
      </w:hyperlink>
    </w:p>
    <w:p w14:paraId="4DCDB326" w14:textId="77777777" w:rsidR="007A64D0" w:rsidRDefault="007A64D0" w:rsidP="007A64D0">
      <w:pPr>
        <w:pStyle w:val="Reference"/>
      </w:pPr>
      <w:r>
        <w:t xml:space="preserve">Femi-Ajao, O., Kendal, S., &amp; Lovell, K. (2020). A qualitative systematic review of published work on disclosure and help-seeking for domestic violence and abuse among women from ethnic minority populations in the UK. </w:t>
      </w:r>
      <w:r>
        <w:rPr>
          <w:rStyle w:val="Italic"/>
        </w:rPr>
        <w:t>Ethnicity &amp; Health</w:t>
      </w:r>
      <w:r>
        <w:t>,</w:t>
      </w:r>
      <w:r>
        <w:rPr>
          <w:rStyle w:val="Italic"/>
        </w:rPr>
        <w:t xml:space="preserve"> 25</w:t>
      </w:r>
      <w:r>
        <w:t xml:space="preserve">(5), 732–746. </w:t>
      </w:r>
      <w:hyperlink r:id="rId163" w:history="1">
        <w:r>
          <w:rPr>
            <w:rStyle w:val="Hyperlink"/>
          </w:rPr>
          <w:t>https://doi.org/10.1080/13557858.2018.1447652</w:t>
        </w:r>
      </w:hyperlink>
      <w:r>
        <w:t xml:space="preserve"> </w:t>
      </w:r>
    </w:p>
    <w:p w14:paraId="675E957D" w14:textId="77777777" w:rsidR="007A64D0" w:rsidRDefault="007A64D0" w:rsidP="007A64D0">
      <w:pPr>
        <w:pStyle w:val="Reference"/>
      </w:pPr>
      <w:r>
        <w:t>Fitzsimons, B. (2021). Dhanya Mani says she too was assaulted by a political staffer. Here’s what she’s asking for.</w:t>
      </w:r>
      <w:r>
        <w:rPr>
          <w:rStyle w:val="Italic"/>
        </w:rPr>
        <w:t xml:space="preserve"> MamaMia</w:t>
      </w:r>
      <w:r>
        <w:t xml:space="preserve">. </w:t>
      </w:r>
      <w:hyperlink r:id="rId164" w:history="1">
        <w:r>
          <w:rPr>
            <w:rStyle w:val="Hyperlink"/>
          </w:rPr>
          <w:t>https://www.mamamia.com.au/dhanya-mani-letter-to-scott-morrison/</w:t>
        </w:r>
      </w:hyperlink>
    </w:p>
    <w:p w14:paraId="3299D0B3" w14:textId="77777777" w:rsidR="007A64D0" w:rsidRDefault="007A64D0" w:rsidP="007A64D0">
      <w:pPr>
        <w:pStyle w:val="Reference"/>
      </w:pPr>
      <w:r>
        <w:lastRenderedPageBreak/>
        <w:t xml:space="preserve">Flood, M. (2008). Men, sex, and homosociality: How bonds between men shape their sexual relations with women. </w:t>
      </w:r>
      <w:r>
        <w:rPr>
          <w:rStyle w:val="Italic"/>
        </w:rPr>
        <w:t>Men and Masculinities</w:t>
      </w:r>
      <w:r>
        <w:t>,</w:t>
      </w:r>
      <w:r>
        <w:rPr>
          <w:rStyle w:val="Italic"/>
        </w:rPr>
        <w:t xml:space="preserve"> 10</w:t>
      </w:r>
      <w:r>
        <w:t xml:space="preserve">(3), 339–359. </w:t>
      </w:r>
      <w:hyperlink r:id="rId165" w:history="1">
        <w:r>
          <w:rPr>
            <w:rStyle w:val="Hyperlink"/>
          </w:rPr>
          <w:t>https://doi.org/10.1177/1097184X06287761</w:t>
        </w:r>
      </w:hyperlink>
      <w:r>
        <w:t xml:space="preserve"> </w:t>
      </w:r>
    </w:p>
    <w:p w14:paraId="51E83945" w14:textId="77777777" w:rsidR="007A64D0" w:rsidRDefault="007A64D0" w:rsidP="007A64D0">
      <w:pPr>
        <w:pStyle w:val="Reference"/>
      </w:pPr>
      <w:r>
        <w:t xml:space="preserve">Flood, M. (2009). The harms of pornography exposure among children and young people. </w:t>
      </w:r>
      <w:r>
        <w:rPr>
          <w:rStyle w:val="Italic"/>
        </w:rPr>
        <w:t>Child Abuse Review: Journal of the British Association for the Study and Prevention of Child Abuse and Neglect</w:t>
      </w:r>
      <w:r>
        <w:t>,</w:t>
      </w:r>
      <w:r>
        <w:rPr>
          <w:rStyle w:val="Italic"/>
        </w:rPr>
        <w:t xml:space="preserve"> 18</w:t>
      </w:r>
      <w:r>
        <w:t xml:space="preserve">(6), 384–400. </w:t>
      </w:r>
      <w:hyperlink r:id="rId166" w:history="1">
        <w:r>
          <w:rPr>
            <w:rStyle w:val="Hyperlink"/>
          </w:rPr>
          <w:t>https://doi.org/10.1002/car.1092</w:t>
        </w:r>
      </w:hyperlink>
      <w:r>
        <w:t xml:space="preserve"> </w:t>
      </w:r>
    </w:p>
    <w:p w14:paraId="54E9E887" w14:textId="77777777" w:rsidR="007A64D0" w:rsidRDefault="007A64D0" w:rsidP="007A64D0">
      <w:pPr>
        <w:pStyle w:val="Reference"/>
      </w:pPr>
      <w:r>
        <w:t xml:space="preserve">Flood, M. (2019a). </w:t>
      </w:r>
      <w:r>
        <w:rPr>
          <w:rStyle w:val="Emphasis"/>
        </w:rPr>
        <w:t>Engaging men and boys in violence prevention</w:t>
      </w:r>
      <w:r>
        <w:t xml:space="preserve">. Palgrave Macmillan. </w:t>
      </w:r>
      <w:hyperlink r:id="rId167" w:history="1">
        <w:r>
          <w:rPr>
            <w:rStyle w:val="Hyperlink"/>
          </w:rPr>
          <w:t>https://doi.org/10.13128/ccselap-25826</w:t>
        </w:r>
      </w:hyperlink>
    </w:p>
    <w:p w14:paraId="2C8A626E" w14:textId="77777777" w:rsidR="007A64D0" w:rsidRDefault="007A64D0" w:rsidP="007A64D0">
      <w:pPr>
        <w:pStyle w:val="Reference"/>
      </w:pPr>
      <w:r>
        <w:t xml:space="preserve">Flood, M. (2019b). Gender equality: Engaging men in change. </w:t>
      </w:r>
      <w:r>
        <w:rPr>
          <w:rStyle w:val="Emphasis"/>
        </w:rPr>
        <w:t>The Lancet</w:t>
      </w:r>
      <w:r>
        <w:t xml:space="preserve">, </w:t>
      </w:r>
      <w:r>
        <w:rPr>
          <w:rStyle w:val="Emphasis"/>
        </w:rPr>
        <w:t>393</w:t>
      </w:r>
      <w:r>
        <w:t xml:space="preserve">(10189), 2386–2387. </w:t>
      </w:r>
      <w:hyperlink r:id="rId168" w:history="1">
        <w:r>
          <w:rPr>
            <w:rStyle w:val="Hyperlink"/>
          </w:rPr>
          <w:t>https://doi.org/10.1016/S0140-6736(19)31295-4</w:t>
        </w:r>
      </w:hyperlink>
    </w:p>
    <w:p w14:paraId="53EED234" w14:textId="77777777" w:rsidR="007A64D0" w:rsidRDefault="007A64D0" w:rsidP="007A64D0">
      <w:pPr>
        <w:pStyle w:val="Reference"/>
      </w:pPr>
      <w:r>
        <w:t xml:space="preserve">Flood, M. (2020). </w:t>
      </w:r>
      <w:r>
        <w:rPr>
          <w:rStyle w:val="Emphasis"/>
        </w:rPr>
        <w:t>Masculinities and Health: Attitudes towards men and masculinities in Australia</w:t>
      </w:r>
      <w:r>
        <w:t xml:space="preserve">. VicHealth. </w:t>
      </w:r>
      <w:hyperlink r:id="rId169" w:history="1">
        <w:r>
          <w:rPr>
            <w:rStyle w:val="Hyperlink"/>
          </w:rPr>
          <w:t>https://www.vichealth.vic.gov.au/sites/default/files/VicHealth-Attitudes-to-men-and-masculinity-report-July-2020.pdf</w:t>
        </w:r>
      </w:hyperlink>
    </w:p>
    <w:p w14:paraId="0C02F03B" w14:textId="33B16887" w:rsidR="007A64D0" w:rsidRDefault="007A64D0" w:rsidP="007A64D0">
      <w:pPr>
        <w:pStyle w:val="Reference"/>
      </w:pPr>
      <w:r>
        <w:t xml:space="preserve">Flood, M., Brown, C., Dembele, L., &amp; Mills, K. (2022). </w:t>
      </w:r>
      <w:r>
        <w:rPr>
          <w:rStyle w:val="Italic"/>
        </w:rPr>
        <w:t>Who uses domestic, family, and sexual violence, how, and why? The state of</w:t>
      </w:r>
      <w:r w:rsidR="00143A81">
        <w:rPr>
          <w:rStyle w:val="Italic"/>
        </w:rPr>
        <w:t> </w:t>
      </w:r>
      <w:r>
        <w:rPr>
          <w:rStyle w:val="Italic"/>
        </w:rPr>
        <w:t>knowledge report on violence perpetration</w:t>
      </w:r>
      <w:r>
        <w:t xml:space="preserve">. Queensland University of Technology. </w:t>
      </w:r>
      <w:hyperlink r:id="rId170" w:history="1">
        <w:r>
          <w:rPr>
            <w:rStyle w:val="Hyperlink"/>
          </w:rPr>
          <w:t>https://research.qut.edu.au/centre-for-justice/wp-content/uploads/sites/304/2023/01/Who-uses-domestic-family-and-sexual-violence-how-and-why-The-State-of-Knowledge-Report-on-Violence-Perpetration-2023.pdf</w:t>
        </w:r>
      </w:hyperlink>
    </w:p>
    <w:p w14:paraId="67C6CB04" w14:textId="77777777" w:rsidR="007A64D0" w:rsidRDefault="007A64D0" w:rsidP="007A64D0">
      <w:pPr>
        <w:pStyle w:val="Reference"/>
      </w:pPr>
      <w:r>
        <w:t xml:space="preserve">Flood, M., Dragiewicz, M., &amp; Pease, B. (2020). Resistance and backlash to gender equality. </w:t>
      </w:r>
      <w:r>
        <w:rPr>
          <w:rStyle w:val="Italic"/>
        </w:rPr>
        <w:t>Australian Journal of Social Issues</w:t>
      </w:r>
      <w:r>
        <w:t>,</w:t>
      </w:r>
      <w:r>
        <w:rPr>
          <w:rStyle w:val="Italic"/>
        </w:rPr>
        <w:t xml:space="preserve"> 56</w:t>
      </w:r>
      <w:r>
        <w:t xml:space="preserve">(3), 393–408. </w:t>
      </w:r>
      <w:hyperlink r:id="rId171" w:history="1">
        <w:r>
          <w:rPr>
            <w:rStyle w:val="Hyperlink"/>
          </w:rPr>
          <w:t>https://doi.org/10.1002/ajs4.137</w:t>
        </w:r>
      </w:hyperlink>
    </w:p>
    <w:p w14:paraId="50675283" w14:textId="08DCE872" w:rsidR="007A64D0" w:rsidRPr="00143A81" w:rsidRDefault="007A64D0" w:rsidP="007A64D0">
      <w:pPr>
        <w:pStyle w:val="Reference"/>
        <w:rPr>
          <w:spacing w:val="-4"/>
        </w:rPr>
      </w:pPr>
      <w:r w:rsidRPr="00143A81">
        <w:t xml:space="preserve">Flood, M., &amp; Fergus, L. (2008). </w:t>
      </w:r>
      <w:r w:rsidRPr="00143A81">
        <w:rPr>
          <w:rStyle w:val="Italic"/>
        </w:rPr>
        <w:t>An assault on our future: The impact of violence on young people and their relationships</w:t>
      </w:r>
      <w:r w:rsidRPr="00143A81">
        <w:t>. White</w:t>
      </w:r>
      <w:r w:rsidR="00143A81">
        <w:t> </w:t>
      </w:r>
      <w:r w:rsidRPr="00143A81">
        <w:t>Ribbon</w:t>
      </w:r>
      <w:r w:rsidR="00143A81">
        <w:t> </w:t>
      </w:r>
      <w:r w:rsidRPr="00143A81">
        <w:t xml:space="preserve">Foundation. </w:t>
      </w:r>
      <w:hyperlink r:id="rId172" w:history="1">
        <w:r w:rsidRPr="00143A81">
          <w:rPr>
            <w:rStyle w:val="Hyperlink"/>
            <w:spacing w:val="-4"/>
          </w:rPr>
          <w:t>https://eprints.qut.edu.au/103828/1/__qut.edu.au_Documents_StaffHome_staffgroupB%24_bozzetto_Documents_2017001017.pdf</w:t>
        </w:r>
      </w:hyperlink>
    </w:p>
    <w:p w14:paraId="26D5414F" w14:textId="06A262C3" w:rsidR="007A64D0" w:rsidRDefault="007A64D0" w:rsidP="007A64D0">
      <w:pPr>
        <w:pStyle w:val="Reference"/>
      </w:pPr>
      <w:r>
        <w:t xml:space="preserve">Foshee, V. A., Benefield, T. S., Reyes, H. L. M., Ennett, S. T., Faris, R., Chang, L.-Y., Hussong, A., &amp; Suchindran, C. M. (2013). The peer context and the development of the perpetration of adolescent dating violence. </w:t>
      </w:r>
      <w:r>
        <w:rPr>
          <w:rStyle w:val="Italic"/>
        </w:rPr>
        <w:t>Journal of Youth and Adolescence</w:t>
      </w:r>
      <w:r>
        <w:t>,</w:t>
      </w:r>
      <w:r>
        <w:rPr>
          <w:rStyle w:val="Italic"/>
        </w:rPr>
        <w:t xml:space="preserve"> 42</w:t>
      </w:r>
      <w:r>
        <w:t>(4), 471</w:t>
      </w:r>
      <w:r w:rsidR="00143A81">
        <w:noBreakHyphen/>
      </w:r>
      <w:r>
        <w:t xml:space="preserve">486. </w:t>
      </w:r>
      <w:hyperlink r:id="rId173" w:history="1">
        <w:r>
          <w:rPr>
            <w:rStyle w:val="Hyperlink"/>
          </w:rPr>
          <w:t>https://doi.org/10.1007%2Fs10964-013-9915-7</w:t>
        </w:r>
      </w:hyperlink>
      <w:r>
        <w:t xml:space="preserve"> </w:t>
      </w:r>
    </w:p>
    <w:p w14:paraId="5E3745BF" w14:textId="77777777" w:rsidR="007A64D0" w:rsidRDefault="007A64D0" w:rsidP="007A64D0">
      <w:pPr>
        <w:pStyle w:val="Reference"/>
      </w:pPr>
      <w:r>
        <w:t xml:space="preserve">Foshee, V. A., Reyes, H. L., Ennett, S. T., Suchindran, C., Mathias, J. P., Karriker-Jaffe, K. J., Bauman, K. E., &amp; Benefield, T. S. (2011). Risk and protective factors distinguishing profiles of adolescent peer and dating violence perpetration. </w:t>
      </w:r>
      <w:r>
        <w:rPr>
          <w:rStyle w:val="Italic"/>
        </w:rPr>
        <w:t>Journal of Adolescent Health</w:t>
      </w:r>
      <w:r>
        <w:t>,</w:t>
      </w:r>
      <w:r>
        <w:rPr>
          <w:rStyle w:val="Italic"/>
        </w:rPr>
        <w:t xml:space="preserve"> 48</w:t>
      </w:r>
      <w:r>
        <w:t xml:space="preserve">(4), 344–350. </w:t>
      </w:r>
      <w:hyperlink r:id="rId174" w:history="1">
        <w:r>
          <w:rPr>
            <w:rStyle w:val="Hyperlink"/>
          </w:rPr>
          <w:t>https://doi.org/10.1016/j.jadohealth.2010.07.030</w:t>
        </w:r>
      </w:hyperlink>
      <w:r>
        <w:t xml:space="preserve"> </w:t>
      </w:r>
    </w:p>
    <w:p w14:paraId="097B8642" w14:textId="77777777" w:rsidR="007A64D0" w:rsidRDefault="007A64D0" w:rsidP="007A64D0">
      <w:pPr>
        <w:pStyle w:val="Reference"/>
      </w:pPr>
      <w:r>
        <w:t xml:space="preserve">Foulkes, L., Leung, J. T., Fuhrmann, D., Knoll, L. J., &amp; Blakemore, S.-J. (2018). Age differences in the prosocial influence effect. </w:t>
      </w:r>
      <w:r>
        <w:rPr>
          <w:rStyle w:val="Italic"/>
        </w:rPr>
        <w:t>Developmental Science</w:t>
      </w:r>
      <w:r>
        <w:t>,</w:t>
      </w:r>
      <w:r>
        <w:rPr>
          <w:rStyle w:val="Italic"/>
        </w:rPr>
        <w:t xml:space="preserve"> 21</w:t>
      </w:r>
      <w:r>
        <w:t xml:space="preserve">(6), e12666. </w:t>
      </w:r>
      <w:hyperlink r:id="rId175" w:history="1">
        <w:r>
          <w:rPr>
            <w:rStyle w:val="Hyperlink"/>
          </w:rPr>
          <w:t>https://doi.org/10.1111/desc.12666</w:t>
        </w:r>
      </w:hyperlink>
      <w:r>
        <w:t xml:space="preserve"> </w:t>
      </w:r>
    </w:p>
    <w:p w14:paraId="62DA4B98" w14:textId="77777777" w:rsidR="007A64D0" w:rsidRDefault="007A64D0" w:rsidP="007A64D0">
      <w:pPr>
        <w:pStyle w:val="Reference"/>
      </w:pPr>
      <w:r>
        <w:t xml:space="preserve">Fox, J., &amp; Potocki, B. (2016). Lifetime video game consumption, interpersonal aggression, hostile sexism, and rape myth acceptance: A cultivation perspective. </w:t>
      </w:r>
      <w:r>
        <w:rPr>
          <w:rStyle w:val="Italic"/>
        </w:rPr>
        <w:t>Journal of Interpersonal Violence</w:t>
      </w:r>
      <w:r>
        <w:t>,</w:t>
      </w:r>
      <w:r>
        <w:rPr>
          <w:rStyle w:val="Italic"/>
        </w:rPr>
        <w:t xml:space="preserve"> 31</w:t>
      </w:r>
      <w:r>
        <w:t xml:space="preserve">(10), 1912–1931. </w:t>
      </w:r>
      <w:hyperlink r:id="rId176" w:history="1">
        <w:r>
          <w:rPr>
            <w:rStyle w:val="Hyperlink"/>
          </w:rPr>
          <w:t>https://doi.org/10.1177/0886260515570747</w:t>
        </w:r>
      </w:hyperlink>
      <w:r>
        <w:t xml:space="preserve"> </w:t>
      </w:r>
    </w:p>
    <w:p w14:paraId="6B92FA35" w14:textId="77777777" w:rsidR="007A64D0" w:rsidRDefault="007A64D0" w:rsidP="007A64D0">
      <w:pPr>
        <w:pStyle w:val="Reference"/>
      </w:pPr>
      <w:r>
        <w:t xml:space="preserve">Frawley, P., &amp; Wilson, N. J. (2016). Young people with intellectual disability talking about sexuality education and information. </w:t>
      </w:r>
      <w:r>
        <w:rPr>
          <w:rStyle w:val="Italic"/>
        </w:rPr>
        <w:t>Sexuality and Disability</w:t>
      </w:r>
      <w:r>
        <w:t>,</w:t>
      </w:r>
      <w:r>
        <w:rPr>
          <w:rStyle w:val="Italic"/>
        </w:rPr>
        <w:t xml:space="preserve"> 34</w:t>
      </w:r>
      <w:r>
        <w:t xml:space="preserve">(4), 469–484. </w:t>
      </w:r>
      <w:hyperlink r:id="rId177" w:history="1">
        <w:r>
          <w:rPr>
            <w:rStyle w:val="Hyperlink"/>
          </w:rPr>
          <w:t>https://doi.org/10.1007/s11195-016-9460-x</w:t>
        </w:r>
      </w:hyperlink>
      <w:r>
        <w:t xml:space="preserve"> </w:t>
      </w:r>
    </w:p>
    <w:p w14:paraId="0095A3FE" w14:textId="77777777" w:rsidR="007A64D0" w:rsidRDefault="007A64D0" w:rsidP="007A64D0">
      <w:pPr>
        <w:pStyle w:val="Reference"/>
      </w:pPr>
      <w:r>
        <w:t xml:space="preserve">Gadd, D., Farrall, S., Dallimore, D., &amp; Lombard, N. (2003). Equal victims or the usual suspects? Making sense of domestic abuse against men. </w:t>
      </w:r>
      <w:r>
        <w:rPr>
          <w:rStyle w:val="Italic"/>
        </w:rPr>
        <w:t>International Review of Victimology</w:t>
      </w:r>
      <w:r>
        <w:t>,</w:t>
      </w:r>
      <w:r>
        <w:rPr>
          <w:rStyle w:val="Italic"/>
        </w:rPr>
        <w:t xml:space="preserve"> 10</w:t>
      </w:r>
      <w:r>
        <w:t xml:space="preserve">(2), 95–116. </w:t>
      </w:r>
      <w:hyperlink r:id="rId178" w:history="1">
        <w:r>
          <w:rPr>
            <w:rStyle w:val="Hyperlink"/>
          </w:rPr>
          <w:t>https://doi.org/10.1177/026975800301000201</w:t>
        </w:r>
      </w:hyperlink>
      <w:r>
        <w:t xml:space="preserve"> </w:t>
      </w:r>
    </w:p>
    <w:p w14:paraId="07C0E792" w14:textId="77777777" w:rsidR="007A64D0" w:rsidRDefault="007A64D0" w:rsidP="007A64D0">
      <w:pPr>
        <w:pStyle w:val="Reference"/>
      </w:pPr>
      <w:r>
        <w:t xml:space="preserve">Gallagher, K. E., &amp; Parrott, D. J. (2011). What accounts for men’s hostile attitudes toward women? The influence of hegemonic male role norms and masculine gender role stress. </w:t>
      </w:r>
      <w:r>
        <w:rPr>
          <w:rStyle w:val="Emphasis"/>
        </w:rPr>
        <w:t>Violence Against Women, 17</w:t>
      </w:r>
      <w:r>
        <w:t xml:space="preserve">(5), 568–583. </w:t>
      </w:r>
      <w:hyperlink r:id="rId179" w:history="1">
        <w:r>
          <w:rPr>
            <w:rStyle w:val="Hyperlink"/>
          </w:rPr>
          <w:t>https://doi.org/10.1177/1077801211407296</w:t>
        </w:r>
      </w:hyperlink>
    </w:p>
    <w:p w14:paraId="0E808A89" w14:textId="077E9494" w:rsidR="007A64D0" w:rsidRDefault="007A64D0" w:rsidP="007A64D0">
      <w:pPr>
        <w:pStyle w:val="Reference"/>
      </w:pPr>
      <w:r>
        <w:t>García-Moreno, C., Zimmerman, C., Morris-Gehring, A., Heise, L., Amin, A., Abrahams, N., Montoya, O., Bhate-Deosthali, P.,</w:t>
      </w:r>
      <w:r w:rsidR="00143A81">
        <w:t> </w:t>
      </w:r>
      <w:r>
        <w:t xml:space="preserve">Kilonzo, N., &amp; Watts, C. (2015). Addressing violence against women: A call to action. </w:t>
      </w:r>
      <w:r>
        <w:rPr>
          <w:rStyle w:val="Italic"/>
        </w:rPr>
        <w:t>The Lancet</w:t>
      </w:r>
      <w:r>
        <w:t>,</w:t>
      </w:r>
      <w:r>
        <w:rPr>
          <w:rStyle w:val="Italic"/>
        </w:rPr>
        <w:t xml:space="preserve"> 385</w:t>
      </w:r>
      <w:r>
        <w:t xml:space="preserve">(9978), 1685–1695. </w:t>
      </w:r>
      <w:hyperlink r:id="rId180" w:history="1">
        <w:r>
          <w:rPr>
            <w:rStyle w:val="Hyperlink"/>
          </w:rPr>
          <w:t>https://doi.org/10.1016/S0140-6736(14)61830-4</w:t>
        </w:r>
      </w:hyperlink>
      <w:r>
        <w:t xml:space="preserve"> </w:t>
      </w:r>
    </w:p>
    <w:p w14:paraId="744F551D" w14:textId="77777777" w:rsidR="007A64D0" w:rsidRDefault="007A64D0" w:rsidP="007A64D0">
      <w:pPr>
        <w:pStyle w:val="Reference"/>
      </w:pPr>
      <w:r>
        <w:t>Gentina, E., &amp; Parry, E. (2021). Generation Z: When it comes to behaviour, not all digital natives look alike.</w:t>
      </w:r>
      <w:r>
        <w:rPr>
          <w:rStyle w:val="Italic"/>
        </w:rPr>
        <w:t xml:space="preserve"> The Conversation</w:t>
      </w:r>
      <w:r>
        <w:t xml:space="preserve">. </w:t>
      </w:r>
      <w:hyperlink r:id="rId181" w:history="1">
        <w:r>
          <w:rPr>
            <w:rStyle w:val="Hyperlink"/>
          </w:rPr>
          <w:t>https://theconversation.com/generation-z-when-it-comes-to-behaviour-not-all-digital-natives-look-alike-155694</w:t>
        </w:r>
      </w:hyperlink>
    </w:p>
    <w:p w14:paraId="22812998" w14:textId="77777777" w:rsidR="007A64D0" w:rsidRPr="00E215BB" w:rsidRDefault="007A64D0" w:rsidP="007A64D0">
      <w:pPr>
        <w:pStyle w:val="Reference"/>
        <w:rPr>
          <w:lang w:val="it-IT"/>
        </w:rPr>
      </w:pPr>
      <w:r>
        <w:t xml:space="preserve">Gosangi, B., Park, H., Thomas, R., Gujrathi, R., Bay, C. P., Raja, A. S., Seltzer, S. E., Balcom, M. C., McDonald, M. L., Orgill, D. P., Harris, M. B., Boland, G. W., Rexrode, K., &amp; Khurana, B. (2020). Exacerbation of physical intimate partner violence during COVID-19 lockdown. </w:t>
      </w:r>
      <w:r>
        <w:rPr>
          <w:rStyle w:val="Italic"/>
        </w:rPr>
        <w:t>Radiology</w:t>
      </w:r>
      <w:r>
        <w:t>,</w:t>
      </w:r>
      <w:r>
        <w:rPr>
          <w:rStyle w:val="Italic"/>
        </w:rPr>
        <w:t xml:space="preserve"> 298</w:t>
      </w:r>
      <w:r>
        <w:t xml:space="preserve">(1), E38–E45. </w:t>
      </w:r>
      <w:hyperlink r:id="rId182" w:history="1">
        <w:r w:rsidRPr="00E215BB">
          <w:rPr>
            <w:rStyle w:val="Hyperlink"/>
            <w:lang w:val="it-IT"/>
          </w:rPr>
          <w:t>https://doi.org/10.1148/radiol.2020202866</w:t>
        </w:r>
      </w:hyperlink>
      <w:r w:rsidRPr="00E215BB">
        <w:rPr>
          <w:lang w:val="it-IT"/>
        </w:rPr>
        <w:t xml:space="preserve"> </w:t>
      </w:r>
    </w:p>
    <w:p w14:paraId="5025653D" w14:textId="6677A590" w:rsidR="007A64D0" w:rsidRDefault="007A64D0" w:rsidP="007A64D0">
      <w:pPr>
        <w:pStyle w:val="Reference"/>
      </w:pPr>
      <w:r>
        <w:rPr>
          <w:lang w:val="it-IT"/>
        </w:rPr>
        <w:t xml:space="preserve">Gracia, E., Lila, M., &amp; Santirso, F. A. (2020). </w:t>
      </w:r>
      <w:r>
        <w:t>Attitudes toward intimate partner violence against women in the European Union: A</w:t>
      </w:r>
      <w:r w:rsidR="00143A81">
        <w:t> </w:t>
      </w:r>
      <w:r>
        <w:t xml:space="preserve">systematic review. </w:t>
      </w:r>
      <w:r>
        <w:rPr>
          <w:rStyle w:val="Italic"/>
        </w:rPr>
        <w:t>European Psychologist</w:t>
      </w:r>
      <w:r>
        <w:t>,</w:t>
      </w:r>
      <w:r>
        <w:rPr>
          <w:rStyle w:val="Italic"/>
        </w:rPr>
        <w:t xml:space="preserve"> 25</w:t>
      </w:r>
      <w:r>
        <w:t xml:space="preserve">(2), 104–121. </w:t>
      </w:r>
      <w:hyperlink r:id="rId183" w:history="1">
        <w:r>
          <w:rPr>
            <w:rStyle w:val="Hyperlink"/>
          </w:rPr>
          <w:t>https://doi.org/10.1027/1016-9040/a000392</w:t>
        </w:r>
      </w:hyperlink>
      <w:r>
        <w:t xml:space="preserve"> </w:t>
      </w:r>
    </w:p>
    <w:p w14:paraId="45A9B7C4" w14:textId="77777777" w:rsidR="007A64D0" w:rsidRDefault="007A64D0" w:rsidP="007A64D0">
      <w:pPr>
        <w:pStyle w:val="Reference"/>
      </w:pPr>
      <w:r>
        <w:t xml:space="preserve">Graham, K., Bernards, S., Laslett, A.-M., Gmel, G., Kuntsche, S., Wilsnack, S., Bloomfield, K., Grittner, U., Taft, A., Wilson, I., &amp; Wells, S. (2018). Children, parental alcohol consumption, and intimate partner violence: A multicountry analysis by perpetration versus victimization and sex. </w:t>
      </w:r>
      <w:r>
        <w:rPr>
          <w:rStyle w:val="Emphasis"/>
        </w:rPr>
        <w:t>Journal of Interpersonal Violence, 36</w:t>
      </w:r>
      <w:r>
        <w:t xml:space="preserve">(11–12), 5608–5634. </w:t>
      </w:r>
      <w:hyperlink r:id="rId184" w:history="1">
        <w:r>
          <w:rPr>
            <w:rStyle w:val="Hyperlink"/>
          </w:rPr>
          <w:t>https://doi.org/10.1177/0886260518804182</w:t>
        </w:r>
      </w:hyperlink>
    </w:p>
    <w:p w14:paraId="1AFBB58B" w14:textId="7A6761C5" w:rsidR="007A64D0" w:rsidRDefault="007A64D0" w:rsidP="007A64D0">
      <w:pPr>
        <w:pStyle w:val="Reference"/>
        <w:rPr>
          <w:rStyle w:val="Hyperlink"/>
        </w:rPr>
      </w:pPr>
      <w:r>
        <w:lastRenderedPageBreak/>
        <w:t>Ha, T., Otten, R., McGill, S., &amp; Dishion, T. J. (2019). The family and peer origins of coercion within adult romantic relationships: A</w:t>
      </w:r>
      <w:r w:rsidR="00143A81">
        <w:t> </w:t>
      </w:r>
      <w:r>
        <w:t xml:space="preserve">longitudinal multimethod study across relationships contexts. </w:t>
      </w:r>
      <w:r>
        <w:rPr>
          <w:rStyle w:val="Emphasis"/>
        </w:rPr>
        <w:t>Developmental Psychology, 55</w:t>
      </w:r>
      <w:r>
        <w:t xml:space="preserve">(1), 207–215. </w:t>
      </w:r>
      <w:hyperlink r:id="rId185" w:history="1">
        <w:r>
          <w:rPr>
            <w:rStyle w:val="Hyperlink"/>
          </w:rPr>
          <w:t>https://doi.org/10.1037/dev0000630</w:t>
        </w:r>
      </w:hyperlink>
    </w:p>
    <w:p w14:paraId="45705915" w14:textId="77777777" w:rsidR="007A64D0" w:rsidRDefault="007A64D0" w:rsidP="007A64D0">
      <w:pPr>
        <w:pStyle w:val="Reference"/>
        <w:rPr>
          <w:rStyle w:val="Hyperlink"/>
        </w:rPr>
      </w:pPr>
      <w:r>
        <w:t xml:space="preserve">Hamai, T. A., Felitti, V. J., Geffner, R., White, J. W., Hamberger, L. K., Rosenbaum, A., Vaughan-Eden, V., &amp; Vieth, V. (2021). Adverse childhood experiences: Past, present, and future. In Geffner, R., White, J.W., Hamberger, L.K., Rosenbaum, A., Vaughan-Eden, V., &amp; Vieth, V.I. (Eds.), </w:t>
      </w:r>
      <w:r>
        <w:rPr>
          <w:rStyle w:val="Italic"/>
        </w:rPr>
        <w:t>Handbook of interpersonal violence and abuse across the lifespan</w:t>
      </w:r>
      <w:r>
        <w:t xml:space="preserve">. Springer, Cham. </w:t>
      </w:r>
      <w:hyperlink r:id="rId186" w:history="1">
        <w:r>
          <w:rPr>
            <w:rStyle w:val="Hyperlink"/>
          </w:rPr>
          <w:t>https://doi.org/10.1007/978-3-319-89999-2_305</w:t>
        </w:r>
      </w:hyperlink>
    </w:p>
    <w:p w14:paraId="02164E54" w14:textId="77777777" w:rsidR="007A64D0" w:rsidRDefault="007A64D0" w:rsidP="007A64D0">
      <w:pPr>
        <w:pStyle w:val="Reference"/>
      </w:pPr>
      <w:r>
        <w:t xml:space="preserve">Hardesty, J. L., &amp; Ogolsky, B. G. (2020). A socioecological perspective on intimate partner violence research: A decade in review. </w:t>
      </w:r>
      <w:r>
        <w:rPr>
          <w:rStyle w:val="Emphasis"/>
        </w:rPr>
        <w:t>Journal of Marriage and Family, 82</w:t>
      </w:r>
      <w:r>
        <w:t xml:space="preserve">(1), 454–477. </w:t>
      </w:r>
      <w:hyperlink r:id="rId187" w:history="1">
        <w:r>
          <w:rPr>
            <w:rStyle w:val="Hyperlink"/>
          </w:rPr>
          <w:t>https://doi.org/10.1111/jomf.12652</w:t>
        </w:r>
      </w:hyperlink>
      <w:r>
        <w:t xml:space="preserve"> </w:t>
      </w:r>
    </w:p>
    <w:p w14:paraId="2CC79BDF" w14:textId="77777777" w:rsidR="007A64D0" w:rsidRDefault="007A64D0" w:rsidP="007A64D0">
      <w:pPr>
        <w:pStyle w:val="Reference"/>
      </w:pPr>
      <w:r>
        <w:t xml:space="preserve">Harmer, E., &amp; Lewis, S. (2022). Disbelief and counter-voices: A thematic analysis of online reader comments about sexual harassment and sexual violence against women. </w:t>
      </w:r>
      <w:r>
        <w:rPr>
          <w:rStyle w:val="Italic"/>
        </w:rPr>
        <w:t>Information Communication and Society</w:t>
      </w:r>
      <w:r>
        <w:t>,</w:t>
      </w:r>
      <w:r>
        <w:rPr>
          <w:rStyle w:val="Italic"/>
        </w:rPr>
        <w:t xml:space="preserve"> 25</w:t>
      </w:r>
      <w:r>
        <w:t xml:space="preserve">(2), 199–216. </w:t>
      </w:r>
      <w:hyperlink r:id="rId188" w:history="1">
        <w:r>
          <w:rPr>
            <w:rStyle w:val="Hyperlink"/>
          </w:rPr>
          <w:t>https://doi.org/10.1080/1369118X.2020.1770832</w:t>
        </w:r>
      </w:hyperlink>
      <w:r>
        <w:t xml:space="preserve"> </w:t>
      </w:r>
    </w:p>
    <w:p w14:paraId="00B38C11" w14:textId="1761E309" w:rsidR="007A64D0" w:rsidRPr="00143A81" w:rsidRDefault="007A64D0" w:rsidP="007A64D0">
      <w:pPr>
        <w:pStyle w:val="Reference"/>
        <w:rPr>
          <w:spacing w:val="-2"/>
        </w:rPr>
      </w:pPr>
      <w:r w:rsidRPr="00143A81">
        <w:rPr>
          <w:spacing w:val="-2"/>
        </w:rPr>
        <w:t>Haslam, D., Mathews, B., Pacella, R., Scott, J. G., Finkelhor, D., Higgins, D. J., Meinck, F., Erskine, H. E., Thomas, H. J., Lawrence, D., &amp;</w:t>
      </w:r>
      <w:r w:rsidR="00143A81" w:rsidRPr="00143A81">
        <w:rPr>
          <w:spacing w:val="-2"/>
        </w:rPr>
        <w:t> </w:t>
      </w:r>
      <w:r w:rsidRPr="00143A81">
        <w:rPr>
          <w:spacing w:val="-2"/>
        </w:rPr>
        <w:t xml:space="preserve">Malacova, E. (2023). </w:t>
      </w:r>
      <w:r w:rsidRPr="00143A81">
        <w:rPr>
          <w:rStyle w:val="Italic"/>
          <w:spacing w:val="-2"/>
        </w:rPr>
        <w:t>The prevalence and impact of child maltreatment in Australia: Findings from the Australian Child Maltreatment Study.</w:t>
      </w:r>
      <w:r w:rsidRPr="00143A81">
        <w:rPr>
          <w:spacing w:val="-2"/>
        </w:rPr>
        <w:t xml:space="preserve"> (Brief report.) </w:t>
      </w:r>
      <w:hyperlink r:id="rId189" w:history="1">
        <w:r w:rsidRPr="00143A81">
          <w:rPr>
            <w:rStyle w:val="Hyperlink"/>
            <w:spacing w:val="-2"/>
          </w:rPr>
          <w:t>http://www.acms.au/wp-content/uploads/2023/04/3846.1_ACMS_A4Report_C1_Digital-Near-final.pdf</w:t>
        </w:r>
      </w:hyperlink>
      <w:r w:rsidRPr="00143A81">
        <w:rPr>
          <w:spacing w:val="-2"/>
        </w:rPr>
        <w:t xml:space="preserve"> </w:t>
      </w:r>
    </w:p>
    <w:p w14:paraId="03110853" w14:textId="0555836D" w:rsidR="007A64D0" w:rsidRDefault="007A64D0" w:rsidP="007A64D0">
      <w:pPr>
        <w:pStyle w:val="Reference"/>
      </w:pPr>
      <w:r>
        <w:t xml:space="preserve">Hegarty, K. L., McKenzie, M., McLindon, E., Addison, M., Valpied, J., Hameed, M., Kyei-Onanjiri, M., Baloch, S., Diemer, K., &amp; Tarzia, L. (2022). </w:t>
      </w:r>
      <w:r>
        <w:rPr>
          <w:rStyle w:val="Italic"/>
        </w:rPr>
        <w:t>“I just felt like I was running around in a circle”: Listening to the voices of victims and perpetrators to transform responses to</w:t>
      </w:r>
      <w:r w:rsidR="00143A81">
        <w:rPr>
          <w:rStyle w:val="Italic"/>
        </w:rPr>
        <w:t> </w:t>
      </w:r>
      <w:r>
        <w:rPr>
          <w:rStyle w:val="Italic"/>
        </w:rPr>
        <w:t>intimate partner violence.</w:t>
      </w:r>
      <w:r>
        <w:t xml:space="preserve"> (Research report, 22/2022). ANROWS. </w:t>
      </w:r>
      <w:hyperlink r:id="rId190" w:history="1">
        <w:r w:rsidR="00143A81" w:rsidRPr="00914FF5">
          <w:rPr>
            <w:rStyle w:val="Hyperlink"/>
          </w:rPr>
          <w:t>https://www.anrows.org.au/publication/i-just-felt-like-i-was-running-around-in-a-circle-listening-to-the-voices-of-victims-and-perpetrators-to-transform-responses-to-intimate-partner</w:t>
        </w:r>
        <w:r w:rsidR="00143A81" w:rsidRPr="00914FF5">
          <w:rPr>
            <w:rStyle w:val="Hyperlink"/>
          </w:rPr>
          <w:noBreakHyphen/>
          <w:t>violence/</w:t>
        </w:r>
      </w:hyperlink>
    </w:p>
    <w:p w14:paraId="3F7908B5" w14:textId="77777777" w:rsidR="007A64D0" w:rsidRDefault="007A64D0" w:rsidP="007A64D0">
      <w:pPr>
        <w:pStyle w:val="Reference"/>
      </w:pPr>
      <w:r>
        <w:t xml:space="preserve">Heise, L. L. (1998). Violence against women: An integrated, ecological framework. </w:t>
      </w:r>
      <w:r>
        <w:rPr>
          <w:rStyle w:val="Italic"/>
        </w:rPr>
        <w:t>Violence Against Women</w:t>
      </w:r>
      <w:r>
        <w:t>,</w:t>
      </w:r>
      <w:r>
        <w:rPr>
          <w:rStyle w:val="Italic"/>
        </w:rPr>
        <w:t xml:space="preserve"> 4</w:t>
      </w:r>
      <w:r>
        <w:t xml:space="preserve">(3), 262–290. </w:t>
      </w:r>
      <w:hyperlink r:id="rId191" w:history="1">
        <w:r>
          <w:rPr>
            <w:rStyle w:val="Hyperlink"/>
          </w:rPr>
          <w:t>https://doi.org/10.1177/1077801298004003002</w:t>
        </w:r>
      </w:hyperlink>
      <w:r>
        <w:t xml:space="preserve"> </w:t>
      </w:r>
    </w:p>
    <w:p w14:paraId="214FE1B5" w14:textId="77777777" w:rsidR="007A64D0" w:rsidRDefault="007A64D0" w:rsidP="007A64D0">
      <w:pPr>
        <w:pStyle w:val="Reference"/>
        <w:rPr>
          <w:color w:val="2161AC"/>
          <w:u w:val="thick" w:color="2161AC"/>
        </w:rPr>
      </w:pPr>
      <w:r>
        <w:t xml:space="preserve">Heise, L. (2011). </w:t>
      </w:r>
      <w:r w:rsidRPr="0013577A">
        <w:rPr>
          <w:i/>
          <w:iCs/>
        </w:rPr>
        <w:t>What works to prevent partner violence? An evidence overview</w:t>
      </w:r>
      <w:r>
        <w:t xml:space="preserve">. Centre for Gender Violence and Health and London School of Hygiene and Tropical Medicine. </w:t>
      </w:r>
      <w:hyperlink r:id="rId192" w:history="1">
        <w:r>
          <w:rPr>
            <w:rStyle w:val="Hyperlink"/>
          </w:rPr>
          <w:t>https://www.oecd.org/derec/49872444.pdf</w:t>
        </w:r>
      </w:hyperlink>
    </w:p>
    <w:p w14:paraId="10928EBC" w14:textId="77777777" w:rsidR="007A64D0" w:rsidRDefault="007A64D0" w:rsidP="007A64D0">
      <w:pPr>
        <w:pStyle w:val="Reference"/>
      </w:pPr>
      <w:r>
        <w:t xml:space="preserve">Henry, J. B., Julion, W. A., Bounds, D. T., &amp; Sumo, J. (2020). Fatherhood matters: An integrative review of fatherhood intervention research. </w:t>
      </w:r>
      <w:r>
        <w:rPr>
          <w:rStyle w:val="Italic"/>
        </w:rPr>
        <w:t>The Journal of School Nursing</w:t>
      </w:r>
      <w:r>
        <w:t>,</w:t>
      </w:r>
      <w:r>
        <w:rPr>
          <w:rStyle w:val="Italic"/>
        </w:rPr>
        <w:t xml:space="preserve"> 36</w:t>
      </w:r>
      <w:r>
        <w:t xml:space="preserve">(1), 19–32. </w:t>
      </w:r>
      <w:hyperlink r:id="rId193" w:history="1">
        <w:r>
          <w:rPr>
            <w:rStyle w:val="Hyperlink"/>
          </w:rPr>
          <w:t>https://doi.org/10.1177/1059840519873380</w:t>
        </w:r>
      </w:hyperlink>
      <w:r>
        <w:t xml:space="preserve"> </w:t>
      </w:r>
    </w:p>
    <w:p w14:paraId="617A7BB1" w14:textId="77777777" w:rsidR="007A64D0" w:rsidRDefault="007A64D0" w:rsidP="007A64D0">
      <w:pPr>
        <w:pStyle w:val="Reference"/>
      </w:pPr>
      <w:r>
        <w:t xml:space="preserve">Heyder, A., van Hek, M., &amp; Mieke, V. H. (2021). When gender stereotypes get male adolescents into trouble: A longitudinal study on gender conformity pressure as a predictor of school misconduct. </w:t>
      </w:r>
      <w:r>
        <w:rPr>
          <w:rStyle w:val="Italic"/>
        </w:rPr>
        <w:t>Sex Roles</w:t>
      </w:r>
      <w:r>
        <w:t>,</w:t>
      </w:r>
      <w:r>
        <w:rPr>
          <w:rStyle w:val="Italic"/>
        </w:rPr>
        <w:t xml:space="preserve"> 84</w:t>
      </w:r>
      <w:r>
        <w:t xml:space="preserve">(1–2), 61–75. </w:t>
      </w:r>
      <w:hyperlink r:id="rId194" w:history="1">
        <w:r>
          <w:rPr>
            <w:rStyle w:val="Hyperlink"/>
          </w:rPr>
          <w:t>https://doi.org/10.1007/s11199-020-01147-9</w:t>
        </w:r>
      </w:hyperlink>
      <w:r>
        <w:t xml:space="preserve"> </w:t>
      </w:r>
    </w:p>
    <w:p w14:paraId="32E81463" w14:textId="335F29FC" w:rsidR="007A64D0" w:rsidRDefault="007A64D0" w:rsidP="007A64D0">
      <w:pPr>
        <w:pStyle w:val="Reference"/>
        <w:rPr>
          <w:rStyle w:val="Hyperlink"/>
        </w:rPr>
      </w:pPr>
      <w:r>
        <w:t xml:space="preserve">Heywood, W., Myers, P., Powell, A., Meikle, G., &amp; Nguyen, D. (2022). </w:t>
      </w:r>
      <w:r>
        <w:rPr>
          <w:rStyle w:val="Italic"/>
        </w:rPr>
        <w:t>National Student Safety Survey: Report on the prevalence of</w:t>
      </w:r>
      <w:r w:rsidR="00143A81">
        <w:rPr>
          <w:rStyle w:val="Italic"/>
        </w:rPr>
        <w:t> </w:t>
      </w:r>
      <w:r>
        <w:rPr>
          <w:rStyle w:val="Italic"/>
        </w:rPr>
        <w:t>sexual harassment and sexual assault among university students in 2021</w:t>
      </w:r>
      <w:r>
        <w:t xml:space="preserve">. The Social Research Centre. </w:t>
      </w:r>
      <w:hyperlink r:id="rId195" w:history="1">
        <w:r>
          <w:rPr>
            <w:rStyle w:val="Hyperlink"/>
          </w:rPr>
          <w:t>https://assets.website-files.NationalReport.pdf</w:t>
        </w:r>
      </w:hyperlink>
    </w:p>
    <w:p w14:paraId="0C62E0B3" w14:textId="2E447C14" w:rsidR="007A64D0" w:rsidRDefault="007A64D0" w:rsidP="007A64D0">
      <w:pPr>
        <w:pStyle w:val="Reference"/>
        <w:rPr>
          <w:rStyle w:val="Hyperlink"/>
        </w:rPr>
      </w:pPr>
      <w:r>
        <w:t xml:space="preserve">Hideg, I., &amp; Shen, W. (2019). Why still so few? A theoretical model of the role of benevolent sexism and career support in the continued underrepresentation of women in leadership positions. </w:t>
      </w:r>
      <w:r>
        <w:rPr>
          <w:rStyle w:val="Emphasis"/>
        </w:rPr>
        <w:t>Journal of Leadership &amp; Organizational Studies, 26</w:t>
      </w:r>
      <w:r>
        <w:t>(3), 287</w:t>
      </w:r>
      <w:r w:rsidR="00143A81">
        <w:noBreakHyphen/>
      </w:r>
      <w:r>
        <w:t xml:space="preserve">303. </w:t>
      </w:r>
      <w:hyperlink r:id="rId196" w:history="1">
        <w:r>
          <w:rPr>
            <w:rStyle w:val="Hyperlink"/>
          </w:rPr>
          <w:t>https://doi.org/10.1177/1548051819849006</w:t>
        </w:r>
      </w:hyperlink>
    </w:p>
    <w:p w14:paraId="4852F87C" w14:textId="77777777" w:rsidR="007A64D0" w:rsidRDefault="007A64D0" w:rsidP="007A64D0">
      <w:pPr>
        <w:pStyle w:val="Reference"/>
      </w:pPr>
      <w:r>
        <w:t xml:space="preserve">Hindin, M. J. (2014). Adolescent childbearing and women’s attitudes towards wife beating in 25 Sub-Saharan African countries. </w:t>
      </w:r>
      <w:r>
        <w:rPr>
          <w:rStyle w:val="Italic"/>
        </w:rPr>
        <w:t>Maternal and Child Health Journal</w:t>
      </w:r>
      <w:r>
        <w:t>,</w:t>
      </w:r>
      <w:r>
        <w:rPr>
          <w:rStyle w:val="Italic"/>
        </w:rPr>
        <w:t xml:space="preserve"> 18</w:t>
      </w:r>
      <w:r>
        <w:t xml:space="preserve">(6), 1488–1495. </w:t>
      </w:r>
      <w:hyperlink r:id="rId197" w:history="1">
        <w:r>
          <w:rPr>
            <w:rStyle w:val="Hyperlink"/>
          </w:rPr>
          <w:t>https://doi.org/10.1007/s10995-013-1389-4</w:t>
        </w:r>
      </w:hyperlink>
      <w:r>
        <w:t xml:space="preserve"> </w:t>
      </w:r>
    </w:p>
    <w:p w14:paraId="32139580" w14:textId="2DB99841" w:rsidR="007A64D0" w:rsidRDefault="007A64D0" w:rsidP="007A64D0">
      <w:pPr>
        <w:pStyle w:val="Reference"/>
      </w:pPr>
      <w:r>
        <w:t xml:space="preserve">Hlavka, H. R. (2014). Normalizing sexual violence: Young women account for harassment and abuse. </w:t>
      </w:r>
      <w:r>
        <w:rPr>
          <w:rStyle w:val="Emphasis"/>
        </w:rPr>
        <w:t>Gender &amp; Society, 28</w:t>
      </w:r>
      <w:r>
        <w:t>(3), 337</w:t>
      </w:r>
      <w:r w:rsidR="00143A81">
        <w:noBreakHyphen/>
      </w:r>
      <w:r>
        <w:t xml:space="preserve">358. </w:t>
      </w:r>
      <w:hyperlink r:id="rId198" w:history="1">
        <w:r>
          <w:rPr>
            <w:rStyle w:val="Hyperlink"/>
          </w:rPr>
          <w:t>https://doi.org/10.1177/0891243214526468</w:t>
        </w:r>
      </w:hyperlink>
    </w:p>
    <w:p w14:paraId="345B0AEB" w14:textId="77777777" w:rsidR="007A64D0" w:rsidRDefault="007A64D0" w:rsidP="007A64D0">
      <w:pPr>
        <w:pStyle w:val="Reference"/>
      </w:pPr>
      <w:r>
        <w:t>Hourani, J., Block, K., Philimore, J., Bradby, H., Ozcurumez, S., Goodson, L., &amp; Vaughan, C. (2021). Structural and symbolic violence exacerbates the risks and consequences of sexual and gender-based violence for forced migrant women.</w:t>
      </w:r>
      <w:r>
        <w:rPr>
          <w:rStyle w:val="Italic"/>
        </w:rPr>
        <w:t xml:space="preserve"> Frontiers in Human Dynamics, 3</w:t>
      </w:r>
      <w:r>
        <w:t xml:space="preserve">, Article 769611. </w:t>
      </w:r>
      <w:hyperlink r:id="rId199" w:history="1">
        <w:r>
          <w:rPr>
            <w:rStyle w:val="Hyperlink"/>
          </w:rPr>
          <w:t>https://doi.org/10.3389/fhumd.2021.769611</w:t>
        </w:r>
      </w:hyperlink>
      <w:r>
        <w:t xml:space="preserve"> </w:t>
      </w:r>
    </w:p>
    <w:p w14:paraId="23BEB4C9" w14:textId="1EDE9BA3" w:rsidR="007A64D0" w:rsidRDefault="007A64D0" w:rsidP="007A64D0">
      <w:pPr>
        <w:pStyle w:val="Reference"/>
      </w:pPr>
      <w:r>
        <w:t>Hulley, J., Bailey, L., Kirkman, G., Gibbs, G., Gomersall, T., Latif, A., &amp; Jones, A. (2023). Intimate partner violence and barriers to</w:t>
      </w:r>
      <w:r w:rsidR="00143A81">
        <w:t> </w:t>
      </w:r>
      <w:r>
        <w:t xml:space="preserve">help-seeking among Black, Asian, minority ethnic and immigrant women: A qualitative metasynthesis of global research. </w:t>
      </w:r>
      <w:r>
        <w:rPr>
          <w:rStyle w:val="Italic"/>
        </w:rPr>
        <w:t>Trauma, Violence &amp; Abuse</w:t>
      </w:r>
      <w:r>
        <w:t>,</w:t>
      </w:r>
      <w:r>
        <w:rPr>
          <w:rStyle w:val="Italic"/>
        </w:rPr>
        <w:t xml:space="preserve"> 24</w:t>
      </w:r>
      <w:r>
        <w:t xml:space="preserve">(2), 1001–1015. </w:t>
      </w:r>
      <w:hyperlink r:id="rId200" w:history="1">
        <w:r>
          <w:rPr>
            <w:rStyle w:val="Hyperlink"/>
          </w:rPr>
          <w:t>https://doi.org/10.1177/15248380211050590</w:t>
        </w:r>
      </w:hyperlink>
      <w:r>
        <w:t xml:space="preserve"> </w:t>
      </w:r>
    </w:p>
    <w:p w14:paraId="662A4D92" w14:textId="77777777" w:rsidR="007A64D0" w:rsidRDefault="007A64D0" w:rsidP="007A64D0">
      <w:pPr>
        <w:pStyle w:val="Reference"/>
      </w:pPr>
      <w:r>
        <w:t xml:space="preserve">Hulme, S., Morgan, A., &amp; Boxall, H. (2019). </w:t>
      </w:r>
      <w:r>
        <w:rPr>
          <w:rStyle w:val="Italic"/>
        </w:rPr>
        <w:t>Domestic violence offenders, prior offending and reoffending in Australia.</w:t>
      </w:r>
      <w:r>
        <w:t xml:space="preserve"> (Trends &amp; issues in crime and criminal justice no. 580). Australian Institute of Criminology. </w:t>
      </w:r>
      <w:hyperlink r:id="rId201" w:history="1">
        <w:r>
          <w:rPr>
            <w:rStyle w:val="Hyperlink"/>
          </w:rPr>
          <w:t>https://doi.org/10.52922/ti04077</w:t>
        </w:r>
      </w:hyperlink>
    </w:p>
    <w:p w14:paraId="7FEECFF9" w14:textId="77777777" w:rsidR="007A64D0" w:rsidRDefault="007A64D0" w:rsidP="007A64D0">
      <w:pPr>
        <w:pStyle w:val="Reference"/>
      </w:pPr>
      <w:r>
        <w:t xml:space="preserve">Islam, M. S., Sujan, M. S. H., Tasnim, R., Ferdous, M. Z., Masud, J. H. B., Kundu, S., Mosaddek, A. S. M., Choudhuri, M. S. K., Kircaburun, K., &amp; Griffiths, M. D. (2020). Problematic internet use among young and adult population in Bangladesh: Correlates with </w:t>
      </w:r>
      <w:r>
        <w:lastRenderedPageBreak/>
        <w:t xml:space="preserve">lifestyle and online activities during the COVID-19 pandemic. </w:t>
      </w:r>
      <w:r>
        <w:rPr>
          <w:rStyle w:val="Italic"/>
        </w:rPr>
        <w:t>Addictive Behaviors Reports</w:t>
      </w:r>
      <w:r>
        <w:t>,</w:t>
      </w:r>
      <w:r>
        <w:rPr>
          <w:rStyle w:val="Italic"/>
        </w:rPr>
        <w:t xml:space="preserve"> 12</w:t>
      </w:r>
      <w:r>
        <w:t xml:space="preserve">, 1–8. </w:t>
      </w:r>
      <w:hyperlink r:id="rId202" w:history="1">
        <w:r>
          <w:rPr>
            <w:rStyle w:val="Hyperlink"/>
          </w:rPr>
          <w:t>https://doi.org/10.1016/j.abrep.2020.100311</w:t>
        </w:r>
      </w:hyperlink>
      <w:r>
        <w:t xml:space="preserve"> </w:t>
      </w:r>
    </w:p>
    <w:p w14:paraId="07AD7FEB" w14:textId="363B7839" w:rsidR="007A64D0" w:rsidRDefault="007A64D0" w:rsidP="007A64D0">
      <w:pPr>
        <w:pStyle w:val="Reference"/>
      </w:pPr>
      <w:r>
        <w:t>Jackson, C., &amp; Sundaram, V. (2018). “I have a sense that it’s probably quite bad … but because I don’t see it, I don’t know”: Staff</w:t>
      </w:r>
      <w:r w:rsidR="00143A81">
        <w:t> </w:t>
      </w:r>
      <w:r>
        <w:t xml:space="preserve">perspectives on “lad culture” in higher education. </w:t>
      </w:r>
      <w:r>
        <w:rPr>
          <w:rStyle w:val="Italic"/>
        </w:rPr>
        <w:t>Gender and Education</w:t>
      </w:r>
      <w:r>
        <w:t>,</w:t>
      </w:r>
      <w:r>
        <w:rPr>
          <w:rStyle w:val="Italic"/>
        </w:rPr>
        <w:t xml:space="preserve"> 33</w:t>
      </w:r>
      <w:r>
        <w:t xml:space="preserve">(4), 435–450. </w:t>
      </w:r>
      <w:hyperlink r:id="rId203" w:history="1">
        <w:r>
          <w:rPr>
            <w:rStyle w:val="Hyperlink"/>
          </w:rPr>
          <w:t>https://doi.org/10.1080/09540253.2018.1501006</w:t>
        </w:r>
      </w:hyperlink>
      <w:r>
        <w:t xml:space="preserve"> </w:t>
      </w:r>
    </w:p>
    <w:p w14:paraId="2611029C" w14:textId="1FA71F76" w:rsidR="007A64D0" w:rsidRDefault="007A64D0" w:rsidP="007A64D0">
      <w:pPr>
        <w:pStyle w:val="Reference"/>
      </w:pPr>
      <w:r>
        <w:t>Jaime, M. C. D., McCauley, H. L., Tancredi, D. J., Decker, M. R., Silverman, J. G., O’Connor, B., &amp; Miller, E. (2018). Implementing a</w:t>
      </w:r>
      <w:r w:rsidR="00143A81">
        <w:t> </w:t>
      </w:r>
      <w:r>
        <w:t xml:space="preserve">coach-delivered dating violence prevention program with high school athletes. </w:t>
      </w:r>
      <w:r>
        <w:rPr>
          <w:rStyle w:val="Italic"/>
        </w:rPr>
        <w:t>Prevention Science</w:t>
      </w:r>
      <w:r>
        <w:t>,</w:t>
      </w:r>
      <w:r>
        <w:rPr>
          <w:rStyle w:val="Italic"/>
        </w:rPr>
        <w:t xml:space="preserve"> 19</w:t>
      </w:r>
      <w:r>
        <w:t xml:space="preserve">, 1113–1122. </w:t>
      </w:r>
      <w:hyperlink r:id="rId204" w:history="1">
        <w:r>
          <w:rPr>
            <w:rStyle w:val="Hyperlink"/>
          </w:rPr>
          <w:t>https://doi.org/10.1007/s11121-018-0909-2</w:t>
        </w:r>
      </w:hyperlink>
    </w:p>
    <w:p w14:paraId="759DE2E6" w14:textId="77777777" w:rsidR="007A64D0" w:rsidRDefault="007A64D0" w:rsidP="007A64D0">
      <w:pPr>
        <w:pStyle w:val="Reference"/>
      </w:pPr>
      <w:r>
        <w:t xml:space="preserve">Jeffries, M. (2020). “Is it okay to go out on the pull without it being nasty?”: Lads’ performance of lad culture. </w:t>
      </w:r>
      <w:r>
        <w:rPr>
          <w:rStyle w:val="Italic"/>
        </w:rPr>
        <w:t>Gender and Education</w:t>
      </w:r>
      <w:r>
        <w:t>,</w:t>
      </w:r>
      <w:r>
        <w:rPr>
          <w:rStyle w:val="Italic"/>
        </w:rPr>
        <w:t xml:space="preserve"> 32</w:t>
      </w:r>
      <w:r>
        <w:t xml:space="preserve">(7), 908–925. </w:t>
      </w:r>
      <w:hyperlink r:id="rId205" w:history="1">
        <w:r>
          <w:rPr>
            <w:rStyle w:val="Hyperlink"/>
          </w:rPr>
          <w:t>https://doi.org/10.1080/09540253.2019.1594706</w:t>
        </w:r>
      </w:hyperlink>
      <w:r>
        <w:t xml:space="preserve"> </w:t>
      </w:r>
    </w:p>
    <w:p w14:paraId="451695A7" w14:textId="4D70AA24" w:rsidR="007A64D0" w:rsidRDefault="007A64D0" w:rsidP="007A64D0">
      <w:pPr>
        <w:pStyle w:val="Reference"/>
      </w:pPr>
      <w:r>
        <w:t>Johansson, T., &amp; Odenbring, Y. (2021). Rumbling and tumbling in school: Jokes, masculinity and homosocial relations. In</w:t>
      </w:r>
      <w:r w:rsidR="00143A81">
        <w:t> </w:t>
      </w:r>
      <w:r>
        <w:t>Y.</w:t>
      </w:r>
      <w:r w:rsidR="00143A81">
        <w:t> </w:t>
      </w:r>
      <w:r>
        <w:t xml:space="preserve">Odenbring &amp; T. Johansson (Eds.), </w:t>
      </w:r>
      <w:r>
        <w:rPr>
          <w:rStyle w:val="Italic"/>
        </w:rPr>
        <w:t>Violence, victimisation and young people: Education and safe learning environments</w:t>
      </w:r>
      <w:r>
        <w:t xml:space="preserve"> (pp.</w:t>
      </w:r>
      <w:r w:rsidR="00143A81">
        <w:t> </w:t>
      </w:r>
      <w:r>
        <w:t>59</w:t>
      </w:r>
      <w:r w:rsidR="00143A81">
        <w:noBreakHyphen/>
      </w:r>
      <w:r>
        <w:t xml:space="preserve">73). Springer International Publishing. </w:t>
      </w:r>
      <w:hyperlink r:id="rId206" w:history="1">
        <w:r>
          <w:rPr>
            <w:rStyle w:val="Hyperlink"/>
          </w:rPr>
          <w:t>https://doi.org/10.1007/978-3-030-75319-1_5</w:t>
        </w:r>
      </w:hyperlink>
      <w:r>
        <w:t xml:space="preserve"> </w:t>
      </w:r>
    </w:p>
    <w:p w14:paraId="0E780A80" w14:textId="77777777" w:rsidR="007A64D0" w:rsidRDefault="007A64D0" w:rsidP="007A64D0">
      <w:pPr>
        <w:pStyle w:val="Reference"/>
      </w:pPr>
      <w:r>
        <w:t xml:space="preserve">Johnson, N. P., Sundaram, M. A., Alder, J., Miller, E., &amp; Ragavan, M. I. (2022). The lasting influence of a peer-led adolescent relationship abuse prevention program on former peer leaders’ relationships, identities, and trajectories in emerging adulthood. </w:t>
      </w:r>
      <w:r>
        <w:rPr>
          <w:rStyle w:val="Italic"/>
        </w:rPr>
        <w:t>Journal of Interpersonal Violence</w:t>
      </w:r>
      <w:r>
        <w:t>,</w:t>
      </w:r>
      <w:r>
        <w:rPr>
          <w:rStyle w:val="Italic"/>
        </w:rPr>
        <w:t xml:space="preserve"> 37</w:t>
      </w:r>
      <w:r>
        <w:t xml:space="preserve">(9–10), NP7580–NP7604. </w:t>
      </w:r>
      <w:hyperlink r:id="rId207" w:history="1">
        <w:r>
          <w:rPr>
            <w:rStyle w:val="Hyperlink"/>
          </w:rPr>
          <w:t>https://doi.org/10.1177/0886260520967909</w:t>
        </w:r>
      </w:hyperlink>
      <w:r>
        <w:t xml:space="preserve"> </w:t>
      </w:r>
    </w:p>
    <w:p w14:paraId="2E379A61" w14:textId="752A5DFE" w:rsidR="007A64D0" w:rsidRDefault="007A64D0" w:rsidP="007A64D0">
      <w:pPr>
        <w:pStyle w:val="Reference"/>
      </w:pPr>
      <w:r>
        <w:t xml:space="preserve">Jouriles, E. N., Vu, N. L., McDonald, R., &amp; Rosenfield, D. (2014). Children’s appraisals of conflict, beliefs about aggression, and externalizing problems in families characterized by severe intimate partner violence. </w:t>
      </w:r>
      <w:r>
        <w:rPr>
          <w:rStyle w:val="Emphasis"/>
        </w:rPr>
        <w:t>Journal of Family Psychology, 28</w:t>
      </w:r>
      <w:r>
        <w:t>(6), 915</w:t>
      </w:r>
      <w:r w:rsidR="00143A81">
        <w:noBreakHyphen/>
      </w:r>
      <w:r>
        <w:t xml:space="preserve">924. </w:t>
      </w:r>
      <w:hyperlink r:id="rId208" w:history="1">
        <w:r>
          <w:rPr>
            <w:rStyle w:val="Hyperlink"/>
          </w:rPr>
          <w:t>https://doi.org/10.1037/a0037921</w:t>
        </w:r>
      </w:hyperlink>
    </w:p>
    <w:p w14:paraId="262A58D3" w14:textId="3577176B" w:rsidR="007A64D0" w:rsidRDefault="007A64D0" w:rsidP="007A64D0">
      <w:pPr>
        <w:pStyle w:val="Reference"/>
      </w:pPr>
      <w:r>
        <w:t>Kahlor, L. (2011). Television’s role in the culture of violence toward women: A study of television viewing and the cultivation of</w:t>
      </w:r>
      <w:r w:rsidR="00143A81">
        <w:t> </w:t>
      </w:r>
      <w:r>
        <w:t xml:space="preserve">rape myth acceptance in the United States. </w:t>
      </w:r>
      <w:r>
        <w:rPr>
          <w:rStyle w:val="Italic"/>
        </w:rPr>
        <w:t>Journal of Broadcasting &amp; Electronic Media</w:t>
      </w:r>
      <w:r>
        <w:t>,</w:t>
      </w:r>
      <w:r>
        <w:rPr>
          <w:rStyle w:val="Italic"/>
        </w:rPr>
        <w:t xml:space="preserve"> 55</w:t>
      </w:r>
      <w:r>
        <w:t xml:space="preserve">, 215–231. </w:t>
      </w:r>
      <w:hyperlink r:id="rId209" w:history="1">
        <w:r>
          <w:rPr>
            <w:rStyle w:val="Hyperlink"/>
          </w:rPr>
          <w:t>https://doi.org/10.1080/08838151.2011.566085</w:t>
        </w:r>
      </w:hyperlink>
      <w:r>
        <w:t xml:space="preserve"> </w:t>
      </w:r>
    </w:p>
    <w:p w14:paraId="419E6B79" w14:textId="77777777" w:rsidR="007A64D0" w:rsidRDefault="007A64D0" w:rsidP="007A64D0">
      <w:pPr>
        <w:pStyle w:val="Reference"/>
      </w:pPr>
      <w:r>
        <w:t xml:space="preserve">Kerr-Wilson, A., Gibbs, A., McAslan Fraser, E., Ramsoomar, L., Parke, A., Khuwaja, H. M., &amp; Jewkes, R. (2020). </w:t>
      </w:r>
      <w:r>
        <w:rPr>
          <w:rStyle w:val="Italic"/>
        </w:rPr>
        <w:t>What works to prevent violence among women and girls? A rigorous global evidence review of interventions to prevent violence against women and girls</w:t>
      </w:r>
      <w:r>
        <w:t xml:space="preserve">. What Works to Prevent Violence among Women and Girls Global Programme. </w:t>
      </w:r>
      <w:hyperlink r:id="rId210" w:history="1">
        <w:r>
          <w:rPr>
            <w:rStyle w:val="Hyperlink"/>
          </w:rPr>
          <w:t>https://healtheducationresources.unesco.org/library/documents/rigorous-global-evidence-review-interventions-prevent-violence-against-women-and</w:t>
        </w:r>
      </w:hyperlink>
    </w:p>
    <w:p w14:paraId="758DCC1B" w14:textId="77777777" w:rsidR="007A64D0" w:rsidRDefault="007A64D0" w:rsidP="007A64D0">
      <w:pPr>
        <w:pStyle w:val="Reference"/>
      </w:pPr>
      <w:r>
        <w:t xml:space="preserve">Kidder, D. L., Lankau, M. J., Chrobot-Mason, D., Mollica, K. A., &amp; Friedman, R. A. (2004). Backlash toward diversity initiatives: Examining the impact of diversity program justification, personal and group outcomes. </w:t>
      </w:r>
      <w:r>
        <w:rPr>
          <w:rStyle w:val="Italic"/>
        </w:rPr>
        <w:t>International Journal of Conflict Management</w:t>
      </w:r>
      <w:r>
        <w:t>,</w:t>
      </w:r>
      <w:r>
        <w:rPr>
          <w:rStyle w:val="Italic"/>
        </w:rPr>
        <w:t xml:space="preserve"> 15</w:t>
      </w:r>
      <w:r>
        <w:t xml:space="preserve">(1), 77–102. </w:t>
      </w:r>
      <w:hyperlink r:id="rId211" w:history="1">
        <w:r>
          <w:rPr>
            <w:rStyle w:val="Hyperlink"/>
          </w:rPr>
          <w:t>https://psycnet.apa.org/doi/10.1108/eb022908</w:t>
        </w:r>
      </w:hyperlink>
    </w:p>
    <w:p w14:paraId="5BDC2F21" w14:textId="77777777" w:rsidR="007A64D0" w:rsidRDefault="007A64D0" w:rsidP="007A64D0">
      <w:pPr>
        <w:pStyle w:val="Reference"/>
      </w:pPr>
      <w:r>
        <w:t xml:space="preserve">Kidman, R., &amp; Kohler, H.-P. (2020). Emerging partner violence among young adolescents in a low-income country: Perpetration, victimization and adversity. </w:t>
      </w:r>
      <w:r>
        <w:rPr>
          <w:rStyle w:val="Emphasis"/>
        </w:rPr>
        <w:t>PLoS One, 15</w:t>
      </w:r>
      <w:r>
        <w:t xml:space="preserve">(3), 1–16. </w:t>
      </w:r>
      <w:hyperlink r:id="rId212" w:history="1">
        <w:r>
          <w:rPr>
            <w:rStyle w:val="Hyperlink"/>
          </w:rPr>
          <w:t>https://doi.org/10.1371/journal.pone.0230085</w:t>
        </w:r>
      </w:hyperlink>
      <w:r>
        <w:t xml:space="preserve"> </w:t>
      </w:r>
    </w:p>
    <w:p w14:paraId="2908E0A1" w14:textId="429C7C46" w:rsidR="007A64D0" w:rsidRDefault="007A64D0" w:rsidP="007A64D0">
      <w:pPr>
        <w:pStyle w:val="Reference"/>
      </w:pPr>
      <w:r>
        <w:t xml:space="preserve">Kimber, M., Henriksen, C. A., Davidov, D. M., Goldstein, A. L., Pitre, N. Y., Tonmyr, L., &amp; Afifi, T. O. (2015). The association between immigrant generational status, child maltreatment history and intimate partner violence (IPV): Evidence from a nationally representative survey. </w:t>
      </w:r>
      <w:r>
        <w:rPr>
          <w:rStyle w:val="Emphasis"/>
        </w:rPr>
        <w:t>Social Psychiatry and Psychiatric Epidemiology, 50</w:t>
      </w:r>
      <w:r>
        <w:t xml:space="preserve">(7), 1135–1144. </w:t>
      </w:r>
      <w:hyperlink r:id="rId213" w:history="1">
        <w:r w:rsidR="00143A81" w:rsidRPr="00914FF5">
          <w:rPr>
            <w:rStyle w:val="Hyperlink"/>
          </w:rPr>
          <w:t>https://doi.org/10.1007/s00127-014</w:t>
        </w:r>
        <w:r w:rsidR="00143A81" w:rsidRPr="00914FF5">
          <w:rPr>
            <w:rStyle w:val="Hyperlink"/>
          </w:rPr>
          <w:noBreakHyphen/>
          <w:t>1002-1</w:t>
        </w:r>
      </w:hyperlink>
      <w:r>
        <w:t xml:space="preserve"> </w:t>
      </w:r>
    </w:p>
    <w:p w14:paraId="549E3995" w14:textId="77777777" w:rsidR="007A64D0" w:rsidRDefault="007A64D0" w:rsidP="007A64D0">
      <w:pPr>
        <w:pStyle w:val="Reference"/>
      </w:pPr>
      <w:r>
        <w:t xml:space="preserve">Kitzmann, K. M., Gaylord, N. K., Holt, A. R., &amp; Kenny, E. D. (2003). Child witnesses to domestic violence: A meta-analytic review. </w:t>
      </w:r>
      <w:r>
        <w:rPr>
          <w:rStyle w:val="Italic"/>
        </w:rPr>
        <w:t>Journal of Consulting and Clinical Psychology</w:t>
      </w:r>
      <w:r>
        <w:t>,</w:t>
      </w:r>
      <w:r>
        <w:rPr>
          <w:rStyle w:val="Italic"/>
        </w:rPr>
        <w:t xml:space="preserve"> 71</w:t>
      </w:r>
      <w:r>
        <w:t xml:space="preserve">(2), 339–352. </w:t>
      </w:r>
      <w:hyperlink r:id="rId214" w:history="1">
        <w:r>
          <w:rPr>
            <w:rStyle w:val="Hyperlink"/>
          </w:rPr>
          <w:t>https://doi.org/10.1037/0022-006X.71.2.339</w:t>
        </w:r>
      </w:hyperlink>
      <w:r>
        <w:t xml:space="preserve"> </w:t>
      </w:r>
    </w:p>
    <w:p w14:paraId="5513F2B4" w14:textId="77777777" w:rsidR="007A64D0" w:rsidRDefault="007A64D0" w:rsidP="007A64D0">
      <w:pPr>
        <w:pStyle w:val="Reference"/>
      </w:pPr>
      <w:r>
        <w:t xml:space="preserve">Kleinman, D. L., &amp; Thomas, J. M. (Eds.). (2023). </w:t>
      </w:r>
      <w:r w:rsidRPr="0013577A">
        <w:rPr>
          <w:i/>
          <w:iCs/>
        </w:rPr>
        <w:t>Preventing sexual harassment and reducing harm by addressing abuses of power in higher education institutions</w:t>
      </w:r>
      <w:r>
        <w:t xml:space="preserve">. National Academies of Sciences, Engineering, and Medicine. </w:t>
      </w:r>
      <w:hyperlink r:id="rId215" w:history="1">
        <w:r>
          <w:rPr>
            <w:rStyle w:val="Hyperlink"/>
          </w:rPr>
          <w:t>https://doi.org/10.17226/26631</w:t>
        </w:r>
      </w:hyperlink>
      <w:r>
        <w:t xml:space="preserve"> </w:t>
      </w:r>
    </w:p>
    <w:p w14:paraId="7952BA9B" w14:textId="5C9119FD" w:rsidR="007A64D0" w:rsidRDefault="007A64D0" w:rsidP="007A64D0">
      <w:pPr>
        <w:pStyle w:val="Reference"/>
      </w:pPr>
      <w:r>
        <w:t>Klettke, B., Hallford, D. J., Clancy, E. M., Mellor, D. J., &amp; Toumbourou, J. W. (2019). Sexting and psychological distress: The role of</w:t>
      </w:r>
      <w:r w:rsidR="00143A81">
        <w:t> </w:t>
      </w:r>
      <w:r>
        <w:t xml:space="preserve">unwanted and coerced sexts. </w:t>
      </w:r>
      <w:r>
        <w:rPr>
          <w:rStyle w:val="Italic"/>
        </w:rPr>
        <w:t>Cyberpsychology, Behavior, and Social Networking</w:t>
      </w:r>
      <w:r>
        <w:t>,</w:t>
      </w:r>
      <w:r>
        <w:rPr>
          <w:rStyle w:val="Italic"/>
        </w:rPr>
        <w:t xml:space="preserve"> 22</w:t>
      </w:r>
      <w:r>
        <w:t xml:space="preserve">(4), 237–242. </w:t>
      </w:r>
      <w:hyperlink r:id="rId216" w:history="1">
        <w:r>
          <w:rPr>
            <w:rStyle w:val="Hyperlink"/>
          </w:rPr>
          <w:t>https://doi.org/10.1089/cyber.2018.0291</w:t>
        </w:r>
      </w:hyperlink>
      <w:r>
        <w:t xml:space="preserve"> </w:t>
      </w:r>
    </w:p>
    <w:p w14:paraId="75CDB6A1" w14:textId="77777777" w:rsidR="007A64D0" w:rsidRDefault="007A64D0" w:rsidP="007A64D0">
      <w:pPr>
        <w:pStyle w:val="Reference"/>
      </w:pPr>
      <w:r>
        <w:t xml:space="preserve">Koh, J., Kembhavi-Tam, G., Rose, V., Featherston, R., &amp; Shlonsky, A. (2021). </w:t>
      </w:r>
      <w:r>
        <w:rPr>
          <w:rStyle w:val="Italic"/>
        </w:rPr>
        <w:t>Rapid evidence review: Violence, abuse, neglect and exploitation of people with disability</w:t>
      </w:r>
      <w:r>
        <w:t xml:space="preserve">. Royal Commission into Violence, Abuse, Neglect and Exploitation of People with Disability. </w:t>
      </w:r>
      <w:hyperlink r:id="rId217" w:history="1">
        <w:r w:rsidRPr="00143A81">
          <w:rPr>
            <w:rStyle w:val="Hyperlink"/>
            <w:spacing w:val="-6"/>
          </w:rPr>
          <w:t>https://disability.royalcommission.gov.au/publications/rapid-evidence-review-violence-abuse-neglect-and-exploitation-people-disability</w:t>
        </w:r>
      </w:hyperlink>
    </w:p>
    <w:p w14:paraId="6FE43519" w14:textId="77777777" w:rsidR="007A64D0" w:rsidRDefault="007A64D0" w:rsidP="007A64D0">
      <w:pPr>
        <w:pStyle w:val="Reference"/>
      </w:pPr>
      <w:r>
        <w:t xml:space="preserve">Kourti, A., Stavridou, A., Panagouli, E., Psaltopoulou, T., Spiliopoulou, C., Tsolia, M., Sergentanis, T. N., &amp; Tsitsika, A. (2021). Domestic violence during the COVID-19 pandemic: A systematic review. </w:t>
      </w:r>
      <w:r>
        <w:rPr>
          <w:rStyle w:val="Italic"/>
        </w:rPr>
        <w:t>Trauma, Violence, &amp; Abuse</w:t>
      </w:r>
      <w:r>
        <w:t>,</w:t>
      </w:r>
      <w:r>
        <w:rPr>
          <w:rStyle w:val="Italic"/>
        </w:rPr>
        <w:t xml:space="preserve"> 24</w:t>
      </w:r>
      <w:r>
        <w:t xml:space="preserve">(2), 719–745. </w:t>
      </w:r>
      <w:hyperlink r:id="rId218" w:history="1">
        <w:r>
          <w:rPr>
            <w:rStyle w:val="Hyperlink"/>
          </w:rPr>
          <w:t>https://doi.org/10.1177/15248380211038690</w:t>
        </w:r>
      </w:hyperlink>
      <w:r>
        <w:t xml:space="preserve"> </w:t>
      </w:r>
    </w:p>
    <w:p w14:paraId="20D5EE9A" w14:textId="77777777" w:rsidR="007A64D0" w:rsidRDefault="007A64D0" w:rsidP="007A64D0">
      <w:pPr>
        <w:pStyle w:val="Reference"/>
      </w:pPr>
      <w:r>
        <w:lastRenderedPageBreak/>
        <w:t xml:space="preserve">KPMG. (2016). </w:t>
      </w:r>
      <w:r>
        <w:rPr>
          <w:rStyle w:val="Italic"/>
        </w:rPr>
        <w:t>The cost of violence against women and their children in Australia</w:t>
      </w:r>
      <w:r>
        <w:t xml:space="preserve">. Department of Social Services. </w:t>
      </w:r>
      <w:hyperlink r:id="rId219" w:history="1">
        <w:r>
          <w:rPr>
            <w:rStyle w:val="Hyperlink"/>
          </w:rPr>
          <w:t>https://www.dss.gov.au/sites/default/files/documents/08_2016/the_cost_of_violence_against_women_and_their_children_in_australia_-_summary_report_may_2016.pdf</w:t>
        </w:r>
      </w:hyperlink>
    </w:p>
    <w:p w14:paraId="4A2F60C9" w14:textId="77777777" w:rsidR="007A64D0" w:rsidRDefault="007A64D0" w:rsidP="007A64D0">
      <w:pPr>
        <w:pStyle w:val="Reference"/>
      </w:pPr>
      <w:r>
        <w:t xml:space="preserve">Kulkarni, S. (2019). Intersectional trauma-informed Intimate Partner Violence (IPV) services: Narrowing the gap between IPV service delivery and survivor needs. </w:t>
      </w:r>
      <w:r>
        <w:rPr>
          <w:rStyle w:val="Italic"/>
        </w:rPr>
        <w:t>Journal of Family Violence</w:t>
      </w:r>
      <w:r>
        <w:t>,</w:t>
      </w:r>
      <w:r>
        <w:rPr>
          <w:rStyle w:val="Italic"/>
        </w:rPr>
        <w:t xml:space="preserve"> 34</w:t>
      </w:r>
      <w:r>
        <w:t xml:space="preserve">(1), 55–64. </w:t>
      </w:r>
      <w:hyperlink r:id="rId220" w:history="1">
        <w:r>
          <w:rPr>
            <w:rStyle w:val="Hyperlink"/>
          </w:rPr>
          <w:t>https://doi.org/10.1007/s10896-018-0001-5</w:t>
        </w:r>
      </w:hyperlink>
      <w:r>
        <w:t xml:space="preserve"> </w:t>
      </w:r>
    </w:p>
    <w:p w14:paraId="16A0ECDE" w14:textId="77777777" w:rsidR="007A64D0" w:rsidRDefault="007A64D0" w:rsidP="007A64D0">
      <w:pPr>
        <w:pStyle w:val="Reference"/>
      </w:pPr>
      <w:r>
        <w:t xml:space="preserve">Lamb, K., Dembele, L., Nina, Fiona, &amp; Hegarty, K. (2023). </w:t>
      </w:r>
      <w:r>
        <w:rPr>
          <w:rStyle w:val="Italic"/>
        </w:rPr>
        <w:t>An Australian framework for the ethical co-production of research and evaluation with victim survivors of domestic, family, and sexual violence</w:t>
      </w:r>
      <w:r>
        <w:t xml:space="preserve">. Safer Families Centre &amp; The University of Melbourne. </w:t>
      </w:r>
      <w:hyperlink r:id="rId221" w:history="1">
        <w:r>
          <w:rPr>
            <w:rStyle w:val="Hyperlink"/>
          </w:rPr>
          <w:t>https://static1.squarespace.com/WEAVERSLAUNCH.pdf</w:t>
        </w:r>
      </w:hyperlink>
    </w:p>
    <w:p w14:paraId="36ABBF11" w14:textId="43FCA1CC" w:rsidR="007A64D0" w:rsidRDefault="007A64D0" w:rsidP="007A64D0">
      <w:pPr>
        <w:pStyle w:val="Reference"/>
      </w:pPr>
      <w:r>
        <w:t xml:space="preserve">Lamb, K., Hegarty, K., Amanda, Cina, Fiona, The University of Melbourne WEAVERs lived experience group, &amp; Parker, R. (2020). </w:t>
      </w:r>
      <w:r>
        <w:rPr>
          <w:rStyle w:val="Italic"/>
        </w:rPr>
        <w:t>The</w:t>
      </w:r>
      <w:r w:rsidR="00143A81">
        <w:rPr>
          <w:rStyle w:val="Italic"/>
        </w:rPr>
        <w:t> </w:t>
      </w:r>
      <w:r>
        <w:rPr>
          <w:rStyle w:val="Italic"/>
        </w:rPr>
        <w:t>Family Violence Experts by Experience Framework: Research report and framework 2020</w:t>
      </w:r>
      <w:r>
        <w:t xml:space="preserve">. Domestic Violence Victoria. </w:t>
      </w:r>
      <w:hyperlink r:id="rId222" w:history="1">
        <w:r>
          <w:rPr>
            <w:rStyle w:val="Hyperlink"/>
          </w:rPr>
          <w:t>https://safeandequal.org.au/wp-content/uploads/DVV_EBE-Framework-Report.pdf</w:t>
        </w:r>
      </w:hyperlink>
    </w:p>
    <w:p w14:paraId="75CDAE6A" w14:textId="77777777" w:rsidR="007A64D0" w:rsidRDefault="007A64D0" w:rsidP="007A64D0">
      <w:pPr>
        <w:pStyle w:val="Reference"/>
      </w:pPr>
      <w:r>
        <w:t xml:space="preserve">Lamont, E. (2021). The persistence of gendered dating. </w:t>
      </w:r>
      <w:r>
        <w:rPr>
          <w:rStyle w:val="Italic"/>
        </w:rPr>
        <w:t>Sociology Compass</w:t>
      </w:r>
      <w:r>
        <w:t>,</w:t>
      </w:r>
      <w:r>
        <w:rPr>
          <w:rStyle w:val="Italic"/>
        </w:rPr>
        <w:t xml:space="preserve"> 15</w:t>
      </w:r>
      <w:r>
        <w:t xml:space="preserve">(11), 1–15. </w:t>
      </w:r>
      <w:hyperlink r:id="rId223" w:history="1">
        <w:r>
          <w:rPr>
            <w:rStyle w:val="Hyperlink"/>
          </w:rPr>
          <w:t>https://doi.org/10.1111/soc4.12933</w:t>
        </w:r>
      </w:hyperlink>
      <w:r>
        <w:t xml:space="preserve"> </w:t>
      </w:r>
    </w:p>
    <w:p w14:paraId="6EA8FE08" w14:textId="77777777" w:rsidR="007A64D0" w:rsidRDefault="007A64D0" w:rsidP="007A64D0">
      <w:pPr>
        <w:pStyle w:val="Reference"/>
      </w:pPr>
      <w:r>
        <w:t xml:space="preserve">Landry, M., Vyas, A., Malhotra, G., &amp; Nagaraj, N. (2020). Adolescents’ development of gender equity attitudes in India. </w:t>
      </w:r>
      <w:r>
        <w:rPr>
          <w:rStyle w:val="Italic"/>
        </w:rPr>
        <w:t>International Journal of Adolescence and Youth</w:t>
      </w:r>
      <w:r>
        <w:t>,</w:t>
      </w:r>
      <w:r>
        <w:rPr>
          <w:rStyle w:val="Italic"/>
        </w:rPr>
        <w:t xml:space="preserve"> 25</w:t>
      </w:r>
      <w:r>
        <w:t xml:space="preserve">(1), 94–103. </w:t>
      </w:r>
      <w:hyperlink r:id="rId224" w:history="1">
        <w:r>
          <w:rPr>
            <w:rStyle w:val="Hyperlink"/>
          </w:rPr>
          <w:t>https://doi.org/10.1080/02673843.2019.1590852</w:t>
        </w:r>
      </w:hyperlink>
      <w:r>
        <w:t xml:space="preserve"> </w:t>
      </w:r>
    </w:p>
    <w:p w14:paraId="64267DE7" w14:textId="77777777" w:rsidR="007A64D0" w:rsidRDefault="007A64D0" w:rsidP="007A64D0">
      <w:pPr>
        <w:pStyle w:val="Reference"/>
      </w:pPr>
      <w:r>
        <w:t xml:space="preserve">Langton, M., Smith, K., Eastman, T., O’Neill, L., Cheesman, E., &amp; Rose, M. (2020). </w:t>
      </w:r>
      <w:r>
        <w:rPr>
          <w:rStyle w:val="Emphasis"/>
        </w:rPr>
        <w:t>Improving family violence legal and support services for Aboriginal and Torres Strait Islander women</w:t>
      </w:r>
      <w:r>
        <w:t xml:space="preserve"> (Research report, 25/2020). ANROWS. </w:t>
      </w:r>
      <w:hyperlink r:id="rId225" w:history="1">
        <w:r>
          <w:rPr>
            <w:rStyle w:val="Hyperlink"/>
          </w:rPr>
          <w:t>https://www.anrows.org.au/publication/improving-family-violence-legal-and-support-services-for-aboriginal-and-torres-strait-islander-women/</w:t>
        </w:r>
      </w:hyperlink>
    </w:p>
    <w:p w14:paraId="33B8F0A5" w14:textId="6CE89CC7" w:rsidR="007A64D0" w:rsidRDefault="007A64D0" w:rsidP="007A64D0">
      <w:pPr>
        <w:pStyle w:val="Reference"/>
      </w:pPr>
      <w:r>
        <w:t>Laslett, A.-M., Graham, K., Wilson, I. M., Kuntsche, S., Fulu, E., Jewkes, R., &amp; Taft, A. (2021). Does drinking modify the relationship between men’s gender-inequitable attitudes and their perpetration of intimate partner violence? A meta-analysis of surveys of</w:t>
      </w:r>
      <w:r w:rsidR="00143A81">
        <w:t> </w:t>
      </w:r>
      <w:r>
        <w:t xml:space="preserve">men from seven countries in the Asia Pacific region. </w:t>
      </w:r>
      <w:r>
        <w:rPr>
          <w:rStyle w:val="Italic"/>
        </w:rPr>
        <w:t>Addiction</w:t>
      </w:r>
      <w:r>
        <w:t>,</w:t>
      </w:r>
      <w:r>
        <w:rPr>
          <w:rStyle w:val="Italic"/>
        </w:rPr>
        <w:t xml:space="preserve"> 116</w:t>
      </w:r>
      <w:r>
        <w:t xml:space="preserve">(12), 3320–3332. </w:t>
      </w:r>
      <w:hyperlink r:id="rId226" w:history="1">
        <w:r>
          <w:rPr>
            <w:rStyle w:val="Hyperlink"/>
          </w:rPr>
          <w:t>https://doi.org/10.1111/add.15485</w:t>
        </w:r>
      </w:hyperlink>
      <w:r>
        <w:t xml:space="preserve"> </w:t>
      </w:r>
    </w:p>
    <w:p w14:paraId="58F4A8BB" w14:textId="746F797D" w:rsidR="007A64D0" w:rsidRPr="00E215BB" w:rsidRDefault="007A64D0" w:rsidP="007A64D0">
      <w:pPr>
        <w:pStyle w:val="Reference"/>
        <w:rPr>
          <w:lang w:val="it-IT"/>
        </w:rPr>
      </w:pPr>
      <w:r>
        <w:t xml:space="preserve">Laslett, A.-M., Mugavin, J., Jiang, H., Manton, E., Callinan, S., MacLean, S., &amp; Room, R. (2015). </w:t>
      </w:r>
      <w:r>
        <w:rPr>
          <w:rStyle w:val="Italic"/>
        </w:rPr>
        <w:t>The hidden harm: Alcohol’s impact on</w:t>
      </w:r>
      <w:r w:rsidR="00143A81">
        <w:rPr>
          <w:rStyle w:val="Italic"/>
        </w:rPr>
        <w:t> </w:t>
      </w:r>
      <w:r>
        <w:rPr>
          <w:rStyle w:val="Italic"/>
        </w:rPr>
        <w:t>children and families</w:t>
      </w:r>
      <w:r>
        <w:t xml:space="preserve">. Foundation for Alcohol Research and Education. </w:t>
      </w:r>
      <w:hyperlink r:id="rId227" w:history="1">
        <w:r w:rsidRPr="00E215BB">
          <w:rPr>
            <w:rStyle w:val="Hyperlink"/>
            <w:lang w:val="it-IT"/>
          </w:rPr>
          <w:t>https://www.drugsandalcohol.ie/25251/1/Hidden_harm_alcohol-impact.pdf</w:t>
        </w:r>
      </w:hyperlink>
      <w:r w:rsidRPr="00E215BB">
        <w:rPr>
          <w:lang w:val="it-IT"/>
        </w:rPr>
        <w:t xml:space="preserve"> </w:t>
      </w:r>
    </w:p>
    <w:p w14:paraId="3CF9F004" w14:textId="270F4DD3" w:rsidR="007A64D0" w:rsidRDefault="007A64D0" w:rsidP="007A64D0">
      <w:pPr>
        <w:pStyle w:val="Reference"/>
      </w:pPr>
      <w:r w:rsidRPr="00E215BB">
        <w:rPr>
          <w:lang w:val="it-IT"/>
        </w:rPr>
        <w:t xml:space="preserve">Latzman, N. E., D’Inverno, A. S., Niolon, P. H., &amp; Reidy, D. E. (2018). </w:t>
      </w:r>
      <w:r>
        <w:t>Gender inequality and gender-based violence: Extensions to</w:t>
      </w:r>
      <w:r w:rsidR="00143A81">
        <w:t> </w:t>
      </w:r>
      <w:r>
        <w:t xml:space="preserve">adolescent dating violence. In D. A. Wolfe &amp; J. R. Temple (Eds.), </w:t>
      </w:r>
      <w:r>
        <w:rPr>
          <w:rStyle w:val="Emphasis"/>
        </w:rPr>
        <w:t>Adolescent dating violence</w:t>
      </w:r>
      <w:r>
        <w:t xml:space="preserve"> (pp. 283–314). Academic Press. </w:t>
      </w:r>
      <w:hyperlink r:id="rId228" w:history="1">
        <w:r>
          <w:rPr>
            <w:rStyle w:val="Hyperlink"/>
          </w:rPr>
          <w:t>https://doi.org/10.1016/B978-0-12-811797-2.00012-8</w:t>
        </w:r>
      </w:hyperlink>
    </w:p>
    <w:p w14:paraId="5B799A60" w14:textId="7CEB4C57" w:rsidR="007A64D0" w:rsidRDefault="007A64D0" w:rsidP="007A64D0">
      <w:pPr>
        <w:pStyle w:val="Reference"/>
      </w:pPr>
      <w:r>
        <w:t xml:space="preserve">Leen, E., Sorbring, E., Mawer, M., Holdsworth, E., Helsing, B., &amp; Bowen, E. (2012). Prevalence, dynamic risk factors and the efficacy of primary interventions for adolescent dating violence: An international review. </w:t>
      </w:r>
      <w:r>
        <w:rPr>
          <w:rStyle w:val="Emphasis"/>
        </w:rPr>
        <w:t>Aggression and Violent Behavior, 18</w:t>
      </w:r>
      <w:r>
        <w:t>(1), 159</w:t>
      </w:r>
      <w:r w:rsidR="00143A81">
        <w:noBreakHyphen/>
      </w:r>
      <w:r>
        <w:t xml:space="preserve">174. </w:t>
      </w:r>
      <w:hyperlink r:id="rId229" w:history="1">
        <w:r>
          <w:rPr>
            <w:rStyle w:val="Hyperlink"/>
          </w:rPr>
          <w:t>https://doi.org/10.1016/j.avb.2012.11.015</w:t>
        </w:r>
      </w:hyperlink>
    </w:p>
    <w:p w14:paraId="6324354E" w14:textId="5014107B" w:rsidR="007A64D0" w:rsidRDefault="007A64D0" w:rsidP="007A64D0">
      <w:pPr>
        <w:pStyle w:val="Reference"/>
      </w:pPr>
      <w:r>
        <w:t>Lester, S., Lawrence, C., &amp; Ward, C. L. (2017). What do we know about preventing school violence? A systematic review of</w:t>
      </w:r>
      <w:r w:rsidR="00143A81">
        <w:t> </w:t>
      </w:r>
      <w:r>
        <w:t xml:space="preserve">systematic reviews. </w:t>
      </w:r>
      <w:r>
        <w:rPr>
          <w:rStyle w:val="Italic"/>
        </w:rPr>
        <w:t>Psychology Health &amp; Medicine</w:t>
      </w:r>
      <w:r>
        <w:t>,</w:t>
      </w:r>
      <w:r>
        <w:rPr>
          <w:rStyle w:val="Italic"/>
        </w:rPr>
        <w:t xml:space="preserve"> 22</w:t>
      </w:r>
      <w:r>
        <w:t xml:space="preserve">(sup1), 187–223. </w:t>
      </w:r>
      <w:hyperlink r:id="rId230" w:history="1">
        <w:r>
          <w:rPr>
            <w:rStyle w:val="Hyperlink"/>
          </w:rPr>
          <w:t>https://doi.org/10.1080/13548506.2017.1282616</w:t>
        </w:r>
      </w:hyperlink>
      <w:r>
        <w:t xml:space="preserve"> </w:t>
      </w:r>
    </w:p>
    <w:p w14:paraId="7F1DE8C5" w14:textId="77777777" w:rsidR="007A64D0" w:rsidRDefault="007A64D0" w:rsidP="007A64D0">
      <w:pPr>
        <w:pStyle w:val="Reference"/>
      </w:pPr>
      <w:r>
        <w:t xml:space="preserve">LGBTIQ+ Health Australia. (2022). </w:t>
      </w:r>
      <w:r>
        <w:rPr>
          <w:rStyle w:val="Italic"/>
        </w:rPr>
        <w:t>LGBTIQ+ health peak body welcomes paid domestic and family violence leave, calls for LGBTIQ+ inclusion in implementation</w:t>
      </w:r>
      <w:r>
        <w:t xml:space="preserve"> </w:t>
      </w:r>
      <w:hyperlink r:id="rId231" w:history="1">
        <w:r>
          <w:rPr>
            <w:rStyle w:val="Hyperlink"/>
          </w:rPr>
          <w:t>https://www.lgbtiqhealth.org.au/lgbtiq_health_peak_body_welcomes_paid_domestic_and_family_violence_leave</w:t>
        </w:r>
      </w:hyperlink>
    </w:p>
    <w:p w14:paraId="3977BBF0" w14:textId="77777777" w:rsidR="007A64D0" w:rsidRDefault="007A64D0" w:rsidP="007A64D0">
      <w:pPr>
        <w:pStyle w:val="Reference"/>
      </w:pPr>
      <w:r>
        <w:rPr>
          <w:lang w:val="it-IT"/>
        </w:rPr>
        <w:t xml:space="preserve">Lim, M. S., Agius, P. A., Carrotte, E. R., Vella, A. M., &amp; Hellard, M. E. (2017). </w:t>
      </w:r>
      <w:r>
        <w:t xml:space="preserve">Young Australians’ use of pornography and associations with sexual risk behaviours. </w:t>
      </w:r>
      <w:r>
        <w:rPr>
          <w:rStyle w:val="Italic"/>
        </w:rPr>
        <w:t>Australian and New Zealand Journal of Public Health</w:t>
      </w:r>
      <w:r>
        <w:t>,</w:t>
      </w:r>
      <w:r>
        <w:rPr>
          <w:rStyle w:val="Italic"/>
        </w:rPr>
        <w:t xml:space="preserve"> 41</w:t>
      </w:r>
      <w:r>
        <w:t xml:space="preserve">(4), 438–443. </w:t>
      </w:r>
      <w:hyperlink r:id="rId232" w:history="1">
        <w:r>
          <w:rPr>
            <w:rStyle w:val="Hyperlink"/>
          </w:rPr>
          <w:t>https://doi.org/10.1111/1753-6405.12678</w:t>
        </w:r>
      </w:hyperlink>
    </w:p>
    <w:p w14:paraId="4171AF18" w14:textId="77777777" w:rsidR="007A64D0" w:rsidRDefault="007A64D0" w:rsidP="007A64D0">
      <w:pPr>
        <w:pStyle w:val="Reference"/>
      </w:pPr>
      <w:r>
        <w:t xml:space="preserve">Liu, H. (2021). </w:t>
      </w:r>
      <w:r>
        <w:rPr>
          <w:rStyle w:val="Emphasis"/>
        </w:rPr>
        <w:t>Redeeming leadership: An anti-racist feminist intervention</w:t>
      </w:r>
      <w:r>
        <w:t xml:space="preserve">. Bristol University Press. </w:t>
      </w:r>
      <w:hyperlink r:id="rId233" w:history="1">
        <w:r>
          <w:rPr>
            <w:rStyle w:val="Hyperlink"/>
          </w:rPr>
          <w:t>https://doi.org/https://doi.org/10.2307/j.ctvtv93zk</w:t>
        </w:r>
      </w:hyperlink>
      <w:r>
        <w:t xml:space="preserve"> </w:t>
      </w:r>
    </w:p>
    <w:p w14:paraId="4156FB71" w14:textId="77777777" w:rsidR="007A64D0" w:rsidRDefault="007A64D0" w:rsidP="007A64D0">
      <w:pPr>
        <w:pStyle w:val="Reference"/>
      </w:pPr>
      <w:r>
        <w:t xml:space="preserve">Lloyd, J., Dembele, L., Dawes, C., Jane, S., &amp; Macmillan, L. (2023). </w:t>
      </w:r>
      <w:r>
        <w:rPr>
          <w:rStyle w:val="Italic"/>
        </w:rPr>
        <w:t>The Australian National Research Agenda to End Violence against Women and Children (ANRA) 2023–2028</w:t>
      </w:r>
      <w:r>
        <w:t xml:space="preserve">. ANROWS. </w:t>
      </w:r>
      <w:hyperlink r:id="rId234" w:history="1">
        <w:r>
          <w:rPr>
            <w:rStyle w:val="Hyperlink"/>
          </w:rPr>
          <w:t>https://www.anrows.org.au/publication/australian-national-research-agenda-to-end-violence-against-women-and-children/</w:t>
        </w:r>
      </w:hyperlink>
    </w:p>
    <w:p w14:paraId="40F90215" w14:textId="3B3CED27" w:rsidR="007A64D0" w:rsidRDefault="007A64D0" w:rsidP="007A64D0">
      <w:pPr>
        <w:pStyle w:val="Reference"/>
      </w:pPr>
      <w:r>
        <w:t>Lowe, H., Brown, L., Ahmad, A., Daruwalla, N., Gram, L., Osrin, D., Panchal, K., Watson, D., Zimmerman, C., &amp; Mannell, J. (2022). Mechanisms for community prevention of violence against women in low- and middle-income countries: A realist approach to</w:t>
      </w:r>
      <w:r w:rsidR="00143A81">
        <w:t> </w:t>
      </w:r>
      <w:r>
        <w:t xml:space="preserve">a comparative analysis of qualitative data. </w:t>
      </w:r>
      <w:r>
        <w:rPr>
          <w:rStyle w:val="Emphasis"/>
        </w:rPr>
        <w:t>Social Science &amp; Medicine, 305</w:t>
      </w:r>
      <w:r>
        <w:t xml:space="preserve">. </w:t>
      </w:r>
      <w:hyperlink r:id="rId235" w:history="1">
        <w:r>
          <w:rPr>
            <w:rStyle w:val="Hyperlink"/>
          </w:rPr>
          <w:t>https://doi.org/10.1016/j.socscimed.2022.115064</w:t>
        </w:r>
      </w:hyperlink>
      <w:r>
        <w:t xml:space="preserve"> </w:t>
      </w:r>
    </w:p>
    <w:p w14:paraId="2BD1A5EA" w14:textId="77777777" w:rsidR="007A64D0" w:rsidRDefault="007A64D0" w:rsidP="007A64D0">
      <w:pPr>
        <w:pStyle w:val="Reference"/>
      </w:pPr>
      <w:r>
        <w:t xml:space="preserve">Lum On, M., Ayre, J., Webster, K., &amp; Moon, L. (2016). </w:t>
      </w:r>
      <w:r>
        <w:rPr>
          <w:rStyle w:val="Italic"/>
        </w:rPr>
        <w:t>Examination of the health outcomes of intimate partner violence against women: State of knowledge paper</w:t>
      </w:r>
      <w:r>
        <w:t xml:space="preserve">. ANROWS. </w:t>
      </w:r>
      <w:hyperlink r:id="rId236" w:history="1">
        <w:r>
          <w:rPr>
            <w:rStyle w:val="Hyperlink"/>
          </w:rPr>
          <w:t>https://www.anrows.org.au/publication/examination-of-the-health-outcomes-of-intimate-partner-violence-against-women-state-of-knowledge-paper/</w:t>
        </w:r>
      </w:hyperlink>
    </w:p>
    <w:p w14:paraId="24D6C406" w14:textId="77777777" w:rsidR="007A64D0" w:rsidRDefault="007A64D0" w:rsidP="007A64D0">
      <w:pPr>
        <w:pStyle w:val="Reference"/>
      </w:pPr>
      <w:r>
        <w:rPr>
          <w:lang w:val="it-IT"/>
        </w:rPr>
        <w:lastRenderedPageBreak/>
        <w:t xml:space="preserve">Machackova, H., Dedkova, L., Sevcikova, A., &amp; Cerna, A. (2018). </w:t>
      </w:r>
      <w:r>
        <w:t xml:space="preserve">Bystanders’ supportive and passive responses to cyberaggression. </w:t>
      </w:r>
      <w:r>
        <w:rPr>
          <w:rStyle w:val="Italic"/>
        </w:rPr>
        <w:t>Journal of School Violence</w:t>
      </w:r>
      <w:r>
        <w:t>,</w:t>
      </w:r>
      <w:r>
        <w:rPr>
          <w:rStyle w:val="Italic"/>
        </w:rPr>
        <w:t xml:space="preserve"> 17</w:t>
      </w:r>
      <w:r>
        <w:t xml:space="preserve">(1), 99–110. </w:t>
      </w:r>
      <w:hyperlink r:id="rId237" w:history="1">
        <w:r>
          <w:rPr>
            <w:rStyle w:val="Hyperlink"/>
          </w:rPr>
          <w:t>https://doi.org/10.1080/15388220.2016.1222499</w:t>
        </w:r>
      </w:hyperlink>
      <w:r>
        <w:t xml:space="preserve"> </w:t>
      </w:r>
    </w:p>
    <w:p w14:paraId="5E2ACEA1" w14:textId="77777777" w:rsidR="007A64D0" w:rsidRDefault="007A64D0" w:rsidP="007A64D0">
      <w:pPr>
        <w:pStyle w:val="Reference"/>
      </w:pPr>
      <w:r>
        <w:t xml:space="preserve">Mailhot Amborski, A., Bussières, E.-L., Vaillancourt-Morel, M.-P., &amp; Joyal, C. C. (2021). Sexual violence against persons with disabilities: A meta-analysis. </w:t>
      </w:r>
      <w:r>
        <w:rPr>
          <w:rStyle w:val="Emphasis"/>
        </w:rPr>
        <w:t>Trauma, Violence, &amp; Abuse, 23</w:t>
      </w:r>
      <w:r>
        <w:t xml:space="preserve">(4), 1330–1343. </w:t>
      </w:r>
      <w:hyperlink r:id="rId238" w:history="1">
        <w:r>
          <w:rPr>
            <w:rStyle w:val="Hyperlink"/>
          </w:rPr>
          <w:t>https://doi.org/10.1177/1524838021995975</w:t>
        </w:r>
      </w:hyperlink>
    </w:p>
    <w:p w14:paraId="2B45D606" w14:textId="77777777" w:rsidR="007A64D0" w:rsidRDefault="007A64D0" w:rsidP="007A64D0">
      <w:pPr>
        <w:pStyle w:val="Reference"/>
      </w:pPr>
      <w:r>
        <w:t xml:space="preserve">Manne, K. (2020). </w:t>
      </w:r>
      <w:r>
        <w:rPr>
          <w:rStyle w:val="Italic"/>
        </w:rPr>
        <w:t>Entitled: How male privilege hurts women</w:t>
      </w:r>
      <w:r>
        <w:t xml:space="preserve">. Penguin Books Limited. </w:t>
      </w:r>
    </w:p>
    <w:p w14:paraId="31306E5C" w14:textId="77777777" w:rsidR="007A64D0" w:rsidRDefault="007A64D0" w:rsidP="007A64D0">
      <w:pPr>
        <w:pStyle w:val="Reference"/>
      </w:pPr>
      <w:r>
        <w:t xml:space="preserve">Mannell, J., Amaama, S. A., Boodoosingh, R., Brown, L., Calderon, M., Cowley-Malcolm, E., Lowe, H., Motta, A., Shannon, G., Tanielu, H., &amp; Vergara, C. C. (2021). Decolonising violence against women research: A study design for co-developing violence prevention interventions with communities in low and middle income countries (LMICs). </w:t>
      </w:r>
      <w:r>
        <w:rPr>
          <w:rStyle w:val="Emphasis"/>
        </w:rPr>
        <w:t>BMC Public Health, 21</w:t>
      </w:r>
      <w:r>
        <w:t xml:space="preserve">(1), 1–1147. </w:t>
      </w:r>
      <w:hyperlink r:id="rId239" w:history="1">
        <w:r>
          <w:rPr>
            <w:rStyle w:val="Hyperlink"/>
          </w:rPr>
          <w:t>https://doi.org/10.1186/s12889-021-11172-2</w:t>
        </w:r>
      </w:hyperlink>
      <w:r>
        <w:t xml:space="preserve"> </w:t>
      </w:r>
    </w:p>
    <w:p w14:paraId="2A069285" w14:textId="77777777" w:rsidR="007A64D0" w:rsidRDefault="007A64D0" w:rsidP="007A64D0">
      <w:pPr>
        <w:pStyle w:val="Reference"/>
      </w:pPr>
      <w:r>
        <w:t xml:space="preserve">Martellozzo, E., Monaghan, A., Adler, J. R., Davidson, J., Leyva, R., &amp; Horvath, M. A. H. (2016). </w:t>
      </w:r>
      <w:r>
        <w:rPr>
          <w:rStyle w:val="Italic"/>
        </w:rPr>
        <w:t>“I wasn’t sure it was normal to watch it...” A quantitative and qualitative examination of the impact of online pornography on the values, attitudes, beliefs and behaviours of children and young people</w:t>
      </w:r>
      <w:r>
        <w:t xml:space="preserve">. Middlesex University. </w:t>
      </w:r>
      <w:hyperlink r:id="rId240" w:history="1">
        <w:r>
          <w:rPr>
            <w:rStyle w:val="Hyperlink"/>
          </w:rPr>
          <w:t>https://doi.org/10.6084/m9.figshare.3382393</w:t>
        </w:r>
      </w:hyperlink>
    </w:p>
    <w:p w14:paraId="592FBCA6" w14:textId="77777777" w:rsidR="007A64D0" w:rsidRDefault="007A64D0" w:rsidP="007A64D0">
      <w:pPr>
        <w:pStyle w:val="Reference"/>
      </w:pPr>
      <w:r>
        <w:t xml:space="preserve">Massey, K., Burns, J., &amp; Franz, A. (2021). Young people, sexuality and the age of pornography. </w:t>
      </w:r>
      <w:r>
        <w:rPr>
          <w:rStyle w:val="Italic"/>
        </w:rPr>
        <w:t>Sexuality &amp; Culture</w:t>
      </w:r>
      <w:r>
        <w:t>,</w:t>
      </w:r>
      <w:r>
        <w:rPr>
          <w:rStyle w:val="Italic"/>
        </w:rPr>
        <w:t xml:space="preserve"> 25</w:t>
      </w:r>
      <w:r>
        <w:t xml:space="preserve">(1), 318–336. </w:t>
      </w:r>
      <w:hyperlink r:id="rId241" w:history="1">
        <w:r>
          <w:rPr>
            <w:rStyle w:val="Hyperlink"/>
          </w:rPr>
          <w:t>https://doi.org/10.1007/s12119-020-09771-z</w:t>
        </w:r>
      </w:hyperlink>
      <w:r>
        <w:t xml:space="preserve"> </w:t>
      </w:r>
    </w:p>
    <w:p w14:paraId="17651F53" w14:textId="77777777" w:rsidR="007A64D0" w:rsidRDefault="007A64D0" w:rsidP="007A64D0">
      <w:pPr>
        <w:pStyle w:val="Reference"/>
      </w:pPr>
      <w:r>
        <w:t xml:space="preserve">Maughan, A., &amp; Cicchetti, D. (2002). Impact of child maltreatment and interadult violence on children’s emotion regulation abilities and socioemotional adjustment. </w:t>
      </w:r>
      <w:r>
        <w:rPr>
          <w:rStyle w:val="Italic"/>
        </w:rPr>
        <w:t>Child Development</w:t>
      </w:r>
      <w:r>
        <w:t>,</w:t>
      </w:r>
      <w:r>
        <w:rPr>
          <w:rStyle w:val="Italic"/>
        </w:rPr>
        <w:t xml:space="preserve"> 73</w:t>
      </w:r>
      <w:r>
        <w:t xml:space="preserve">(5), 1525–1542. </w:t>
      </w:r>
      <w:hyperlink r:id="rId242" w:history="1">
        <w:r>
          <w:rPr>
            <w:rStyle w:val="Hyperlink"/>
          </w:rPr>
          <w:t>https://srcd.onlinelibrary.wiley.com/doi/10.1111/1467-8624.00488</w:t>
        </w:r>
      </w:hyperlink>
    </w:p>
    <w:p w14:paraId="1D6F5FAA" w14:textId="77777777" w:rsidR="007A64D0" w:rsidRDefault="007A64D0" w:rsidP="007A64D0">
      <w:pPr>
        <w:pStyle w:val="Reference"/>
      </w:pPr>
      <w:r>
        <w:t xml:space="preserve">McCarry, M. (2009). Justifications and contradictions: Understanding young people’s views of domestic abuse. </w:t>
      </w:r>
      <w:r>
        <w:rPr>
          <w:rStyle w:val="Italic"/>
        </w:rPr>
        <w:t>Men and Masculinities</w:t>
      </w:r>
      <w:r>
        <w:t>,</w:t>
      </w:r>
      <w:r>
        <w:rPr>
          <w:rStyle w:val="Italic"/>
        </w:rPr>
        <w:t xml:space="preserve"> 11</w:t>
      </w:r>
      <w:r>
        <w:t xml:space="preserve">(3), 325–345. </w:t>
      </w:r>
      <w:hyperlink r:id="rId243" w:history="1">
        <w:r>
          <w:rPr>
            <w:rStyle w:val="Hyperlink"/>
          </w:rPr>
          <w:t>https://doi.org/10.1177/1097184X06294008</w:t>
        </w:r>
      </w:hyperlink>
      <w:r>
        <w:t xml:space="preserve"> </w:t>
      </w:r>
    </w:p>
    <w:p w14:paraId="54B5AC30" w14:textId="77777777" w:rsidR="007A64D0" w:rsidRPr="00E215BB" w:rsidRDefault="007A64D0" w:rsidP="007A64D0">
      <w:pPr>
        <w:pStyle w:val="Reference"/>
        <w:rPr>
          <w:lang w:val="it-IT"/>
        </w:rPr>
      </w:pPr>
      <w:r w:rsidRPr="008C29F3">
        <w:rPr>
          <w:lang w:val="it-IT"/>
        </w:rPr>
        <w:t xml:space="preserve">McCarthy, K. J., Mehta, R., &amp; Haberland, N. A. (2018). </w:t>
      </w:r>
      <w:r>
        <w:t xml:space="preserve">Gender, power, and violence: A systematic review of measures and their association with male perpetration of IPV. </w:t>
      </w:r>
      <w:r w:rsidRPr="00E215BB">
        <w:rPr>
          <w:rStyle w:val="Emphasis"/>
          <w:lang w:val="it-IT"/>
        </w:rPr>
        <w:t>PLoS One, 13</w:t>
      </w:r>
      <w:r w:rsidRPr="00E215BB">
        <w:rPr>
          <w:lang w:val="it-IT"/>
        </w:rPr>
        <w:t xml:space="preserve">(11), e0207091. </w:t>
      </w:r>
      <w:hyperlink r:id="rId244" w:history="1">
        <w:r w:rsidRPr="00E215BB">
          <w:rPr>
            <w:rStyle w:val="Hyperlink"/>
            <w:lang w:val="it-IT"/>
          </w:rPr>
          <w:t>https://doi.org/10.1371/journal.pone.0207091</w:t>
        </w:r>
      </w:hyperlink>
    </w:p>
    <w:p w14:paraId="589B8673" w14:textId="4FBED39E" w:rsidR="007A64D0" w:rsidRDefault="007A64D0" w:rsidP="007A64D0">
      <w:pPr>
        <w:pStyle w:val="Reference"/>
      </w:pPr>
      <w:r>
        <w:rPr>
          <w:lang w:val="it-IT"/>
        </w:rPr>
        <w:t xml:space="preserve">Menesini, E., Nocentini, A., &amp; Palladino, B. E. (2012). </w:t>
      </w:r>
      <w:r>
        <w:t>Empowering students against bullying and cyberbullying: Evaluation of</w:t>
      </w:r>
      <w:r w:rsidR="00143A81">
        <w:t> </w:t>
      </w:r>
      <w:r>
        <w:t>an</w:t>
      </w:r>
      <w:r w:rsidR="00143A81">
        <w:t> </w:t>
      </w:r>
      <w:r>
        <w:t xml:space="preserve">Italian peer-led model. </w:t>
      </w:r>
      <w:r>
        <w:rPr>
          <w:rStyle w:val="Italic"/>
        </w:rPr>
        <w:t>International Journal of Conflict and Violence</w:t>
      </w:r>
      <w:r>
        <w:t>,</w:t>
      </w:r>
      <w:r>
        <w:rPr>
          <w:rStyle w:val="Italic"/>
        </w:rPr>
        <w:t xml:space="preserve"> 6</w:t>
      </w:r>
      <w:r>
        <w:t xml:space="preserve">(2), 313–320. </w:t>
      </w:r>
      <w:hyperlink r:id="rId245" w:history="1">
        <w:r>
          <w:rPr>
            <w:rStyle w:val="Hyperlink"/>
          </w:rPr>
          <w:t>https://doi.org/10.4119/ijcv-2922</w:t>
        </w:r>
      </w:hyperlink>
    </w:p>
    <w:p w14:paraId="6181E1E3" w14:textId="77777777" w:rsidR="007A64D0" w:rsidRDefault="007A64D0" w:rsidP="007A64D0">
      <w:pPr>
        <w:pStyle w:val="Reference"/>
      </w:pPr>
      <w:r>
        <w:t xml:space="preserve">Messinger, A. M. (2017). </w:t>
      </w:r>
      <w:r>
        <w:rPr>
          <w:rStyle w:val="Italic"/>
        </w:rPr>
        <w:t>LGBTQ intimate partner violence: Lessons for policy,</w:t>
      </w:r>
      <w:r>
        <w:t xml:space="preserve"> </w:t>
      </w:r>
      <w:r>
        <w:rPr>
          <w:rStyle w:val="Italic"/>
        </w:rPr>
        <w:t>practice, and research</w:t>
      </w:r>
      <w:r>
        <w:t xml:space="preserve">. University of California Press. </w:t>
      </w:r>
    </w:p>
    <w:p w14:paraId="4EC3A1D2" w14:textId="77777777" w:rsidR="007A64D0" w:rsidRDefault="007A64D0" w:rsidP="007A64D0">
      <w:pPr>
        <w:pStyle w:val="Reference"/>
      </w:pPr>
      <w:r>
        <w:t xml:space="preserve">Meyer, E. J., &amp; Leonardi, B. (2020). Teachers’ professional learning to affirm transgender, non-binary, and gender-creative youth: Experiences and recommendations from the field. In J. Gilbert &amp; J. Sinclair-Palm (Eds.), </w:t>
      </w:r>
      <w:r>
        <w:rPr>
          <w:rStyle w:val="Italic"/>
        </w:rPr>
        <w:t>Trans youth in education</w:t>
      </w:r>
      <w:r>
        <w:t xml:space="preserve"> (pp. 129–143). Routledge. </w:t>
      </w:r>
      <w:hyperlink r:id="rId246" w:history="1">
        <w:r>
          <w:rPr>
            <w:rStyle w:val="Hyperlink"/>
          </w:rPr>
          <w:t>https://doi.org/10.4324/9780429281167</w:t>
        </w:r>
      </w:hyperlink>
      <w:r>
        <w:t xml:space="preserve"> </w:t>
      </w:r>
    </w:p>
    <w:p w14:paraId="4223E5C2" w14:textId="4D28410A" w:rsidR="007A64D0" w:rsidRDefault="007A64D0" w:rsidP="007A64D0">
      <w:pPr>
        <w:pStyle w:val="Reference"/>
      </w:pPr>
      <w:r>
        <w:t>Miller-Graff, L. E., Cater, Å. K., Howell, K. H., &amp; Graham-Bermann, S. A. (2016). Parent–child warmth as a potential mediator of</w:t>
      </w:r>
      <w:r w:rsidR="00143A81">
        <w:t> </w:t>
      </w:r>
      <w:r>
        <w:t xml:space="preserve">childhood exposure to intimate partner violence and positive adulthood functioning. </w:t>
      </w:r>
      <w:r>
        <w:rPr>
          <w:rStyle w:val="Italic"/>
        </w:rPr>
        <w:t>Anxiety, Stress and Coping</w:t>
      </w:r>
      <w:r>
        <w:t>,</w:t>
      </w:r>
      <w:r>
        <w:rPr>
          <w:rStyle w:val="Italic"/>
        </w:rPr>
        <w:t xml:space="preserve"> 29</w:t>
      </w:r>
      <w:r>
        <w:t xml:space="preserve">(3), 259–273. </w:t>
      </w:r>
      <w:hyperlink r:id="rId247" w:history="1">
        <w:r>
          <w:rPr>
            <w:rStyle w:val="Hyperlink"/>
          </w:rPr>
          <w:t>https://doi.org/10.1080/10615806.2015.1028030</w:t>
        </w:r>
      </w:hyperlink>
      <w:r>
        <w:t xml:space="preserve"> </w:t>
      </w:r>
    </w:p>
    <w:p w14:paraId="76320F9A" w14:textId="77777777" w:rsidR="007A64D0" w:rsidRDefault="007A64D0" w:rsidP="007A64D0">
      <w:pPr>
        <w:pStyle w:val="Reference"/>
      </w:pPr>
      <w:r>
        <w:t xml:space="preserve">Minckas, N., Shannon, G., &amp; Mannell, J. (2020). The role of participation and community mobilisation in preventing violence against women and girls: A programme review and critique. </w:t>
      </w:r>
      <w:r>
        <w:rPr>
          <w:rStyle w:val="Italic"/>
        </w:rPr>
        <w:t>Global Health Action</w:t>
      </w:r>
      <w:r>
        <w:t>,</w:t>
      </w:r>
      <w:r>
        <w:rPr>
          <w:rStyle w:val="Italic"/>
        </w:rPr>
        <w:t xml:space="preserve"> 13</w:t>
      </w:r>
      <w:r>
        <w:t xml:space="preserve">(1), 1775061–1775061. </w:t>
      </w:r>
      <w:hyperlink r:id="rId248" w:history="1">
        <w:r>
          <w:rPr>
            <w:rStyle w:val="Hyperlink"/>
          </w:rPr>
          <w:t>https://doi.org/10.1080/16549716.2020.1775061</w:t>
        </w:r>
      </w:hyperlink>
      <w:r>
        <w:t xml:space="preserve"> </w:t>
      </w:r>
    </w:p>
    <w:p w14:paraId="798D75C3" w14:textId="77777777" w:rsidR="007A64D0" w:rsidRDefault="007A64D0" w:rsidP="007A64D0">
      <w:pPr>
        <w:pStyle w:val="Reference"/>
      </w:pPr>
      <w:r>
        <w:t xml:space="preserve">Ministers of the Education Portfolio. (2023, 18 May). </w:t>
      </w:r>
      <w:r>
        <w:rPr>
          <w:rStyle w:val="Italic"/>
        </w:rPr>
        <w:t>Expert group to boost Respectful Relationships Education in schools</w:t>
      </w:r>
      <w:r>
        <w:t xml:space="preserve"> [Media release]. </w:t>
      </w:r>
      <w:hyperlink r:id="rId249" w:history="1">
        <w:r>
          <w:rPr>
            <w:rStyle w:val="Hyperlink"/>
          </w:rPr>
          <w:t>https://ministers.education.gov.au/clare/expert-group-boost-respectful-relationships-education-schools</w:t>
        </w:r>
      </w:hyperlink>
    </w:p>
    <w:p w14:paraId="42EBAC8E" w14:textId="5F9E6989" w:rsidR="007A64D0" w:rsidRDefault="007A64D0" w:rsidP="007A64D0">
      <w:pPr>
        <w:pStyle w:val="Reference"/>
      </w:pPr>
      <w:r>
        <w:t xml:space="preserve">Minter, K., Carlisle, E., &amp; Coumarelos, C. (2021). </w:t>
      </w:r>
      <w:r>
        <w:rPr>
          <w:rStyle w:val="Italic"/>
        </w:rPr>
        <w:t>“Chuck her on a lie detector”: Investigating Australians’ mistrust in women’s reports of</w:t>
      </w:r>
      <w:r w:rsidR="00143A81">
        <w:rPr>
          <w:rStyle w:val="Italic"/>
        </w:rPr>
        <w:t> </w:t>
      </w:r>
      <w:r>
        <w:rPr>
          <w:rStyle w:val="Italic"/>
        </w:rPr>
        <w:t>sexual assault</w:t>
      </w:r>
      <w:r>
        <w:t xml:space="preserve"> (Research report, 04/2021). ANROWS. </w:t>
      </w:r>
      <w:hyperlink r:id="rId250" w:history="1">
        <w:r>
          <w:rPr>
            <w:rStyle w:val="Hyperlink"/>
          </w:rPr>
          <w:t>https://www.anrows.org.au/publication/chuck-her-on-a-lie-detector-investigating-australians-mistrust-in-womens-reports-of-sexual-assault/</w:t>
        </w:r>
      </w:hyperlink>
    </w:p>
    <w:p w14:paraId="6647A105" w14:textId="77777777" w:rsidR="007A64D0" w:rsidRDefault="007A64D0" w:rsidP="007A64D0">
      <w:pPr>
        <w:pStyle w:val="Reference"/>
      </w:pPr>
      <w:r>
        <w:t xml:space="preserve">Mishna, F., Milne, E., Cook, C., Slane, A., &amp; Ringrose, J. (2023). Unsolicited sexts and unwanted requests for sexts: Reflecting on the online sexual harassment of youth. </w:t>
      </w:r>
      <w:r>
        <w:rPr>
          <w:rStyle w:val="Italic"/>
        </w:rPr>
        <w:t>Youth &amp; Society</w:t>
      </w:r>
      <w:r>
        <w:t>,</w:t>
      </w:r>
      <w:r>
        <w:rPr>
          <w:rStyle w:val="Italic"/>
        </w:rPr>
        <w:t xml:space="preserve"> 55</w:t>
      </w:r>
      <w:r>
        <w:t xml:space="preserve">(4), 630–651. </w:t>
      </w:r>
      <w:hyperlink r:id="rId251" w:history="1">
        <w:r>
          <w:rPr>
            <w:rStyle w:val="Hyperlink"/>
          </w:rPr>
          <w:t>https://doi.org/10.1177/0044118x211058226</w:t>
        </w:r>
      </w:hyperlink>
      <w:r>
        <w:t xml:space="preserve"> </w:t>
      </w:r>
    </w:p>
    <w:p w14:paraId="64F92A0F" w14:textId="77777777" w:rsidR="007A64D0" w:rsidRDefault="007A64D0" w:rsidP="007A64D0">
      <w:pPr>
        <w:pStyle w:val="Reference"/>
      </w:pPr>
      <w:r>
        <w:t xml:space="preserve">Mkhize, S., &amp; Gopal, N. (2021). Cyberbullying perpetration: Children and youth at risk of victimization during Covid-19 lockdown. </w:t>
      </w:r>
      <w:r>
        <w:rPr>
          <w:rStyle w:val="Italic"/>
        </w:rPr>
        <w:t>International Journal of Criminology and Sociology</w:t>
      </w:r>
      <w:r>
        <w:t>,</w:t>
      </w:r>
      <w:r>
        <w:rPr>
          <w:rStyle w:val="Italic"/>
        </w:rPr>
        <w:t xml:space="preserve"> 10</w:t>
      </w:r>
      <w:r>
        <w:t xml:space="preserve">, 525–537. </w:t>
      </w:r>
      <w:hyperlink r:id="rId252" w:history="1">
        <w:r>
          <w:rPr>
            <w:rStyle w:val="Hyperlink"/>
          </w:rPr>
          <w:t>https://doi.org/10.6000/1929-4409.2021.10.61</w:t>
        </w:r>
      </w:hyperlink>
    </w:p>
    <w:p w14:paraId="45CF7B35" w14:textId="77777777" w:rsidR="007A64D0" w:rsidRDefault="007A64D0" w:rsidP="007A64D0">
      <w:pPr>
        <w:pStyle w:val="Reference"/>
      </w:pPr>
      <w:r>
        <w:t xml:space="preserve">Molleman, L., Ciranka, S., &amp; van den Bos, W. (2022). Social influence in adolescence as a double-edged sword. </w:t>
      </w:r>
      <w:r>
        <w:rPr>
          <w:rStyle w:val="Italic"/>
        </w:rPr>
        <w:t>Proceedings of the Royal Society B: Biological Sciences</w:t>
      </w:r>
      <w:r>
        <w:t>,</w:t>
      </w:r>
      <w:r>
        <w:rPr>
          <w:rStyle w:val="Italic"/>
        </w:rPr>
        <w:t xml:space="preserve"> 289</w:t>
      </w:r>
      <w:r>
        <w:t xml:space="preserve">(1977), 1–9. </w:t>
      </w:r>
      <w:hyperlink r:id="rId253" w:history="1">
        <w:r>
          <w:rPr>
            <w:rStyle w:val="Hyperlink"/>
          </w:rPr>
          <w:t>https://doi.org/doi:10.1098/rspb.2022.0045</w:t>
        </w:r>
      </w:hyperlink>
      <w:r>
        <w:t xml:space="preserve"> </w:t>
      </w:r>
    </w:p>
    <w:p w14:paraId="43B68076" w14:textId="4C83B2D2" w:rsidR="007A64D0" w:rsidRDefault="007A64D0" w:rsidP="007A64D0">
      <w:pPr>
        <w:pStyle w:val="Reference"/>
      </w:pPr>
      <w:r>
        <w:t>Morean, M. E., Darling, N., Smit, J., DeFeis, J., Wergeles, M., Kurzer-Yashin, D., &amp; Custer, K. (2021). Preventing and responding to</w:t>
      </w:r>
      <w:r w:rsidR="00143A81">
        <w:t> </w:t>
      </w:r>
      <w:r>
        <w:t xml:space="preserve">sexual misconduct: Preliminary efficacy of a peer-led bystander training program for preventing sexual misconduct and reducing heavy drinking among collegiate athletes. </w:t>
      </w:r>
      <w:r>
        <w:rPr>
          <w:rStyle w:val="Italic"/>
        </w:rPr>
        <w:t>Journal of Interpersonal Violence</w:t>
      </w:r>
      <w:r>
        <w:t>,</w:t>
      </w:r>
      <w:r>
        <w:rPr>
          <w:rStyle w:val="Italic"/>
        </w:rPr>
        <w:t xml:space="preserve"> 36</w:t>
      </w:r>
      <w:r>
        <w:t xml:space="preserve">(7–8), 3453–3479. </w:t>
      </w:r>
      <w:hyperlink r:id="rId254" w:history="1">
        <w:r>
          <w:rPr>
            <w:rStyle w:val="Hyperlink"/>
          </w:rPr>
          <w:t>https://doi.org/10.1177/0886260518777555</w:t>
        </w:r>
      </w:hyperlink>
      <w:r>
        <w:t xml:space="preserve"> </w:t>
      </w:r>
    </w:p>
    <w:p w14:paraId="4B6B1166" w14:textId="77777777" w:rsidR="007A64D0" w:rsidRDefault="007A64D0" w:rsidP="007A64D0">
      <w:pPr>
        <w:pStyle w:val="Reference"/>
      </w:pPr>
      <w:r>
        <w:lastRenderedPageBreak/>
        <w:t xml:space="preserve">Morgan, K., Buller, A. M., Evans, M., Trevillion, K., Williamson, E., &amp; Malpass, A. (2016). The role of gender, sexuality and context upon help-seeking for intimate partner violence: A synthesis of data across five studies. </w:t>
      </w:r>
      <w:r>
        <w:rPr>
          <w:rStyle w:val="Italic"/>
        </w:rPr>
        <w:t>Aggression and Violent Behavior</w:t>
      </w:r>
      <w:r>
        <w:t>,</w:t>
      </w:r>
      <w:r>
        <w:rPr>
          <w:rStyle w:val="Italic"/>
        </w:rPr>
        <w:t xml:space="preserve"> 31</w:t>
      </w:r>
      <w:r>
        <w:t xml:space="preserve">, 136–146. </w:t>
      </w:r>
      <w:hyperlink r:id="rId255" w:history="1">
        <w:r>
          <w:rPr>
            <w:rStyle w:val="Hyperlink"/>
          </w:rPr>
          <w:t>https://doi.org/10.1016/j.avb.2016.09.001</w:t>
        </w:r>
      </w:hyperlink>
      <w:r>
        <w:t xml:space="preserve"> </w:t>
      </w:r>
    </w:p>
    <w:p w14:paraId="65874A6C" w14:textId="77777777" w:rsidR="007A64D0" w:rsidRDefault="007A64D0" w:rsidP="007A64D0">
      <w:pPr>
        <w:pStyle w:val="Reference"/>
      </w:pPr>
      <w:r>
        <w:t xml:space="preserve">Morrison, P. K., Hawker, L., Cluss, P. A., Miller, E., Fleming, R., Bicehouse, T., George, D., Burke, J., Wright, K., &amp; Chang, J. C. (2018). The challenges of working with men who perpetrate partner violence: Perspectives and observations of experts who work with batterer intervention programs. </w:t>
      </w:r>
      <w:r>
        <w:rPr>
          <w:rStyle w:val="Emphasis"/>
        </w:rPr>
        <w:t>Journal of Interpersonal Violence, 36</w:t>
      </w:r>
      <w:r>
        <w:t xml:space="preserve">(7–8), NP3524–NP3546. </w:t>
      </w:r>
      <w:hyperlink r:id="rId256" w:history="1">
        <w:r>
          <w:rPr>
            <w:rStyle w:val="Hyperlink"/>
          </w:rPr>
          <w:t>https://doi.org/10.1177/0886260518778258</w:t>
        </w:r>
      </w:hyperlink>
      <w:r>
        <w:t xml:space="preserve"> </w:t>
      </w:r>
    </w:p>
    <w:p w14:paraId="123EFF4F" w14:textId="2B2B0406" w:rsidR="007A64D0" w:rsidRDefault="007A64D0" w:rsidP="007A64D0">
      <w:pPr>
        <w:pStyle w:val="Reference"/>
      </w:pPr>
      <w:r>
        <w:t xml:space="preserve">Moura, T., Alaylim A., Ferreira, P., Mascarenhas, M., Gergoric, M., Ionescu, M., Longo, V. (2023). </w:t>
      </w:r>
      <w:r>
        <w:rPr>
          <w:rStyle w:val="Italic"/>
        </w:rPr>
        <w:t>Be kinder: Unravelling paths to</w:t>
      </w:r>
      <w:r w:rsidR="00143A81">
        <w:rPr>
          <w:rStyle w:val="Italic"/>
        </w:rPr>
        <w:t> </w:t>
      </w:r>
      <w:r>
        <w:rPr>
          <w:rStyle w:val="Italic"/>
        </w:rPr>
        <w:t>address gender stereotypes in education and early childhood</w:t>
      </w:r>
      <w:r>
        <w:t xml:space="preserve">. Kinder. </w:t>
      </w:r>
      <w:hyperlink r:id="rId257" w:anchor="page=31" w:history="1">
        <w:r>
          <w:rPr>
            <w:rStyle w:val="Hyperlink"/>
          </w:rPr>
          <w:t>https://kinder.ces.uc.pt/wp-content/uploads/2023/07/manual_kinder_eu_01d.pdf#page=31</w:t>
        </w:r>
      </w:hyperlink>
    </w:p>
    <w:p w14:paraId="15D526A9" w14:textId="77777777" w:rsidR="007A64D0" w:rsidRDefault="007A64D0" w:rsidP="007A64D0">
      <w:pPr>
        <w:pStyle w:val="Reference"/>
      </w:pPr>
      <w:r>
        <w:t xml:space="preserve">Murnen, S. K. (2015). A social constructivist approach to understanding the relationship between masculinity and sexual aggression. </w:t>
      </w:r>
      <w:r>
        <w:rPr>
          <w:rStyle w:val="Emphasis"/>
        </w:rPr>
        <w:t>Psychology of Men &amp; Masculinity, 16</w:t>
      </w:r>
      <w:r>
        <w:t xml:space="preserve">(4), 370–373. </w:t>
      </w:r>
      <w:hyperlink r:id="rId258" w:history="1">
        <w:r>
          <w:rPr>
            <w:rStyle w:val="Hyperlink"/>
          </w:rPr>
          <w:t>https://doi.org/10.1037/a0039693</w:t>
        </w:r>
      </w:hyperlink>
      <w:r>
        <w:t xml:space="preserve"> </w:t>
      </w:r>
    </w:p>
    <w:p w14:paraId="2D38D446" w14:textId="77777777" w:rsidR="007A64D0" w:rsidRDefault="007A64D0" w:rsidP="007A64D0">
      <w:pPr>
        <w:pStyle w:val="Reference"/>
      </w:pPr>
      <w:r>
        <w:t xml:space="preserve">Murray, L., Warr, D., Chen, J., Block, K., Murdolo, A., Quiazon, R., Davis, E., &amp; Vaughan, C. (2019). Between “here” and “there”: Family violence against immigrant and refugee women in urban and rural southern Australia. </w:t>
      </w:r>
      <w:r>
        <w:rPr>
          <w:rStyle w:val="Italic"/>
        </w:rPr>
        <w:t>Gender, Place &amp; Culture</w:t>
      </w:r>
      <w:r>
        <w:t>,</w:t>
      </w:r>
      <w:r>
        <w:rPr>
          <w:rStyle w:val="Italic"/>
        </w:rPr>
        <w:t xml:space="preserve"> 26</w:t>
      </w:r>
      <w:r>
        <w:t xml:space="preserve">(1), 91–110. </w:t>
      </w:r>
      <w:hyperlink r:id="rId259" w:history="1">
        <w:r>
          <w:rPr>
            <w:rStyle w:val="Hyperlink"/>
          </w:rPr>
          <w:t>https://doi.org/10.1080/0966369X.2018.1553862</w:t>
        </w:r>
      </w:hyperlink>
      <w:r>
        <w:t xml:space="preserve"> </w:t>
      </w:r>
    </w:p>
    <w:p w14:paraId="783441B7" w14:textId="77777777" w:rsidR="007A64D0" w:rsidRDefault="007A64D0" w:rsidP="007A64D0">
      <w:pPr>
        <w:pStyle w:val="Reference"/>
      </w:pPr>
      <w:r>
        <w:t xml:space="preserve">Nancarrow, H., Thomas, K., Ringland, V., &amp; Modini, T. (2020). </w:t>
      </w:r>
      <w:r>
        <w:rPr>
          <w:rStyle w:val="Emphasis"/>
        </w:rPr>
        <w:t>Accurately identifying the “person most in need of protection” in domestic and family violence law</w:t>
      </w:r>
      <w:r>
        <w:t xml:space="preserve"> (Research report, 23/2020). ANROWS. </w:t>
      </w:r>
      <w:hyperlink r:id="rId260" w:history="1">
        <w:r>
          <w:rPr>
            <w:rStyle w:val="Hyperlink"/>
          </w:rPr>
          <w:t>https://www.anrows.org.au/publication/accurately-identifying-the-person-most-in-need-of-protection-in-domestic-and-family-violence-law/</w:t>
        </w:r>
      </w:hyperlink>
    </w:p>
    <w:p w14:paraId="07CA03D8" w14:textId="77777777" w:rsidR="007A64D0" w:rsidRDefault="007A64D0" w:rsidP="007A64D0">
      <w:pPr>
        <w:pStyle w:val="Reference"/>
      </w:pPr>
      <w:r>
        <w:t xml:space="preserve">National Family and Domestic Violence Bench Book. (2022). </w:t>
      </w:r>
      <w:r>
        <w:rPr>
          <w:rStyle w:val="Italic"/>
        </w:rPr>
        <w:t>Emotional and psychological abuse.</w:t>
      </w:r>
      <w:r>
        <w:t xml:space="preserve"> </w:t>
      </w:r>
      <w:hyperlink r:id="rId261" w:history="1">
        <w:r>
          <w:rPr>
            <w:rStyle w:val="Hyperlink"/>
          </w:rPr>
          <w:t>https://dfvbenchbook.aija.org.au/understanding-domestic-and-family-violence/emotional-and-psychological-abuse/</w:t>
        </w:r>
      </w:hyperlink>
      <w:r>
        <w:t xml:space="preserve"> </w:t>
      </w:r>
    </w:p>
    <w:p w14:paraId="6C021A68" w14:textId="77777777" w:rsidR="007A64D0" w:rsidRDefault="007A64D0" w:rsidP="007A64D0">
      <w:pPr>
        <w:pStyle w:val="Reference"/>
      </w:pPr>
      <w:r>
        <w:t xml:space="preserve">National Skills Commission. (2021). </w:t>
      </w:r>
      <w:r>
        <w:rPr>
          <w:rStyle w:val="Italic"/>
        </w:rPr>
        <w:t>Australian jobs 2021</w:t>
      </w:r>
      <w:r>
        <w:t xml:space="preserve">. Australian Government &amp; National Careers Institute. </w:t>
      </w:r>
      <w:hyperlink r:id="rId262" w:history="1">
        <w:r>
          <w:rPr>
            <w:rStyle w:val="Hyperlink"/>
          </w:rPr>
          <w:t>https://www.nationalskillscommission.gov.au/sites/default/files/2021-12/NSC21-0025_Australian%20Jobs%202021_ACC-FA2_0.pdf</w:t>
        </w:r>
      </w:hyperlink>
    </w:p>
    <w:p w14:paraId="27BBF6AD" w14:textId="77777777" w:rsidR="007A64D0" w:rsidRDefault="007A64D0" w:rsidP="007A64D0">
      <w:pPr>
        <w:pStyle w:val="Reference"/>
      </w:pPr>
      <w:r>
        <w:t xml:space="preserve">Nayak, M. B., Byrne, C. A., Martin, M. K., &amp; Abraham, A. G. (2003). Attitudes toward violence against women: A cross-nation study. </w:t>
      </w:r>
      <w:r>
        <w:rPr>
          <w:rStyle w:val="Italic"/>
        </w:rPr>
        <w:t>Sex Roles</w:t>
      </w:r>
      <w:r>
        <w:t>,</w:t>
      </w:r>
      <w:r>
        <w:rPr>
          <w:rStyle w:val="Italic"/>
        </w:rPr>
        <w:t xml:space="preserve"> 49</w:t>
      </w:r>
      <w:r>
        <w:t xml:space="preserve">(7/8), 333–342. </w:t>
      </w:r>
      <w:hyperlink r:id="rId263" w:history="1">
        <w:r>
          <w:rPr>
            <w:rStyle w:val="Hyperlink"/>
          </w:rPr>
          <w:t>https://doi.org/10.1023/A:1025108103617</w:t>
        </w:r>
      </w:hyperlink>
    </w:p>
    <w:p w14:paraId="70F31E17" w14:textId="77777777" w:rsidR="007A64D0" w:rsidRDefault="007A64D0" w:rsidP="007A64D0">
      <w:pPr>
        <w:pStyle w:val="Reference"/>
      </w:pPr>
      <w:r>
        <w:t xml:space="preserve">Nichols, K. (2018). Moving beyond ideas of laddism: Conceptualising “mischievous masculinities” as a new way of understanding everyday sexism and gender relations. </w:t>
      </w:r>
      <w:r>
        <w:rPr>
          <w:rStyle w:val="Italic"/>
        </w:rPr>
        <w:t>Journal of Gender Studies</w:t>
      </w:r>
      <w:r>
        <w:t>,</w:t>
      </w:r>
      <w:r>
        <w:rPr>
          <w:rStyle w:val="Italic"/>
        </w:rPr>
        <w:t xml:space="preserve"> 27</w:t>
      </w:r>
      <w:r>
        <w:t xml:space="preserve">(1), 73–85. </w:t>
      </w:r>
      <w:hyperlink r:id="rId264" w:history="1">
        <w:r>
          <w:rPr>
            <w:rStyle w:val="Hyperlink"/>
          </w:rPr>
          <w:t>https://doi.org/10.1080/09589236.2016.1202815</w:t>
        </w:r>
      </w:hyperlink>
      <w:r>
        <w:t xml:space="preserve"> </w:t>
      </w:r>
    </w:p>
    <w:p w14:paraId="39D650FE" w14:textId="185E227F" w:rsidR="007A64D0" w:rsidRDefault="007A64D0" w:rsidP="007A64D0">
      <w:pPr>
        <w:pStyle w:val="Reference"/>
      </w:pPr>
      <w:r>
        <w:t xml:space="preserve">Nugroho, A., Delgado, M., Baghdasaryan, B., Vindrola, S., Lata, D., &amp; Mehmood Syed, G. (2022). </w:t>
      </w:r>
      <w:r>
        <w:rPr>
          <w:rStyle w:val="Italic"/>
        </w:rPr>
        <w:t>Tackling gender inequality from the early years: Strategies for building a gender-transformative pre-primary education system</w:t>
      </w:r>
      <w:r>
        <w:t>. UNICEF Innocenti – Global Office of</w:t>
      </w:r>
      <w:r w:rsidR="00143A81">
        <w:t> </w:t>
      </w:r>
      <w:r>
        <w:t xml:space="preserve">Research and Foresight. </w:t>
      </w:r>
      <w:hyperlink r:id="rId265" w:history="1">
        <w:r>
          <w:rPr>
            <w:rStyle w:val="Hyperlink"/>
          </w:rPr>
          <w:t>https://www.unicef.org/media/129821/file/Tackling%20Gender%20Equality%20From%20the%20Early%20Years%253</w:t>
        </w:r>
      </w:hyperlink>
    </w:p>
    <w:p w14:paraId="6DEDE4D5" w14:textId="77777777" w:rsidR="007A64D0" w:rsidRDefault="007A64D0" w:rsidP="007A64D0">
      <w:pPr>
        <w:pStyle w:val="Reference"/>
      </w:pPr>
      <w:r>
        <w:t xml:space="preserve">Obermaier, M. (2022). Youth on standby? Explaining adolescent and young adult bystanders’ intervention against online hate speech. </w:t>
      </w:r>
      <w:r>
        <w:rPr>
          <w:rStyle w:val="Italic"/>
        </w:rPr>
        <w:t>New Media &amp; Society</w:t>
      </w:r>
      <w:r>
        <w:t>,</w:t>
      </w:r>
      <w:r>
        <w:rPr>
          <w:rStyle w:val="Italic"/>
        </w:rPr>
        <w:t xml:space="preserve"> </w:t>
      </w:r>
      <w:r>
        <w:t xml:space="preserve">ahead-of-print, 1–23. </w:t>
      </w:r>
      <w:hyperlink r:id="rId266" w:history="1">
        <w:r>
          <w:rPr>
            <w:rStyle w:val="Hyperlink"/>
          </w:rPr>
          <w:t>https://doi.org/10.1177/14614448221125417</w:t>
        </w:r>
      </w:hyperlink>
      <w:r>
        <w:t xml:space="preserve"> </w:t>
      </w:r>
    </w:p>
    <w:p w14:paraId="5A70A0EF" w14:textId="2C922123" w:rsidR="007A64D0" w:rsidRDefault="007A64D0" w:rsidP="007A64D0">
      <w:pPr>
        <w:pStyle w:val="Reference"/>
      </w:pPr>
      <w:r>
        <w:t>Odenbring, Y., &amp; Johansson, T. (2021). Just a joke? The thin line between teasing, harassment and violence among teenage boys in</w:t>
      </w:r>
      <w:r w:rsidR="00143A81">
        <w:t> </w:t>
      </w:r>
      <w:r>
        <w:t xml:space="preserve">lower secondary school. </w:t>
      </w:r>
      <w:r>
        <w:rPr>
          <w:rStyle w:val="Italic"/>
        </w:rPr>
        <w:t>The Journal of Men’s Studies</w:t>
      </w:r>
      <w:r>
        <w:t>,</w:t>
      </w:r>
      <w:r>
        <w:rPr>
          <w:rStyle w:val="Italic"/>
        </w:rPr>
        <w:t xml:space="preserve"> 29</w:t>
      </w:r>
      <w:r>
        <w:t xml:space="preserve">(2), 177–193. </w:t>
      </w:r>
      <w:hyperlink r:id="rId267" w:history="1">
        <w:r>
          <w:rPr>
            <w:rStyle w:val="Hyperlink"/>
          </w:rPr>
          <w:t>https://doi.org/10.1177/1060826520934771</w:t>
        </w:r>
      </w:hyperlink>
      <w:r>
        <w:t xml:space="preserve"> </w:t>
      </w:r>
    </w:p>
    <w:p w14:paraId="2DDADDD9" w14:textId="77777777" w:rsidR="007A64D0" w:rsidRDefault="007A64D0" w:rsidP="007A64D0">
      <w:pPr>
        <w:pStyle w:val="Reference"/>
      </w:pPr>
      <w:r>
        <w:t xml:space="preserve">Ofcom. (2019). </w:t>
      </w:r>
      <w:r w:rsidRPr="0013577A">
        <w:rPr>
          <w:i/>
          <w:iCs/>
        </w:rPr>
        <w:t>Children and parents: Media use and attitudes report 2018</w:t>
      </w:r>
      <w:r>
        <w:t xml:space="preserve">. </w:t>
      </w:r>
      <w:hyperlink r:id="rId268" w:history="1">
        <w:r>
          <w:rPr>
            <w:rStyle w:val="Hyperlink"/>
          </w:rPr>
          <w:t>https://www.ofcom.org.uk/__data/assets/pdf_file/0024/134907/children-and-parents-media-use-and-attitudes-2018.pdf</w:t>
        </w:r>
      </w:hyperlink>
    </w:p>
    <w:p w14:paraId="407D8C53" w14:textId="77777777" w:rsidR="007A64D0" w:rsidRDefault="007A64D0" w:rsidP="007A64D0">
      <w:pPr>
        <w:pStyle w:val="Reference"/>
      </w:pPr>
      <w:r>
        <w:t xml:space="preserve">Ogilvie, J., Thomsen, L., Barton, J., Harris, D. A., Rynne, J., &amp; O’Leary, P. (2022). </w:t>
      </w:r>
      <w:r>
        <w:rPr>
          <w:rStyle w:val="Emphasis"/>
        </w:rPr>
        <w:t>Adverse childhood experiences among youth who offend: Examining exposure to domestic and family violence for male youth who perpetrate sexual harm and violence</w:t>
      </w:r>
      <w:r>
        <w:t xml:space="preserve">. Australia’s National Research Organisation for Women’s Safety. </w:t>
      </w:r>
      <w:hyperlink r:id="rId269" w:history="1">
        <w:r>
          <w:rPr>
            <w:rStyle w:val="Hyperlink"/>
          </w:rPr>
          <w:t>https://www.anrows.org.au/publication/adverse-childhood-experiences-among-youth-who-offend-examining-exposure-to-domestic-and-family-violence-for-male-youth-who-perpetrate-sexual-harm-and-violence/</w:t>
        </w:r>
      </w:hyperlink>
      <w:r>
        <w:t xml:space="preserve"> </w:t>
      </w:r>
    </w:p>
    <w:p w14:paraId="2B7D125D" w14:textId="77777777" w:rsidR="007A64D0" w:rsidRDefault="007A64D0" w:rsidP="007A64D0">
      <w:pPr>
        <w:pStyle w:val="Reference"/>
      </w:pPr>
      <w:r>
        <w:t xml:space="preserve">Olson, D. V. (2019). The influence of your neighbors’ religions on you, your attitudes and behaviors, and your community. </w:t>
      </w:r>
      <w:r>
        <w:rPr>
          <w:rStyle w:val="Italic"/>
        </w:rPr>
        <w:t>Sociology of Religion</w:t>
      </w:r>
      <w:r>
        <w:t>,</w:t>
      </w:r>
      <w:r>
        <w:rPr>
          <w:rStyle w:val="Italic"/>
        </w:rPr>
        <w:t xml:space="preserve"> 80</w:t>
      </w:r>
      <w:r>
        <w:t xml:space="preserve">(2), 147–167. </w:t>
      </w:r>
      <w:hyperlink r:id="rId270" w:history="1">
        <w:r>
          <w:rPr>
            <w:rStyle w:val="Hyperlink"/>
          </w:rPr>
          <w:t>https://doi.org/10.1093/socrel/srz001</w:t>
        </w:r>
      </w:hyperlink>
      <w:r>
        <w:t xml:space="preserve"> </w:t>
      </w:r>
    </w:p>
    <w:p w14:paraId="783634D3" w14:textId="77777777" w:rsidR="007A64D0" w:rsidRDefault="007A64D0" w:rsidP="007A64D0">
      <w:pPr>
        <w:pStyle w:val="Reference"/>
      </w:pPr>
      <w:r>
        <w:t xml:space="preserve">Orchowski, L. M., Edwards, K. M., Hollander, J. A., Banyard, V. L., Senn, C. Y., &amp; Gidycz, C. A. (2018). Integrating sexual assault resistance, bystander, and men’s social norms strategies to prevent sexual violence on college campuses: A call to action. </w:t>
      </w:r>
      <w:r>
        <w:rPr>
          <w:rStyle w:val="Italic"/>
        </w:rPr>
        <w:t>Trauma, Violence, &amp; Abuse</w:t>
      </w:r>
      <w:r>
        <w:t>,</w:t>
      </w:r>
      <w:r>
        <w:rPr>
          <w:rStyle w:val="Italic"/>
        </w:rPr>
        <w:t xml:space="preserve"> 21</w:t>
      </w:r>
      <w:r>
        <w:t xml:space="preserve">(4), 811–827. </w:t>
      </w:r>
      <w:hyperlink r:id="rId271" w:history="1">
        <w:r>
          <w:rPr>
            <w:rStyle w:val="Hyperlink"/>
          </w:rPr>
          <w:t>https://doi.org/10.1177/1524838018789153</w:t>
        </w:r>
      </w:hyperlink>
      <w:r>
        <w:t xml:space="preserve"> </w:t>
      </w:r>
    </w:p>
    <w:p w14:paraId="529587F3" w14:textId="77777777" w:rsidR="007A64D0" w:rsidRDefault="007A64D0" w:rsidP="007A64D0">
      <w:pPr>
        <w:pStyle w:val="Reference"/>
      </w:pPr>
      <w:r>
        <w:t xml:space="preserve">Organisation for Economic Co-operation and Development. (2021). </w:t>
      </w:r>
      <w:r>
        <w:rPr>
          <w:rStyle w:val="Italic"/>
        </w:rPr>
        <w:t>The future at five: Gendered aspirations of five-year-olds</w:t>
      </w:r>
      <w:r>
        <w:t xml:space="preserve">. </w:t>
      </w:r>
      <w:hyperlink r:id="rId272" w:history="1">
        <w:r>
          <w:rPr>
            <w:rStyle w:val="Hyperlink"/>
          </w:rPr>
          <w:t>https://issuu.com/oecd.publishing/docs/future-at-five-gendered-aspirations-five-year-olds</w:t>
        </w:r>
      </w:hyperlink>
    </w:p>
    <w:p w14:paraId="4D8D5483" w14:textId="77777777" w:rsidR="007A64D0" w:rsidRDefault="007A64D0" w:rsidP="007A64D0">
      <w:pPr>
        <w:pStyle w:val="Reference"/>
      </w:pPr>
      <w:r>
        <w:t xml:space="preserve">Our Watch. (2018). </w:t>
      </w:r>
      <w:r>
        <w:rPr>
          <w:rStyle w:val="Emphasis"/>
        </w:rPr>
        <w:t>Changing the picture: A national resource to support the prevention of violence against Aboriginal and/or Torres Strait Islander women and their children</w:t>
      </w:r>
      <w:r>
        <w:t xml:space="preserve">. </w:t>
      </w:r>
      <w:hyperlink r:id="rId273" w:history="1">
        <w:r>
          <w:rPr>
            <w:rStyle w:val="Hyperlink"/>
          </w:rPr>
          <w:t>https://www.ourwatch.org.au/resource/changing-the-picture/</w:t>
        </w:r>
      </w:hyperlink>
      <w:r>
        <w:t xml:space="preserve"> </w:t>
      </w:r>
    </w:p>
    <w:p w14:paraId="41EFFA42" w14:textId="77777777" w:rsidR="007A64D0" w:rsidRDefault="007A64D0" w:rsidP="007A64D0">
      <w:pPr>
        <w:pStyle w:val="Reference"/>
      </w:pPr>
      <w:r>
        <w:lastRenderedPageBreak/>
        <w:t xml:space="preserve">Our Watch. (2019). </w:t>
      </w:r>
      <w:r>
        <w:rPr>
          <w:rStyle w:val="Italic"/>
        </w:rPr>
        <w:t>Men in focus: Unpacking masculinities and engaging men in the prevention of violence against women</w:t>
      </w:r>
      <w:r>
        <w:t xml:space="preserve">. </w:t>
      </w:r>
      <w:hyperlink r:id="rId274" w:history="1">
        <w:r>
          <w:rPr>
            <w:rStyle w:val="Hyperlink"/>
          </w:rPr>
          <w:t>https://www.ourwatch.org.au/resource/men-in-focus-practice-guide-addressing-masculinities-and-working-with-men-in-the-prevention-of-mens-violence-against-women/</w:t>
        </w:r>
      </w:hyperlink>
    </w:p>
    <w:p w14:paraId="2E60998F" w14:textId="77777777" w:rsidR="007A64D0" w:rsidRDefault="007A64D0" w:rsidP="007A64D0">
      <w:pPr>
        <w:pStyle w:val="Reference"/>
      </w:pPr>
      <w:r>
        <w:t xml:space="preserve">Our Watch. (2021a). </w:t>
      </w:r>
      <w:r>
        <w:rPr>
          <w:rStyle w:val="Italic"/>
        </w:rPr>
        <w:t>Change the story: A shared framework for the primary prevention of violence against women in Australia</w:t>
      </w:r>
      <w:r>
        <w:t xml:space="preserve"> (2nd ed.). </w:t>
      </w:r>
      <w:hyperlink r:id="rId275" w:history="1">
        <w:r>
          <w:rPr>
            <w:rStyle w:val="Hyperlink"/>
          </w:rPr>
          <w:t>https://www.ourwatch.org.au/resource/change-the-story-a-shared-framework-for-the-primary-prevention-of-violence-against-women-in-australia</w:t>
        </w:r>
      </w:hyperlink>
    </w:p>
    <w:p w14:paraId="4AEFC5C9" w14:textId="77777777" w:rsidR="007A64D0" w:rsidRDefault="007A64D0" w:rsidP="007A64D0">
      <w:pPr>
        <w:pStyle w:val="Reference"/>
      </w:pPr>
      <w:r>
        <w:t xml:space="preserve">Our Watch. (2021b). </w:t>
      </w:r>
      <w:r>
        <w:rPr>
          <w:rStyle w:val="Italic"/>
        </w:rPr>
        <w:t>Change the story: A shared framework for the primary prevention of violence against women in Australia. Summary.</w:t>
      </w:r>
      <w:r>
        <w:t xml:space="preserve"> (2nd ed.). </w:t>
      </w:r>
      <w:hyperlink r:id="rId276" w:history="1">
        <w:r>
          <w:rPr>
            <w:rStyle w:val="Hyperlink"/>
          </w:rPr>
          <w:t>https://media-cdn.ourwatch.org.au/wp-content/uploads/sites/2/2021/11/18101910/Change-the-story-exec-summary-AA.pdf</w:t>
        </w:r>
      </w:hyperlink>
    </w:p>
    <w:p w14:paraId="6B838AC1" w14:textId="77777777" w:rsidR="007A64D0" w:rsidRDefault="007A64D0" w:rsidP="007A64D0">
      <w:pPr>
        <w:pStyle w:val="Reference"/>
      </w:pPr>
      <w:r>
        <w:t xml:space="preserve">Our Watch. (2021c). </w:t>
      </w:r>
      <w:r>
        <w:rPr>
          <w:rStyle w:val="Italic"/>
        </w:rPr>
        <w:t>Respectful relationships education in schools. Evidence paper</w:t>
      </w:r>
      <w:r>
        <w:t xml:space="preserve">. </w:t>
      </w:r>
      <w:hyperlink r:id="rId277" w:history="1">
        <w:r>
          <w:rPr>
            <w:rStyle w:val="Hyperlink"/>
          </w:rPr>
          <w:t>https://media-cdn.ourwatch.org.au/wp-content/uploads/sites/2/2021/03/29130252/RRE-Evidence-paper-accessible-100321.pdf</w:t>
        </w:r>
      </w:hyperlink>
    </w:p>
    <w:p w14:paraId="306F0D0B" w14:textId="77777777" w:rsidR="007A64D0" w:rsidRDefault="007A64D0" w:rsidP="007A64D0">
      <w:pPr>
        <w:pStyle w:val="Reference"/>
      </w:pPr>
      <w:r>
        <w:t xml:space="preserve">Our Watch. (2021d). </w:t>
      </w:r>
      <w:r>
        <w:rPr>
          <w:rStyle w:val="Italic"/>
        </w:rPr>
        <w:t>Respectful relationships education to prevent gender-based violence: Lessons from a multi-year pilot in primary schools</w:t>
      </w:r>
      <w:r>
        <w:t xml:space="preserve">. </w:t>
      </w:r>
      <w:hyperlink r:id="rId278" w:history="1">
        <w:r>
          <w:rPr>
            <w:rStyle w:val="Hyperlink"/>
          </w:rPr>
          <w:t>https://apo.org.au/sites/default/files/resource-files/2021-05/apo-nid312142.pdf</w:t>
        </w:r>
      </w:hyperlink>
    </w:p>
    <w:p w14:paraId="2F542D73" w14:textId="77777777" w:rsidR="007A64D0" w:rsidRDefault="007A64D0" w:rsidP="007A64D0">
      <w:pPr>
        <w:pStyle w:val="Reference"/>
      </w:pPr>
      <w:r>
        <w:t xml:space="preserve">Our Watch. (2022). </w:t>
      </w:r>
      <w:r>
        <w:rPr>
          <w:rStyle w:val="Italic"/>
        </w:rPr>
        <w:t>Understanding, monitoring and responding to resistance and backlash</w:t>
      </w:r>
      <w:r>
        <w:t xml:space="preserve">. Our Watch and Respect Victoria. </w:t>
      </w:r>
      <w:hyperlink r:id="rId279" w:history="1">
        <w:r>
          <w:rPr>
            <w:rStyle w:val="Hyperlink"/>
          </w:rPr>
          <w:t>https://www.respectvictoria.vic.gov.au/understanding-backlash-and-resistance</w:t>
        </w:r>
      </w:hyperlink>
    </w:p>
    <w:p w14:paraId="4B604F12" w14:textId="77777777" w:rsidR="007A64D0" w:rsidRDefault="007A64D0" w:rsidP="007A64D0">
      <w:pPr>
        <w:pStyle w:val="Reference"/>
      </w:pPr>
      <w:r>
        <w:t xml:space="preserve">Our Watch. (2023a). </w:t>
      </w:r>
      <w:r>
        <w:rPr>
          <w:rStyle w:val="Italic"/>
        </w:rPr>
        <w:t>The evidence for respectful relationships education</w:t>
      </w:r>
      <w:r>
        <w:t xml:space="preserve">. </w:t>
      </w:r>
      <w:hyperlink r:id="rId280" w:history="1">
        <w:r>
          <w:rPr>
            <w:rStyle w:val="Hyperlink"/>
          </w:rPr>
          <w:t>https://education.ourwatch.org.au/the-evidence-for-respectful-relationships-education/</w:t>
        </w:r>
      </w:hyperlink>
    </w:p>
    <w:p w14:paraId="48C64B84" w14:textId="77777777" w:rsidR="007A64D0" w:rsidRDefault="007A64D0" w:rsidP="007A64D0">
      <w:pPr>
        <w:pStyle w:val="Reference"/>
      </w:pPr>
      <w:r>
        <w:t xml:space="preserve">Our Watch. (2023b). </w:t>
      </w:r>
      <w:r>
        <w:rPr>
          <w:rStyle w:val="Italic"/>
        </w:rPr>
        <w:t>Workplace equality and respect</w:t>
      </w:r>
      <w:r>
        <w:t xml:space="preserve">. </w:t>
      </w:r>
      <w:hyperlink r:id="rId281" w:history="1">
        <w:r>
          <w:rPr>
            <w:rStyle w:val="Hyperlink"/>
          </w:rPr>
          <w:t>https://workplace.ourwatch.org.au/</w:t>
        </w:r>
      </w:hyperlink>
    </w:p>
    <w:p w14:paraId="7A4BE8F5" w14:textId="77777777" w:rsidR="007A64D0" w:rsidRDefault="007A64D0" w:rsidP="007A64D0">
      <w:pPr>
        <w:pStyle w:val="Reference"/>
      </w:pPr>
      <w:r>
        <w:rPr>
          <w:lang w:bidi="ar-YE"/>
        </w:rPr>
        <w:t>Øverlien</w:t>
      </w:r>
      <w:r>
        <w:t xml:space="preserve">, C., Hellevik, P. M., &amp; Korkmaz, S. (2020). Young women’s experiences of intimate partner violence – narratives of control, terror, and resistance. </w:t>
      </w:r>
      <w:r>
        <w:rPr>
          <w:rStyle w:val="Italic"/>
        </w:rPr>
        <w:t>Journal of Family Violence</w:t>
      </w:r>
      <w:r>
        <w:t>,</w:t>
      </w:r>
      <w:r>
        <w:rPr>
          <w:rStyle w:val="Italic"/>
        </w:rPr>
        <w:t xml:space="preserve"> 35</w:t>
      </w:r>
      <w:r>
        <w:t xml:space="preserve">(8), 803–814. </w:t>
      </w:r>
      <w:hyperlink r:id="rId282" w:history="1">
        <w:r>
          <w:rPr>
            <w:rStyle w:val="Hyperlink"/>
          </w:rPr>
          <w:t>https://doi.org/10.1007/s10896-019-00120-9</w:t>
        </w:r>
      </w:hyperlink>
      <w:r>
        <w:t xml:space="preserve"> </w:t>
      </w:r>
    </w:p>
    <w:p w14:paraId="4D34EF52" w14:textId="77777777" w:rsidR="007A64D0" w:rsidRDefault="007A64D0" w:rsidP="007A64D0">
      <w:pPr>
        <w:pStyle w:val="Reference"/>
      </w:pPr>
      <w:r>
        <w:t xml:space="preserve">Pall, C. (2023). </w:t>
      </w:r>
      <w:r>
        <w:rPr>
          <w:rStyle w:val="Italic"/>
        </w:rPr>
        <w:t>Meet Conor</w:t>
      </w:r>
      <w:r>
        <w:t xml:space="preserve">. </w:t>
      </w:r>
      <w:hyperlink r:id="rId283" w:history="1">
        <w:r>
          <w:rPr>
            <w:rStyle w:val="Hyperlink"/>
          </w:rPr>
          <w:t>https://www.conorpall.com/about</w:t>
        </w:r>
      </w:hyperlink>
    </w:p>
    <w:p w14:paraId="02CE016C" w14:textId="77777777" w:rsidR="007A64D0" w:rsidRDefault="007A64D0" w:rsidP="007A64D0">
      <w:pPr>
        <w:pStyle w:val="Reference"/>
      </w:pPr>
      <w:r>
        <w:t xml:space="preserve">Palmer, J. E., McMahon, S., &amp; Fissel, E. (2020). Correlates of incoming male college students’ proclivity to perpetrate sexual assault. </w:t>
      </w:r>
      <w:r>
        <w:rPr>
          <w:rStyle w:val="Italic"/>
        </w:rPr>
        <w:t>Violence Against Women</w:t>
      </w:r>
      <w:r>
        <w:t>,</w:t>
      </w:r>
      <w:r>
        <w:rPr>
          <w:rStyle w:val="Italic"/>
        </w:rPr>
        <w:t xml:space="preserve"> 27</w:t>
      </w:r>
      <w:r>
        <w:t xml:space="preserve">(3–4), 507–528. </w:t>
      </w:r>
      <w:hyperlink r:id="rId284" w:history="1">
        <w:r>
          <w:rPr>
            <w:rStyle w:val="Hyperlink"/>
          </w:rPr>
          <w:t>https://doi.org/10.1177/1077801220905663</w:t>
        </w:r>
      </w:hyperlink>
      <w:r>
        <w:t xml:space="preserve"> </w:t>
      </w:r>
    </w:p>
    <w:p w14:paraId="34193D8A" w14:textId="77777777" w:rsidR="007A64D0" w:rsidRDefault="007A64D0" w:rsidP="007A64D0">
      <w:pPr>
        <w:pStyle w:val="Reference"/>
      </w:pPr>
      <w:r>
        <w:t xml:space="preserve">Patton, G. C., Sawyer, S. M., Santelli, J. S., Ross, D. A., Afifi, R., Allen, N. B., Arora, M., Azzopardi, P., Baldwin, W., &amp; Bonell, C. (2016). Our future: a Lancet commission on adolescent health and wellbeing. </w:t>
      </w:r>
      <w:r>
        <w:rPr>
          <w:rStyle w:val="Italic"/>
        </w:rPr>
        <w:t>The Lancet</w:t>
      </w:r>
      <w:r>
        <w:t>,</w:t>
      </w:r>
      <w:r>
        <w:rPr>
          <w:rStyle w:val="Italic"/>
        </w:rPr>
        <w:t xml:space="preserve"> 387</w:t>
      </w:r>
      <w:r>
        <w:t xml:space="preserve">(10036), 2423–2478. </w:t>
      </w:r>
      <w:hyperlink r:id="rId285" w:history="1">
        <w:r>
          <w:rPr>
            <w:rStyle w:val="Hyperlink"/>
          </w:rPr>
          <w:t>https://doi.org/10.1016/S0140-6736(16)00579-1</w:t>
        </w:r>
      </w:hyperlink>
      <w:r>
        <w:t xml:space="preserve"> </w:t>
      </w:r>
    </w:p>
    <w:p w14:paraId="475A9E8B" w14:textId="7FCE78CC" w:rsidR="007A64D0" w:rsidRDefault="007A64D0" w:rsidP="007A64D0">
      <w:pPr>
        <w:pStyle w:val="Reference"/>
      </w:pPr>
      <w:r>
        <w:t>Paul, L. A., Zinzow, H. M., McCauley, J. L., Kilpatrick, D. G., &amp; Resnick, H. S. (2014). Does encouragement by others increase rape</w:t>
      </w:r>
      <w:r w:rsidR="000E623E">
        <w:t> </w:t>
      </w:r>
      <w:r>
        <w:t xml:space="preserve">reporting? Findings from a national sample of women. </w:t>
      </w:r>
      <w:r>
        <w:rPr>
          <w:rStyle w:val="Italic"/>
        </w:rPr>
        <w:t>Psychology of Women Quarterly</w:t>
      </w:r>
      <w:r>
        <w:t>,</w:t>
      </w:r>
      <w:r>
        <w:rPr>
          <w:rStyle w:val="Italic"/>
        </w:rPr>
        <w:t xml:space="preserve"> 38</w:t>
      </w:r>
      <w:r>
        <w:t xml:space="preserve">(2), 222–232. </w:t>
      </w:r>
      <w:hyperlink r:id="rId286" w:history="1">
        <w:r>
          <w:rPr>
            <w:rStyle w:val="Hyperlink"/>
          </w:rPr>
          <w:t>https://doi.org/10.1177/0361684313501999</w:t>
        </w:r>
      </w:hyperlink>
      <w:r>
        <w:t xml:space="preserve"> </w:t>
      </w:r>
    </w:p>
    <w:p w14:paraId="7A8108F1" w14:textId="77777777" w:rsidR="007A64D0" w:rsidRDefault="007A64D0" w:rsidP="007A64D0">
      <w:pPr>
        <w:pStyle w:val="Reference"/>
      </w:pPr>
      <w:r>
        <w:t xml:space="preserve">Pavlíček, A., Bobenič Hintošová, A., &amp; Sudzina, F. (2021). Impact of personality traits and demographic factors on risk attitude. </w:t>
      </w:r>
      <w:r>
        <w:rPr>
          <w:rStyle w:val="Italic"/>
        </w:rPr>
        <w:t>SAGE Open</w:t>
      </w:r>
      <w:r>
        <w:t>,</w:t>
      </w:r>
      <w:r>
        <w:rPr>
          <w:rStyle w:val="Italic"/>
        </w:rPr>
        <w:t xml:space="preserve"> 11</w:t>
      </w:r>
      <w:r>
        <w:t xml:space="preserve">(4), 1–11. </w:t>
      </w:r>
      <w:hyperlink r:id="rId287" w:history="1">
        <w:r>
          <w:rPr>
            <w:rStyle w:val="Hyperlink"/>
          </w:rPr>
          <w:t>https://doi.org/10.1177/21582440211066917</w:t>
        </w:r>
      </w:hyperlink>
      <w:r>
        <w:t xml:space="preserve"> </w:t>
      </w:r>
    </w:p>
    <w:p w14:paraId="43410C92" w14:textId="409DB8C6" w:rsidR="007A64D0" w:rsidRDefault="007A64D0" w:rsidP="007A64D0">
      <w:pPr>
        <w:pStyle w:val="Reference"/>
        <w:rPr>
          <w:rStyle w:val="Hyperlink"/>
        </w:rPr>
      </w:pPr>
      <w:r>
        <w:t xml:space="preserve">Pease, B. (2008). </w:t>
      </w:r>
      <w:r>
        <w:rPr>
          <w:rStyle w:val="Italic"/>
        </w:rPr>
        <w:t>Engaging men in men’s violence prevention: Exploring the tensions, dilemmas and possibilities</w:t>
      </w:r>
      <w:r>
        <w:t>. Australian Domestic &amp;</w:t>
      </w:r>
      <w:r w:rsidR="000E623E">
        <w:t> </w:t>
      </w:r>
      <w:r>
        <w:t xml:space="preserve">Family Violence Clearinghouse. </w:t>
      </w:r>
      <w:hyperlink r:id="rId288" w:history="1">
        <w:r>
          <w:rPr>
            <w:rStyle w:val="Hyperlink"/>
          </w:rPr>
          <w:t>https://apo.org.au/node/1802</w:t>
        </w:r>
      </w:hyperlink>
    </w:p>
    <w:p w14:paraId="318C232B" w14:textId="3D7B4693" w:rsidR="007A64D0" w:rsidRDefault="007A64D0" w:rsidP="007A64D0">
      <w:pPr>
        <w:pStyle w:val="Reference"/>
      </w:pPr>
      <w:r>
        <w:t>Pease, B. (2021). Gendering violence: Theorising the links between men, masculinities and violence. In M. Husso, S. Karkulehto, T.</w:t>
      </w:r>
      <w:r w:rsidR="000E623E">
        <w:t> </w:t>
      </w:r>
      <w:r>
        <w:t xml:space="preserve">Saresma, A. Laitila, J. Eilola, &amp; H. Siltala (Eds.), </w:t>
      </w:r>
      <w:r>
        <w:rPr>
          <w:rStyle w:val="Italic"/>
        </w:rPr>
        <w:t>Violence, gender and affect: Interpersonal, institutional and ideological practices</w:t>
      </w:r>
      <w:r>
        <w:t xml:space="preserve"> (pp. 71–90). Springer International Publishing. </w:t>
      </w:r>
      <w:hyperlink r:id="rId289" w:history="1">
        <w:r>
          <w:rPr>
            <w:rStyle w:val="Hyperlink"/>
          </w:rPr>
          <w:t>https://doi.org/10.1007/978-3-030-56930-3_4</w:t>
        </w:r>
      </w:hyperlink>
      <w:r>
        <w:t xml:space="preserve"> </w:t>
      </w:r>
    </w:p>
    <w:p w14:paraId="682DF233" w14:textId="28157E62" w:rsidR="007A64D0" w:rsidRDefault="007A64D0" w:rsidP="007A64D0">
      <w:pPr>
        <w:pStyle w:val="Reference"/>
      </w:pPr>
      <w:r>
        <w:t xml:space="preserve">Peralta, R. L., &amp; Tuttle, L. A. (2013). Male perpetrators of heterosexual-partner-violence: The role of threats to masculinity. </w:t>
      </w:r>
      <w:r>
        <w:rPr>
          <w:rStyle w:val="Emphasis"/>
        </w:rPr>
        <w:t>Journal</w:t>
      </w:r>
      <w:r w:rsidR="000E623E">
        <w:rPr>
          <w:rStyle w:val="Emphasis"/>
        </w:rPr>
        <w:t> </w:t>
      </w:r>
      <w:r>
        <w:rPr>
          <w:rStyle w:val="Emphasis"/>
        </w:rPr>
        <w:t>of Men’s Studies, 21</w:t>
      </w:r>
      <w:r>
        <w:t xml:space="preserve">(3), 255–276. </w:t>
      </w:r>
      <w:hyperlink r:id="rId290" w:history="1">
        <w:r>
          <w:rPr>
            <w:rStyle w:val="Hyperlink"/>
          </w:rPr>
          <w:t>https://journals.sagepub.com/doi/abs/10.3149/jms.2103.255</w:t>
        </w:r>
      </w:hyperlink>
    </w:p>
    <w:p w14:paraId="45B1769A" w14:textId="77777777" w:rsidR="007A64D0" w:rsidRDefault="007A64D0" w:rsidP="007A64D0">
      <w:pPr>
        <w:pStyle w:val="Reference"/>
      </w:pPr>
      <w:r>
        <w:t xml:space="preserve">Peterson, A. J., Silver, G. K., Bell, H. A., Guinosso, S. A., &amp; Coyle, K. K. (2022). Young people’s views on pornography and their sexual development, attitudes, and behaviors: A systematic review and synthesis of qualitative research. </w:t>
      </w:r>
      <w:r>
        <w:rPr>
          <w:rStyle w:val="Italic"/>
        </w:rPr>
        <w:t>American Journal of Sexuality Education</w:t>
      </w:r>
      <w:r>
        <w:t>,</w:t>
      </w:r>
      <w:r>
        <w:rPr>
          <w:rStyle w:val="Italic"/>
        </w:rPr>
        <w:t xml:space="preserve"> </w:t>
      </w:r>
      <w:r>
        <w:t xml:space="preserve">ahead-of-print, 1–39. </w:t>
      </w:r>
      <w:hyperlink r:id="rId291" w:history="1">
        <w:r>
          <w:rPr>
            <w:rStyle w:val="Hyperlink"/>
          </w:rPr>
          <w:t>https://doi.org/10.1080/15546128.2022.2096163</w:t>
        </w:r>
      </w:hyperlink>
      <w:r>
        <w:t xml:space="preserve"> </w:t>
      </w:r>
    </w:p>
    <w:p w14:paraId="441FD740" w14:textId="77777777" w:rsidR="007A64D0" w:rsidRDefault="007A64D0" w:rsidP="007A64D0">
      <w:pPr>
        <w:pStyle w:val="Reference"/>
      </w:pPr>
      <w:r>
        <w:t xml:space="preserve">Pfitzner, N., Stewart, R., Ollis, D., Allen, K.-A., Fitz-Gibbon, K., &amp; Flynn, A. (2022). </w:t>
      </w:r>
      <w:r>
        <w:rPr>
          <w:rStyle w:val="Italic"/>
        </w:rPr>
        <w:t>Respectful relationships education in Australia: National stocktake and gap analysis of respectful relationships education material and resources final report</w:t>
      </w:r>
      <w:r>
        <w:t xml:space="preserve">. Monash University. </w:t>
      </w:r>
      <w:hyperlink r:id="rId292" w:history="1">
        <w:r>
          <w:rPr>
            <w:rStyle w:val="Hyperlink"/>
          </w:rPr>
          <w:t>https://apo.org.au/sites/default/files/resource-files/2022-09/apo-nid319544.pdf</w:t>
        </w:r>
      </w:hyperlink>
    </w:p>
    <w:p w14:paraId="14917BE8" w14:textId="77777777" w:rsidR="007A64D0" w:rsidRDefault="007A64D0" w:rsidP="007A64D0">
      <w:pPr>
        <w:pStyle w:val="Reference"/>
      </w:pPr>
      <w:r>
        <w:t xml:space="preserve">Politoff, V., Crabbe, M., Honey, N., Mannix, S., Mickle, J., Morgan, J., Parkes, A., Powell, A., Stubbs, J., Ward, A., &amp; Webster, K. (2019). </w:t>
      </w:r>
      <w:r>
        <w:rPr>
          <w:rStyle w:val="Emphasis"/>
        </w:rPr>
        <w:t>Young Australians’ attitudes to violence against women and gender equality: Findings from the 2017 National Community Attitudes towards Violence against Women Survey (NCAS)</w:t>
      </w:r>
      <w:r>
        <w:t xml:space="preserve"> (ANROWS Insights, Issue 01/2019). ANROWS. </w:t>
      </w:r>
      <w:hyperlink r:id="rId293" w:history="1">
        <w:r>
          <w:rPr>
            <w:rStyle w:val="Hyperlink"/>
          </w:rPr>
          <w:t>https://www.anrows.org.au/publication/young-australians-attitudes-to-violence-against-women-and-gender-equality-findings-from-the-2017-national-community-attitudes-towards-violence-against-women-survey-ncas/</w:t>
        </w:r>
      </w:hyperlink>
    </w:p>
    <w:p w14:paraId="2C4B3BF7" w14:textId="77777777" w:rsidR="007A64D0" w:rsidRDefault="007A64D0" w:rsidP="007A64D0">
      <w:pPr>
        <w:pStyle w:val="Reference"/>
      </w:pPr>
      <w:r>
        <w:t xml:space="preserve">Powell, A. (2014). </w:t>
      </w:r>
      <w:r>
        <w:rPr>
          <w:rStyle w:val="Italic"/>
        </w:rPr>
        <w:t>Bystander approaches. Responding to and preventing men’s sexual violence against women</w:t>
      </w:r>
      <w:r>
        <w:t xml:space="preserve"> (ACSSA Issues No. 17/2014). </w:t>
      </w:r>
      <w:hyperlink r:id="rId294" w:history="1">
        <w:r>
          <w:rPr>
            <w:rStyle w:val="Hyperlink"/>
          </w:rPr>
          <w:t>https://apo.org.au/sites/default/files/resource-files/2014-05/apo-nid267426.pdf</w:t>
        </w:r>
      </w:hyperlink>
    </w:p>
    <w:p w14:paraId="5D482D8C" w14:textId="75CB12A5" w:rsidR="007A64D0" w:rsidRDefault="007A64D0" w:rsidP="007A64D0">
      <w:pPr>
        <w:pStyle w:val="Reference"/>
      </w:pPr>
      <w:r>
        <w:t xml:space="preserve">Powell, A., Flynn, A., &amp; Hindes, S. (2022). </w:t>
      </w:r>
      <w:r>
        <w:rPr>
          <w:rStyle w:val="Emphasis"/>
        </w:rPr>
        <w:t>Technology-facilitated abuse: National survey of Australian adults’ experiences</w:t>
      </w:r>
      <w:r>
        <w:t xml:space="preserve"> (Research</w:t>
      </w:r>
      <w:r w:rsidR="000E623E">
        <w:t> </w:t>
      </w:r>
      <w:r>
        <w:t xml:space="preserve">report, 12/2022). ANROWS. </w:t>
      </w:r>
      <w:hyperlink r:id="rId295" w:history="1">
        <w:r w:rsidR="000E623E" w:rsidRPr="00914FF5">
          <w:rPr>
            <w:rStyle w:val="Hyperlink"/>
          </w:rPr>
          <w:t>https://www.anrows.org.au/publication/technology-facilitated-abuse-national-survey-of</w:t>
        </w:r>
        <w:r w:rsidR="000E623E" w:rsidRPr="00914FF5">
          <w:rPr>
            <w:rStyle w:val="Hyperlink"/>
          </w:rPr>
          <w:noBreakHyphen/>
          <w:t>australian-adults-experiences/</w:t>
        </w:r>
      </w:hyperlink>
    </w:p>
    <w:p w14:paraId="35084441" w14:textId="58E9EBD8" w:rsidR="007A64D0" w:rsidRDefault="007A64D0" w:rsidP="007A64D0">
      <w:pPr>
        <w:pStyle w:val="Reference"/>
      </w:pPr>
      <w:r>
        <w:t>Powell, A., &amp; Henry, N. (2019). Technology-facilitated sexual violence victimization: Results from an online survey of</w:t>
      </w:r>
      <w:r w:rsidR="000E623E">
        <w:t> </w:t>
      </w:r>
      <w:r>
        <w:t>Australian</w:t>
      </w:r>
      <w:r w:rsidR="000E623E">
        <w:t> </w:t>
      </w:r>
      <w:r>
        <w:t xml:space="preserve">adults. </w:t>
      </w:r>
      <w:r>
        <w:rPr>
          <w:rStyle w:val="Italic"/>
        </w:rPr>
        <w:t>Journal of Interpersonal Violence</w:t>
      </w:r>
      <w:r>
        <w:t>,</w:t>
      </w:r>
      <w:r>
        <w:rPr>
          <w:rStyle w:val="Italic"/>
        </w:rPr>
        <w:t xml:space="preserve"> 34</w:t>
      </w:r>
      <w:r>
        <w:t xml:space="preserve">(17), 3637–3665. </w:t>
      </w:r>
      <w:hyperlink r:id="rId296" w:history="1">
        <w:r>
          <w:rPr>
            <w:rStyle w:val="Hyperlink"/>
          </w:rPr>
          <w:t>https://doi.org/10.1177/0886260516672055</w:t>
        </w:r>
      </w:hyperlink>
      <w:r>
        <w:t xml:space="preserve"> </w:t>
      </w:r>
    </w:p>
    <w:p w14:paraId="192F36C6" w14:textId="77777777" w:rsidR="007A64D0" w:rsidRDefault="007A64D0" w:rsidP="007A64D0">
      <w:pPr>
        <w:pStyle w:val="Reference"/>
      </w:pPr>
      <w:r>
        <w:t xml:space="preserve">Puzzo, I., Smaragdi, A., Gonzalez, K., Martin-Key, N., &amp; Fairchild, G. (2016). Neurobiological, neuroimaging, and neuropsychological studies of children and adolescents with disruptive behavior disorders. </w:t>
      </w:r>
      <w:r>
        <w:rPr>
          <w:rStyle w:val="Italic"/>
        </w:rPr>
        <w:t>Family Relations</w:t>
      </w:r>
      <w:r>
        <w:t>,</w:t>
      </w:r>
      <w:r>
        <w:rPr>
          <w:rStyle w:val="Italic"/>
        </w:rPr>
        <w:t xml:space="preserve"> 65</w:t>
      </w:r>
      <w:r>
        <w:t xml:space="preserve">(1), 134–150. </w:t>
      </w:r>
      <w:hyperlink r:id="rId297" w:history="1">
        <w:r>
          <w:rPr>
            <w:rStyle w:val="Hyperlink"/>
          </w:rPr>
          <w:t>https://doi.org/10.1111/fare.12182</w:t>
        </w:r>
      </w:hyperlink>
      <w:r>
        <w:t xml:space="preserve"> </w:t>
      </w:r>
    </w:p>
    <w:p w14:paraId="43551682" w14:textId="77777777" w:rsidR="007A64D0" w:rsidRPr="000E623E" w:rsidRDefault="007A64D0" w:rsidP="007A64D0">
      <w:pPr>
        <w:pStyle w:val="Reference"/>
        <w:rPr>
          <w:spacing w:val="-2"/>
        </w:rPr>
      </w:pPr>
      <w:r w:rsidRPr="000E623E">
        <w:rPr>
          <w:spacing w:val="-2"/>
        </w:rPr>
        <w:t xml:space="preserve">Renner, L. M., Whitney, S. D., &amp; Vasquez, M. (2015). Individual and interpersonal risk factors for physical intimate partner violence perpetration by biological sex and ethnicity. </w:t>
      </w:r>
      <w:r w:rsidRPr="000E623E">
        <w:rPr>
          <w:rStyle w:val="Emphasis"/>
          <w:spacing w:val="-2"/>
        </w:rPr>
        <w:t>Violence &amp; Victims, 30</w:t>
      </w:r>
      <w:r w:rsidRPr="000E623E">
        <w:rPr>
          <w:spacing w:val="-2"/>
        </w:rPr>
        <w:t xml:space="preserve">(1), 97–119. </w:t>
      </w:r>
      <w:hyperlink r:id="rId298" w:history="1">
        <w:r w:rsidRPr="000E623E">
          <w:rPr>
            <w:rStyle w:val="Hyperlink"/>
            <w:spacing w:val="-2"/>
          </w:rPr>
          <w:t>https://doi.org/10.1891/0886-6708.VV-D-13-00123</w:t>
        </w:r>
      </w:hyperlink>
      <w:r w:rsidRPr="000E623E">
        <w:rPr>
          <w:spacing w:val="-2"/>
        </w:rPr>
        <w:t xml:space="preserve"> </w:t>
      </w:r>
    </w:p>
    <w:p w14:paraId="324D4521" w14:textId="77777777" w:rsidR="007A64D0" w:rsidRDefault="007A64D0" w:rsidP="007A64D0">
      <w:pPr>
        <w:pStyle w:val="Reference"/>
      </w:pPr>
      <w:r>
        <w:t xml:space="preserve">Reyes, H. L. M., Foshee, V. A., Chen, M. S., &amp; Ennett, S. T. (2017). Patterns of dating violence victimization and perpetration among Latino youth. </w:t>
      </w:r>
      <w:r>
        <w:rPr>
          <w:rStyle w:val="Emphasis"/>
        </w:rPr>
        <w:t>Journal of Youth and Adolescence, 46</w:t>
      </w:r>
      <w:r>
        <w:t xml:space="preserve">(8), 1727–1742. </w:t>
      </w:r>
      <w:hyperlink r:id="rId299" w:history="1">
        <w:r>
          <w:rPr>
            <w:rStyle w:val="Hyperlink"/>
          </w:rPr>
          <w:t>https://doi.org/10.1007/s10964-016-0621-0</w:t>
        </w:r>
      </w:hyperlink>
    </w:p>
    <w:p w14:paraId="5961DCE7" w14:textId="77777777" w:rsidR="007A64D0" w:rsidRDefault="007A64D0" w:rsidP="007A64D0">
      <w:pPr>
        <w:pStyle w:val="Reference"/>
      </w:pPr>
      <w:r>
        <w:t xml:space="preserve">Rhodes, N., Potocki, B., &amp; Masterson, D. S. (2018). Portrayals of intimate partner violence in music videos: Effects on perceptions of IPV warning signs. </w:t>
      </w:r>
      <w:r>
        <w:rPr>
          <w:rStyle w:val="Italic"/>
        </w:rPr>
        <w:t>Media Psychology</w:t>
      </w:r>
      <w:r>
        <w:t>,</w:t>
      </w:r>
      <w:r>
        <w:rPr>
          <w:rStyle w:val="Italic"/>
        </w:rPr>
        <w:t xml:space="preserve"> 21</w:t>
      </w:r>
      <w:r>
        <w:t xml:space="preserve">(1), 137–156. </w:t>
      </w:r>
      <w:hyperlink r:id="rId300" w:history="1">
        <w:r>
          <w:rPr>
            <w:rStyle w:val="Hyperlink"/>
          </w:rPr>
          <w:t>https://doi.org/10.1080/15213269.2016.1267648</w:t>
        </w:r>
      </w:hyperlink>
      <w:r>
        <w:t xml:space="preserve"> </w:t>
      </w:r>
    </w:p>
    <w:p w14:paraId="1A646290" w14:textId="77777777" w:rsidR="007A64D0" w:rsidRDefault="007A64D0" w:rsidP="007A64D0">
      <w:pPr>
        <w:pStyle w:val="Reference"/>
        <w:rPr>
          <w:rStyle w:val="Hyperlink"/>
        </w:rPr>
      </w:pPr>
      <w:r>
        <w:t xml:space="preserve">Riach, K., O’Hare, C., Dalton, B., &amp; Wang, C. (2018). </w:t>
      </w:r>
      <w:r>
        <w:rPr>
          <w:rStyle w:val="Italic"/>
        </w:rPr>
        <w:t>The future face of poverty is female: Stories behind Australian women’s superannuation poverty in retirement</w:t>
      </w:r>
      <w:r>
        <w:t xml:space="preserve">. Australian Super &amp; Monash University. </w:t>
      </w:r>
      <w:hyperlink r:id="rId301" w:history="1">
        <w:r>
          <w:rPr>
            <w:rStyle w:val="Hyperlink"/>
          </w:rPr>
          <w:t>https://www.australiansuper.com/campaigns/future-face-of-poverty</w:t>
        </w:r>
      </w:hyperlink>
    </w:p>
    <w:p w14:paraId="1825DD38" w14:textId="77777777" w:rsidR="007A64D0" w:rsidRPr="000E623E" w:rsidRDefault="007A64D0" w:rsidP="007A64D0">
      <w:pPr>
        <w:pStyle w:val="Reference"/>
        <w:rPr>
          <w:spacing w:val="-6"/>
        </w:rPr>
      </w:pPr>
      <w:r w:rsidRPr="000E623E">
        <w:rPr>
          <w:spacing w:val="-6"/>
        </w:rPr>
        <w:t xml:space="preserve">Rizzo, A. J., Banyard, V. L., &amp; Edwards, K. M. (2020). Unpacking adolescent masculinity: Relations between boys’ sexual harassment victimization, perpetration, and gender role beliefs. </w:t>
      </w:r>
      <w:r w:rsidRPr="000E623E">
        <w:rPr>
          <w:rStyle w:val="Emphasis"/>
          <w:spacing w:val="-6"/>
        </w:rPr>
        <w:t>Journal of Family Violence, 36</w:t>
      </w:r>
      <w:r w:rsidRPr="000E623E">
        <w:rPr>
          <w:spacing w:val="-6"/>
        </w:rPr>
        <w:t xml:space="preserve">, 825–835. </w:t>
      </w:r>
      <w:hyperlink r:id="rId302" w:history="1">
        <w:r w:rsidRPr="000E623E">
          <w:rPr>
            <w:rStyle w:val="Hyperlink"/>
            <w:spacing w:val="-6"/>
          </w:rPr>
          <w:t>https://doi.org/10.1007/s10896-020-00187-9</w:t>
        </w:r>
      </w:hyperlink>
      <w:r w:rsidRPr="000E623E">
        <w:rPr>
          <w:spacing w:val="-6"/>
        </w:rPr>
        <w:t xml:space="preserve"> </w:t>
      </w:r>
    </w:p>
    <w:p w14:paraId="7FA47BF1" w14:textId="77777777" w:rsidR="007A64D0" w:rsidRDefault="007A64D0" w:rsidP="007A64D0">
      <w:pPr>
        <w:pStyle w:val="Reference"/>
      </w:pPr>
      <w:r>
        <w:t xml:space="preserve">Roberts, L. L. (2019). Changing worldwide attitudes toward homosexuality: The influence of global and region-specific cultures, 1981–2012. </w:t>
      </w:r>
      <w:r>
        <w:rPr>
          <w:rStyle w:val="Italic"/>
        </w:rPr>
        <w:t>Social Science Research</w:t>
      </w:r>
      <w:r>
        <w:t>,</w:t>
      </w:r>
      <w:r>
        <w:rPr>
          <w:rStyle w:val="Italic"/>
        </w:rPr>
        <w:t xml:space="preserve"> 80</w:t>
      </w:r>
      <w:r>
        <w:t xml:space="preserve">, 114–131. </w:t>
      </w:r>
      <w:hyperlink r:id="rId303" w:history="1">
        <w:r>
          <w:rPr>
            <w:rStyle w:val="Hyperlink"/>
          </w:rPr>
          <w:t>https://doi.org/10.1016/j.ssresearch.2018.12.003</w:t>
        </w:r>
      </w:hyperlink>
      <w:r>
        <w:t xml:space="preserve"> </w:t>
      </w:r>
    </w:p>
    <w:p w14:paraId="6433BB25" w14:textId="77777777" w:rsidR="007A64D0" w:rsidRDefault="007A64D0" w:rsidP="007A64D0">
      <w:pPr>
        <w:pStyle w:val="Reference"/>
      </w:pPr>
      <w:r>
        <w:t>Ross, S. (2022, January 24). Grace Tame’s 12 months as Australian of the Year results in spike in sexual assault support referrals.</w:t>
      </w:r>
      <w:r>
        <w:rPr>
          <w:rStyle w:val="Italic"/>
        </w:rPr>
        <w:t xml:space="preserve"> ABC News</w:t>
      </w:r>
      <w:r>
        <w:t xml:space="preserve">. </w:t>
      </w:r>
      <w:hyperlink r:id="rId304" w:history="1">
        <w:r>
          <w:rPr>
            <w:rStyle w:val="Hyperlink"/>
          </w:rPr>
          <w:t>https://www.abc.net.au/news/2022-01-24/grace-tame-legacy-as-australian-of-the-year/100774096</w:t>
        </w:r>
      </w:hyperlink>
    </w:p>
    <w:p w14:paraId="2F9F582E" w14:textId="7D20A488" w:rsidR="007A64D0" w:rsidRDefault="007A64D0" w:rsidP="007A64D0">
      <w:pPr>
        <w:pStyle w:val="Reference"/>
      </w:pPr>
      <w:r>
        <w:t>Sabol, B. M., Kernsmith, P. D., Hicks, M. R., &amp; Smith-Darden, J. P. (2020). Attitudes about aggression and perpetration of</w:t>
      </w:r>
      <w:r w:rsidR="000E623E">
        <w:t> </w:t>
      </w:r>
      <w:r>
        <w:t xml:space="preserve">adolescent dating aggression: A cross-lagged panel model. </w:t>
      </w:r>
      <w:r>
        <w:rPr>
          <w:rStyle w:val="Emphasis"/>
        </w:rPr>
        <w:t>Journal of Adolescence, 83</w:t>
      </w:r>
      <w:r>
        <w:t xml:space="preserve">(1), 100–111. </w:t>
      </w:r>
      <w:hyperlink r:id="rId305" w:history="1">
        <w:r>
          <w:rPr>
            <w:rStyle w:val="Hyperlink"/>
          </w:rPr>
          <w:t>https://doi.org/10.1016/j.adolescence.2020.07.005</w:t>
        </w:r>
      </w:hyperlink>
      <w:r>
        <w:t xml:space="preserve"> </w:t>
      </w:r>
    </w:p>
    <w:p w14:paraId="0F06991B" w14:textId="77777777" w:rsidR="007A64D0" w:rsidRDefault="007A64D0" w:rsidP="007A64D0">
      <w:pPr>
        <w:pStyle w:val="Reference"/>
      </w:pPr>
      <w:r>
        <w:t xml:space="preserve">Saran, A., Siddiqi, M., Subrahmanian, R., &amp; White, H. (2021). </w:t>
      </w:r>
      <w:r>
        <w:rPr>
          <w:rStyle w:val="Italic"/>
        </w:rPr>
        <w:t>Interventions to reduce violence against children in low-and middle-income countries: Evidence and gap map research brief of phase 1 and 2 findings</w:t>
      </w:r>
      <w:r>
        <w:t xml:space="preserve"> (Innocenti Research Briefs, no. 2020–24) UNICEF Office of Research. </w:t>
      </w:r>
      <w:hyperlink r:id="rId306" w:history="1">
        <w:r>
          <w:rPr>
            <w:rStyle w:val="Hyperlink"/>
          </w:rPr>
          <w:t>https://www.unicef-irc.org/publications/pdf/Interventions-to-Reduce-Violence-Against-Children-in-LMICs-Evidence-and-Gap-Map-Overview-Ph1-and-2-findings.pdf</w:t>
        </w:r>
      </w:hyperlink>
    </w:p>
    <w:p w14:paraId="0B2C63B9" w14:textId="77777777" w:rsidR="007A64D0" w:rsidRDefault="007A64D0" w:rsidP="007A64D0">
      <w:pPr>
        <w:pStyle w:val="Reference"/>
      </w:pPr>
      <w:r w:rsidRPr="00E215BB">
        <w:rPr>
          <w:lang w:val="it-IT"/>
        </w:rPr>
        <w:t xml:space="preserve">Sardinha, L., &amp; Catalán, H. E. N. (2018). </w:t>
      </w:r>
      <w:r>
        <w:t xml:space="preserve">Attitudes towards domestic violence in 49 low-and middle-income countries: A gendered analysis of prevalence and country-level correlates. </w:t>
      </w:r>
      <w:r>
        <w:rPr>
          <w:rStyle w:val="Italic"/>
        </w:rPr>
        <w:t>PLoS One</w:t>
      </w:r>
      <w:r>
        <w:t>,</w:t>
      </w:r>
      <w:r>
        <w:rPr>
          <w:rStyle w:val="Italic"/>
        </w:rPr>
        <w:t xml:space="preserve"> 13</w:t>
      </w:r>
      <w:r>
        <w:t xml:space="preserve">(10), 1–18. </w:t>
      </w:r>
      <w:hyperlink r:id="rId307" w:history="1">
        <w:r>
          <w:rPr>
            <w:rStyle w:val="Hyperlink"/>
          </w:rPr>
          <w:t>https://doi.org/10.1371/journal.pone.0206101</w:t>
        </w:r>
      </w:hyperlink>
      <w:r>
        <w:t xml:space="preserve"> </w:t>
      </w:r>
    </w:p>
    <w:p w14:paraId="40FA6B8D" w14:textId="77777777" w:rsidR="007A64D0" w:rsidRDefault="007A64D0" w:rsidP="007A64D0">
      <w:pPr>
        <w:pStyle w:val="Reference"/>
      </w:pPr>
      <w:r>
        <w:t xml:space="preserve">Savasuk-Luxton, R., Adler-Baeder, F., &amp; Haselschwerdt, M. L. (2018). Understanding change in violence-related attitudes for adolescents in relationship education. </w:t>
      </w:r>
      <w:r>
        <w:rPr>
          <w:rStyle w:val="Italic"/>
        </w:rPr>
        <w:t>Journal of Adolescence</w:t>
      </w:r>
      <w:r>
        <w:t>,</w:t>
      </w:r>
      <w:r>
        <w:rPr>
          <w:rStyle w:val="Italic"/>
        </w:rPr>
        <w:t xml:space="preserve"> 63</w:t>
      </w:r>
      <w:r>
        <w:t xml:space="preserve">, 153–164. </w:t>
      </w:r>
      <w:hyperlink r:id="rId308" w:history="1">
        <w:r>
          <w:rPr>
            <w:rStyle w:val="Hyperlink"/>
          </w:rPr>
          <w:t>https://www.ncbi.nlm.nih.gov/pubmed/29310008</w:t>
        </w:r>
      </w:hyperlink>
      <w:r>
        <w:t xml:space="preserve"> </w:t>
      </w:r>
    </w:p>
    <w:p w14:paraId="61FCD4AA" w14:textId="1EE36D79" w:rsidR="007A64D0" w:rsidRDefault="007A64D0" w:rsidP="007A64D0">
      <w:pPr>
        <w:pStyle w:val="Reference"/>
      </w:pPr>
      <w:r>
        <w:t>Schad, M. M., Szwedo, D. E., Antonishak, J., Hare, A., &amp; Allen, J. P. (2008). The broader context of relational aggression in</w:t>
      </w:r>
      <w:r w:rsidR="000E623E">
        <w:t> </w:t>
      </w:r>
      <w:r>
        <w:t xml:space="preserve">adolescent romantic relationships: Predictions from peer pressure and links to psychosocial functioning. </w:t>
      </w:r>
      <w:r>
        <w:rPr>
          <w:rStyle w:val="Italic"/>
        </w:rPr>
        <w:t>Journal of Youth and Adolescence</w:t>
      </w:r>
      <w:r>
        <w:t>,</w:t>
      </w:r>
      <w:r>
        <w:rPr>
          <w:rStyle w:val="Italic"/>
        </w:rPr>
        <w:t xml:space="preserve"> 37</w:t>
      </w:r>
      <w:r>
        <w:t xml:space="preserve">(3), 346–358. </w:t>
      </w:r>
      <w:hyperlink r:id="rId309" w:history="1">
        <w:r>
          <w:rPr>
            <w:rStyle w:val="Hyperlink"/>
          </w:rPr>
          <w:t>https://doi.org/10.1007/s10964-007-9226-y</w:t>
        </w:r>
      </w:hyperlink>
      <w:r>
        <w:t xml:space="preserve"> </w:t>
      </w:r>
    </w:p>
    <w:p w14:paraId="3B7772CC" w14:textId="77777777" w:rsidR="007A64D0" w:rsidRDefault="007A64D0" w:rsidP="007A64D0">
      <w:pPr>
        <w:pStyle w:val="Reference"/>
      </w:pPr>
      <w:r>
        <w:t xml:space="preserve">Seabrook, R. C., Ward, L. M., &amp; Giaccardi, S. (2019). Less than human? Media use, objectification of women, and men’s acceptance of sexual aggression. </w:t>
      </w:r>
      <w:r>
        <w:rPr>
          <w:rStyle w:val="Italic"/>
        </w:rPr>
        <w:t>Psychology of Violence</w:t>
      </w:r>
      <w:r>
        <w:t>,</w:t>
      </w:r>
      <w:r>
        <w:rPr>
          <w:rStyle w:val="Italic"/>
        </w:rPr>
        <w:t xml:space="preserve"> 9</w:t>
      </w:r>
      <w:r>
        <w:t xml:space="preserve">(5), 536–545. </w:t>
      </w:r>
      <w:hyperlink r:id="rId310" w:history="1">
        <w:r>
          <w:rPr>
            <w:rStyle w:val="Hyperlink"/>
          </w:rPr>
          <w:t>https://doi.org/10.1037/vio0000198</w:t>
        </w:r>
      </w:hyperlink>
      <w:r>
        <w:t xml:space="preserve"> </w:t>
      </w:r>
    </w:p>
    <w:p w14:paraId="707BCB4E" w14:textId="77777777" w:rsidR="007A64D0" w:rsidRDefault="007A64D0" w:rsidP="007A64D0">
      <w:pPr>
        <w:pStyle w:val="Reference"/>
      </w:pPr>
      <w:r>
        <w:t xml:space="preserve">Seabrook, R. C., &amp; Ward, L. M. (2019). Bros will be bros? The effect of fraternity membership on perceived culpability for sexual assault. </w:t>
      </w:r>
      <w:r>
        <w:rPr>
          <w:rStyle w:val="Italic"/>
        </w:rPr>
        <w:t>Violence Against Women</w:t>
      </w:r>
      <w:r>
        <w:t>,</w:t>
      </w:r>
      <w:r>
        <w:rPr>
          <w:rStyle w:val="Italic"/>
        </w:rPr>
        <w:t xml:space="preserve"> 25</w:t>
      </w:r>
      <w:r>
        <w:t xml:space="preserve">(12), 1471–1490. </w:t>
      </w:r>
      <w:hyperlink r:id="rId311" w:history="1">
        <w:r>
          <w:rPr>
            <w:rStyle w:val="Hyperlink"/>
          </w:rPr>
          <w:t>https://doi.org/10.1177/1077801218820196</w:t>
        </w:r>
      </w:hyperlink>
      <w:r>
        <w:t xml:space="preserve"> </w:t>
      </w:r>
    </w:p>
    <w:p w14:paraId="58336F50" w14:textId="77777777" w:rsidR="007A64D0" w:rsidRDefault="007A64D0" w:rsidP="007A64D0">
      <w:pPr>
        <w:pStyle w:val="Reference"/>
      </w:pPr>
      <w:r>
        <w:t xml:space="preserve">Senekal, J. S., Groenewald, G. R., Wolfaardt, L., Jansen, C., &amp; Williams, K. (2023). Social media and adolescent psychosocial development: A systematic review. </w:t>
      </w:r>
      <w:r>
        <w:rPr>
          <w:rStyle w:val="Italic"/>
        </w:rPr>
        <w:t>South African Journal of Psychology</w:t>
      </w:r>
      <w:r>
        <w:t>,</w:t>
      </w:r>
      <w:r>
        <w:rPr>
          <w:rStyle w:val="Italic"/>
        </w:rPr>
        <w:t xml:space="preserve"> 53</w:t>
      </w:r>
      <w:r>
        <w:t xml:space="preserve">(2), 157–171. </w:t>
      </w:r>
      <w:hyperlink r:id="rId312" w:history="1">
        <w:r>
          <w:rPr>
            <w:rStyle w:val="Hyperlink"/>
          </w:rPr>
          <w:t>https://doi.org/10.1177/00812463221119302</w:t>
        </w:r>
      </w:hyperlink>
      <w:r>
        <w:t xml:space="preserve"> </w:t>
      </w:r>
    </w:p>
    <w:p w14:paraId="48423331" w14:textId="0548BADE" w:rsidR="007A64D0" w:rsidRPr="00E215BB" w:rsidRDefault="007A64D0" w:rsidP="007A64D0">
      <w:pPr>
        <w:pStyle w:val="Reference"/>
        <w:rPr>
          <w:lang w:val="it-IT"/>
        </w:rPr>
      </w:pPr>
      <w:r>
        <w:lastRenderedPageBreak/>
        <w:t xml:space="preserve">Serpell, B., Sullivan, T., &amp; Doherty, L. (2022). </w:t>
      </w:r>
      <w:r>
        <w:rPr>
          <w:rStyle w:val="Italic"/>
        </w:rPr>
        <w:t>Homicide in Australia 2019–20.</w:t>
      </w:r>
      <w:r>
        <w:t xml:space="preserve"> (AIC Statistical Report no. 39). Australian Institute of</w:t>
      </w:r>
      <w:r w:rsidR="000E623E">
        <w:t> </w:t>
      </w:r>
      <w:r>
        <w:t xml:space="preserve">Criminology. </w:t>
      </w:r>
      <w:hyperlink r:id="rId313" w:history="1">
        <w:r w:rsidRPr="00E215BB">
          <w:rPr>
            <w:rStyle w:val="Hyperlink"/>
            <w:lang w:val="it-IT"/>
          </w:rPr>
          <w:t>https://www.aic.gov.au/publications/sr/sr39</w:t>
        </w:r>
      </w:hyperlink>
    </w:p>
    <w:p w14:paraId="2EB2C48E" w14:textId="77777777" w:rsidR="007A64D0" w:rsidRDefault="007A64D0" w:rsidP="007A64D0">
      <w:pPr>
        <w:pStyle w:val="Reference"/>
      </w:pPr>
      <w:r w:rsidRPr="00E215BB">
        <w:rPr>
          <w:lang w:val="it-IT"/>
        </w:rPr>
        <w:t xml:space="preserve">Serrato Calero, M. d. l. M., Delgado-Vázquez, Á. M., &amp; Díaz Jiménez, R. M. (2020). </w:t>
      </w:r>
      <w:r>
        <w:t xml:space="preserve">Systematized review and meta-synthesis of the sterilization of women with disabilities in the field of social science: From macroeugenics to microeugenics. </w:t>
      </w:r>
      <w:r>
        <w:rPr>
          <w:rStyle w:val="Italic"/>
        </w:rPr>
        <w:t>Sexuality Research and Social Policy</w:t>
      </w:r>
      <w:r>
        <w:t xml:space="preserve">. </w:t>
      </w:r>
      <w:hyperlink r:id="rId314" w:history="1">
        <w:r>
          <w:rPr>
            <w:rStyle w:val="Hyperlink"/>
          </w:rPr>
          <w:t>https://doi.org/10.1007/s13178-020-00488-0</w:t>
        </w:r>
      </w:hyperlink>
      <w:r>
        <w:t xml:space="preserve"> </w:t>
      </w:r>
    </w:p>
    <w:p w14:paraId="1B2B48B1" w14:textId="77777777" w:rsidR="007A64D0" w:rsidRDefault="007A64D0" w:rsidP="007A64D0">
      <w:pPr>
        <w:pStyle w:val="Reference"/>
      </w:pPr>
      <w:r>
        <w:rPr>
          <w:rStyle w:val="Italic"/>
        </w:rPr>
        <w:t>Sex Discrimination Act 1984</w:t>
      </w:r>
      <w:r>
        <w:t xml:space="preserve">. (Cth). </w:t>
      </w:r>
      <w:hyperlink r:id="rId315" w:history="1">
        <w:r>
          <w:rPr>
            <w:rStyle w:val="Hyperlink"/>
          </w:rPr>
          <w:t>https://www.legislation.gov.au/Details/C2021C00420</w:t>
        </w:r>
      </w:hyperlink>
      <w:r>
        <w:t xml:space="preserve"> </w:t>
      </w:r>
    </w:p>
    <w:p w14:paraId="66905E41" w14:textId="629949D1" w:rsidR="007A64D0" w:rsidRDefault="007A64D0" w:rsidP="007A64D0">
      <w:pPr>
        <w:pStyle w:val="Reference"/>
      </w:pPr>
      <w:r>
        <w:t>Sinnamon, G. (2017). The psychology of adult sexual grooming: Sinnamon’s seven-stage model of adult sexual grooming. In</w:t>
      </w:r>
      <w:r w:rsidR="000E623E">
        <w:t> </w:t>
      </w:r>
      <w:r>
        <w:t>W.</w:t>
      </w:r>
      <w:r w:rsidR="000E623E">
        <w:t> </w:t>
      </w:r>
      <w:r>
        <w:t xml:space="preserve">Petherick &amp; G. Sinnamon (Eds.), </w:t>
      </w:r>
      <w:r>
        <w:rPr>
          <w:rStyle w:val="Italic"/>
        </w:rPr>
        <w:t>The psychology of criminal and antisocial behavior</w:t>
      </w:r>
      <w:r>
        <w:t xml:space="preserve"> (pp. 459–487). Academic Press. </w:t>
      </w:r>
      <w:hyperlink r:id="rId316" w:history="1">
        <w:r>
          <w:rPr>
            <w:rStyle w:val="Hyperlink"/>
          </w:rPr>
          <w:t>https://doi.org/10.1016/B978-0-12-809287-3.00016-X</w:t>
        </w:r>
      </w:hyperlink>
      <w:r>
        <w:t xml:space="preserve"> </w:t>
      </w:r>
    </w:p>
    <w:p w14:paraId="4B7CC70B" w14:textId="77777777" w:rsidR="007A64D0" w:rsidRDefault="007A64D0" w:rsidP="007A64D0">
      <w:pPr>
        <w:pStyle w:val="Reference"/>
      </w:pPr>
      <w:r>
        <w:t xml:space="preserve">Smith, M. (2018). </w:t>
      </w:r>
      <w:r>
        <w:rPr>
          <w:rStyle w:val="Italic"/>
        </w:rPr>
        <w:t>Four in ten female millennials have been sent an unsolicited penis photo</w:t>
      </w:r>
      <w:r>
        <w:t xml:space="preserve">. You Gov. </w:t>
      </w:r>
      <w:hyperlink r:id="rId317" w:history="1">
        <w:r>
          <w:rPr>
            <w:rStyle w:val="Hyperlink"/>
          </w:rPr>
          <w:t>https://yougov.co.uk/topics/politics/articles-reports/2018/02/16/four-ten-female-millennials-been-sent-dick-pic</w:t>
        </w:r>
      </w:hyperlink>
    </w:p>
    <w:p w14:paraId="0CECCC43" w14:textId="77777777" w:rsidR="007A64D0" w:rsidRDefault="007A64D0" w:rsidP="007A64D0">
      <w:pPr>
        <w:pStyle w:val="Reference"/>
      </w:pPr>
      <w:r>
        <w:t xml:space="preserve">Sokoloff, N. J., &amp; Dupont, I. (2005). Domestic violence at the intersections of race, class, and gender: Challenges and contributions to understanding violence against marginalized women in diverse communities. </w:t>
      </w:r>
      <w:r>
        <w:rPr>
          <w:rStyle w:val="Italic"/>
        </w:rPr>
        <w:t>Violence Against Women</w:t>
      </w:r>
      <w:r>
        <w:t>,</w:t>
      </w:r>
      <w:r>
        <w:rPr>
          <w:rStyle w:val="Italic"/>
        </w:rPr>
        <w:t xml:space="preserve"> 11</w:t>
      </w:r>
      <w:r>
        <w:t xml:space="preserve">(1), 38–64. </w:t>
      </w:r>
      <w:hyperlink r:id="rId318" w:history="1">
        <w:r>
          <w:rPr>
            <w:rStyle w:val="Hyperlink"/>
          </w:rPr>
          <w:t>https://doi.org/10.1177/1077801204271476</w:t>
        </w:r>
      </w:hyperlink>
      <w:r>
        <w:t xml:space="preserve"> </w:t>
      </w:r>
    </w:p>
    <w:p w14:paraId="7364E2F4" w14:textId="77777777" w:rsidR="007A64D0" w:rsidRDefault="007A64D0" w:rsidP="007A64D0">
      <w:pPr>
        <w:pStyle w:val="Reference"/>
      </w:pPr>
      <w:r>
        <w:t xml:space="preserve">Song, Y., Zhang, J., &amp; Zhang, X. (2020). Cultural or institutional? Contextual effects on domestic violence against women in rural China. </w:t>
      </w:r>
      <w:r>
        <w:rPr>
          <w:rStyle w:val="Emphasis"/>
        </w:rPr>
        <w:t>Journal of Family Violence, 36</w:t>
      </w:r>
      <w:r>
        <w:t xml:space="preserve">, 643–655. </w:t>
      </w:r>
      <w:hyperlink r:id="rId319" w:history="1">
        <w:r>
          <w:rPr>
            <w:rStyle w:val="Hyperlink"/>
          </w:rPr>
          <w:t>https://doi.org/10.1007/s10896-020-00198-6</w:t>
        </w:r>
      </w:hyperlink>
      <w:r>
        <w:t xml:space="preserve"> </w:t>
      </w:r>
    </w:p>
    <w:p w14:paraId="0063A8D3" w14:textId="77777777" w:rsidR="007A64D0" w:rsidRDefault="007A64D0" w:rsidP="007A64D0">
      <w:pPr>
        <w:pStyle w:val="Reference"/>
      </w:pPr>
      <w:r>
        <w:t xml:space="preserve">Spencer, C., Mallory, A. B., Cafferky, B. M., Kimmes, J. G., Beck, A. R., &amp; Stith, S. M. (2019). Mental health factors and intimate partner violence perpetration and victimization: A meta-analysis. </w:t>
      </w:r>
      <w:r>
        <w:rPr>
          <w:rStyle w:val="Emphasis"/>
        </w:rPr>
        <w:t>Psychology of Violence, 9</w:t>
      </w:r>
      <w:r>
        <w:t xml:space="preserve">(1), 1–17. </w:t>
      </w:r>
      <w:hyperlink r:id="rId320" w:history="1">
        <w:r>
          <w:rPr>
            <w:rStyle w:val="Hyperlink"/>
          </w:rPr>
          <w:t>https://doi.org/10.1037/vio0000156</w:t>
        </w:r>
      </w:hyperlink>
      <w:r>
        <w:t xml:space="preserve"> </w:t>
      </w:r>
    </w:p>
    <w:p w14:paraId="0A5055A3" w14:textId="77777777" w:rsidR="007A64D0" w:rsidRDefault="007A64D0" w:rsidP="007A64D0">
      <w:pPr>
        <w:pStyle w:val="Reference"/>
      </w:pPr>
      <w:r>
        <w:t xml:space="preserve">Stanley, N., Barter, C., Wood, M., Aghtaie, N., Larkins, C., Lanau, A., &amp; </w:t>
      </w:r>
      <w:r>
        <w:rPr>
          <w:lang w:bidi="ar-YE"/>
        </w:rPr>
        <w:t>Överlien</w:t>
      </w:r>
      <w:r>
        <w:t xml:space="preserve">, C. (2018). Pornography, sexual coercion and abuse and sexting in young people’s intimate relationships: A European study. </w:t>
      </w:r>
      <w:r>
        <w:rPr>
          <w:rStyle w:val="Italic"/>
        </w:rPr>
        <w:t>Journal of Interpersonal Violence</w:t>
      </w:r>
      <w:r>
        <w:t>,</w:t>
      </w:r>
      <w:r>
        <w:rPr>
          <w:rStyle w:val="Italic"/>
        </w:rPr>
        <w:t xml:space="preserve"> 33</w:t>
      </w:r>
      <w:r>
        <w:t xml:space="preserve">(19), 2919–2944. </w:t>
      </w:r>
      <w:hyperlink r:id="rId321" w:history="1">
        <w:r>
          <w:rPr>
            <w:rStyle w:val="Hyperlink"/>
          </w:rPr>
          <w:t>https://doi.org/10.1177/0886260516633204</w:t>
        </w:r>
      </w:hyperlink>
      <w:r>
        <w:t xml:space="preserve"> </w:t>
      </w:r>
    </w:p>
    <w:p w14:paraId="46F1FD6C" w14:textId="77777777" w:rsidR="007A64D0" w:rsidRDefault="007A64D0" w:rsidP="007A64D0">
      <w:pPr>
        <w:pStyle w:val="Reference"/>
      </w:pPr>
      <w:r>
        <w:t xml:space="preserve">Stein, S., Kohut, T., &amp; Dillenburger, K. (2018). The importance of sexuality education for children with and without intellectual disabilities: What parents think. </w:t>
      </w:r>
      <w:r>
        <w:rPr>
          <w:rStyle w:val="Italic"/>
        </w:rPr>
        <w:t>Sexuality and Disability</w:t>
      </w:r>
      <w:r>
        <w:t>,</w:t>
      </w:r>
      <w:r>
        <w:rPr>
          <w:rStyle w:val="Italic"/>
        </w:rPr>
        <w:t xml:space="preserve"> 36</w:t>
      </w:r>
      <w:r>
        <w:t xml:space="preserve">(2), 141–148. </w:t>
      </w:r>
      <w:hyperlink r:id="rId322" w:history="1">
        <w:r>
          <w:rPr>
            <w:rStyle w:val="Hyperlink"/>
          </w:rPr>
          <w:t>https://doi.org/10.1007/s11195-017-9513-9</w:t>
        </w:r>
      </w:hyperlink>
      <w:r>
        <w:t xml:space="preserve"> </w:t>
      </w:r>
    </w:p>
    <w:p w14:paraId="4C93EAB8" w14:textId="77777777" w:rsidR="007A64D0" w:rsidRDefault="007A64D0" w:rsidP="007A64D0">
      <w:pPr>
        <w:pStyle w:val="Reference"/>
      </w:pPr>
      <w:r>
        <w:t xml:space="preserve">Steinmetz, K. (2020). She coined the term “intersectionality” over 30 years ago. Here’s what it means to her today. </w:t>
      </w:r>
      <w:r>
        <w:rPr>
          <w:rStyle w:val="Italic"/>
        </w:rPr>
        <w:t>Time</w:t>
      </w:r>
      <w:r>
        <w:t xml:space="preserve">. </w:t>
      </w:r>
      <w:hyperlink r:id="rId323" w:history="1">
        <w:r>
          <w:rPr>
            <w:rStyle w:val="Hyperlink"/>
          </w:rPr>
          <w:t>https://time.com/5786710/kimberle-crenshaw-intersectionality/</w:t>
        </w:r>
      </w:hyperlink>
      <w:r>
        <w:t xml:space="preserve"> </w:t>
      </w:r>
    </w:p>
    <w:p w14:paraId="61A0853C" w14:textId="19FE8584" w:rsidR="007A64D0" w:rsidRDefault="007A64D0" w:rsidP="007A64D0">
      <w:pPr>
        <w:pStyle w:val="Reference"/>
        <w:rPr>
          <w:rStyle w:val="Hyperlink"/>
        </w:rPr>
      </w:pPr>
      <w:r>
        <w:t>Stern, E., Alemann, C., Delgado, G. A. F., &amp; Vásquez, A. E. (2023). Lessons learned from implementing the parenting Program P in</w:t>
      </w:r>
      <w:r w:rsidR="000E623E">
        <w:t> </w:t>
      </w:r>
      <w:r>
        <w:t xml:space="preserve">Bolivia to prevent family violence. </w:t>
      </w:r>
      <w:r>
        <w:rPr>
          <w:rStyle w:val="Italic"/>
        </w:rPr>
        <w:t>Evaluation and program planning</w:t>
      </w:r>
      <w:r>
        <w:t>,</w:t>
      </w:r>
      <w:r>
        <w:rPr>
          <w:rStyle w:val="Italic"/>
        </w:rPr>
        <w:t xml:space="preserve"> 97</w:t>
      </w:r>
      <w:r>
        <w:t xml:space="preserve">, 102207. </w:t>
      </w:r>
      <w:hyperlink r:id="rId324" w:history="1">
        <w:r>
          <w:rPr>
            <w:rStyle w:val="Hyperlink"/>
          </w:rPr>
          <w:t>https://doi.org/10.1016/j.evalprogplan.2022.102207</w:t>
        </w:r>
      </w:hyperlink>
    </w:p>
    <w:p w14:paraId="66243A51" w14:textId="77777777" w:rsidR="007A64D0" w:rsidRDefault="007A64D0" w:rsidP="007A64D0">
      <w:pPr>
        <w:pStyle w:val="Reference"/>
      </w:pPr>
      <w:r>
        <w:t xml:space="preserve">Streur, C. S., Schafer, C. L., Garcia, V. P., Quint, E. H., Sandberg, D. E., &amp; Wittmann, D. A. (2019). “If everyone else is having this talk with their doctor, why am I not having this talk with mine?”: The experiences of sexuality and sexual health education of young women with spina bifida. </w:t>
      </w:r>
      <w:r>
        <w:rPr>
          <w:rStyle w:val="Italic"/>
        </w:rPr>
        <w:t>The Journal of Sexual Medicine</w:t>
      </w:r>
      <w:r>
        <w:t>,</w:t>
      </w:r>
      <w:r>
        <w:rPr>
          <w:rStyle w:val="Italic"/>
        </w:rPr>
        <w:t xml:space="preserve"> 16</w:t>
      </w:r>
      <w:r>
        <w:t xml:space="preserve">(6), 853–859. </w:t>
      </w:r>
      <w:hyperlink r:id="rId325" w:history="1">
        <w:r>
          <w:rPr>
            <w:rStyle w:val="Hyperlink"/>
          </w:rPr>
          <w:t>https://doi.org/10.1016/j.jsxm.2019.03.012</w:t>
        </w:r>
      </w:hyperlink>
      <w:r>
        <w:t xml:space="preserve"> </w:t>
      </w:r>
    </w:p>
    <w:p w14:paraId="16DE285E" w14:textId="5BBB42F0" w:rsidR="007A64D0" w:rsidRDefault="007A64D0" w:rsidP="007A64D0">
      <w:pPr>
        <w:pStyle w:val="Reference"/>
      </w:pPr>
      <w:r>
        <w:t xml:space="preserve">Struthers, K., Parmenter, N., &amp; Tilbury, C. (2019). </w:t>
      </w:r>
      <w:r>
        <w:rPr>
          <w:rStyle w:val="Emphasis"/>
        </w:rPr>
        <w:t>Young people as agents of change in preventing violence against women</w:t>
      </w:r>
      <w:r>
        <w:t xml:space="preserve"> (Research</w:t>
      </w:r>
      <w:r w:rsidR="000E623E">
        <w:t> </w:t>
      </w:r>
      <w:r>
        <w:t xml:space="preserve">report, 02/2019). ANROWS. </w:t>
      </w:r>
      <w:hyperlink r:id="rId326" w:history="1">
        <w:r w:rsidR="000E623E" w:rsidRPr="00914FF5">
          <w:rPr>
            <w:rStyle w:val="Hyperlink"/>
          </w:rPr>
          <w:t>https://www.anrows.org.au/publication/young-people-as-agents-of-change-in</w:t>
        </w:r>
        <w:r w:rsidR="000E623E" w:rsidRPr="00914FF5">
          <w:rPr>
            <w:rStyle w:val="Hyperlink"/>
          </w:rPr>
          <w:noBreakHyphen/>
          <w:t>preventing-violence-against-women/</w:t>
        </w:r>
      </w:hyperlink>
    </w:p>
    <w:p w14:paraId="63BF6A0D" w14:textId="3AB37683" w:rsidR="007A64D0" w:rsidRPr="000E623E" w:rsidRDefault="007A64D0" w:rsidP="007A64D0">
      <w:pPr>
        <w:pStyle w:val="Reference"/>
        <w:rPr>
          <w:spacing w:val="-4"/>
        </w:rPr>
      </w:pPr>
      <w:r w:rsidRPr="000E623E">
        <w:rPr>
          <w:spacing w:val="-4"/>
        </w:rPr>
        <w:t>Tancred, T., Paparini, S., Melendez-Torres, G. J., Thomas, J., Fletcher, A., Campbell, R., &amp; Bonell, C. (2018). A systematic review and synthesis of theories of change of school-based interventions integrating health and academic education as a novel means of</w:t>
      </w:r>
      <w:r w:rsidR="000E623E" w:rsidRPr="000E623E">
        <w:rPr>
          <w:spacing w:val="-4"/>
        </w:rPr>
        <w:t> </w:t>
      </w:r>
      <w:r w:rsidRPr="000E623E">
        <w:rPr>
          <w:spacing w:val="-4"/>
        </w:rPr>
        <w:t xml:space="preserve">preventing violence and substance use among students. </w:t>
      </w:r>
      <w:r w:rsidRPr="000E623E">
        <w:rPr>
          <w:rStyle w:val="Italic"/>
          <w:spacing w:val="-4"/>
        </w:rPr>
        <w:t>Systematic Reviews</w:t>
      </w:r>
      <w:r w:rsidRPr="000E623E">
        <w:rPr>
          <w:spacing w:val="-4"/>
        </w:rPr>
        <w:t>,</w:t>
      </w:r>
      <w:r w:rsidRPr="000E623E">
        <w:rPr>
          <w:rStyle w:val="Italic"/>
          <w:spacing w:val="-4"/>
        </w:rPr>
        <w:t xml:space="preserve"> 7</w:t>
      </w:r>
      <w:r w:rsidRPr="000E623E">
        <w:rPr>
          <w:spacing w:val="-4"/>
        </w:rPr>
        <w:t xml:space="preserve">(1), 190. </w:t>
      </w:r>
      <w:hyperlink r:id="rId327" w:history="1">
        <w:r w:rsidRPr="000E623E">
          <w:rPr>
            <w:rStyle w:val="Hyperlink"/>
            <w:spacing w:val="-4"/>
          </w:rPr>
          <w:t>https://doi.org/10.1186/s13643-018-0862-y</w:t>
        </w:r>
      </w:hyperlink>
      <w:r w:rsidRPr="000E623E">
        <w:rPr>
          <w:spacing w:val="-4"/>
        </w:rPr>
        <w:t xml:space="preserve"> </w:t>
      </w:r>
    </w:p>
    <w:p w14:paraId="41544EA3" w14:textId="22E75D0E" w:rsidR="007A64D0" w:rsidRDefault="007A64D0" w:rsidP="007A64D0">
      <w:pPr>
        <w:pStyle w:val="Reference"/>
      </w:pPr>
      <w:r>
        <w:t xml:space="preserve">Tarzia, L. (2020). Toward an ecological understanding of intimate partner sexual violence. </w:t>
      </w:r>
      <w:r>
        <w:rPr>
          <w:rStyle w:val="Italic"/>
        </w:rPr>
        <w:t>Journal of Interpersonal Violence</w:t>
      </w:r>
      <w:r>
        <w:t>,</w:t>
      </w:r>
      <w:r>
        <w:rPr>
          <w:rStyle w:val="Italic"/>
        </w:rPr>
        <w:t xml:space="preserve"> 36</w:t>
      </w:r>
      <w:r>
        <w:t>(23</w:t>
      </w:r>
      <w:r w:rsidR="000E623E">
        <w:noBreakHyphen/>
      </w:r>
      <w:r>
        <w:t xml:space="preserve">24), 11704–11727. </w:t>
      </w:r>
      <w:hyperlink r:id="rId328" w:history="1">
        <w:r>
          <w:rPr>
            <w:rStyle w:val="Hyperlink"/>
          </w:rPr>
          <w:t>https://doi.org/10.1177/0886260519900298</w:t>
        </w:r>
      </w:hyperlink>
      <w:r>
        <w:t xml:space="preserve"> </w:t>
      </w:r>
    </w:p>
    <w:p w14:paraId="5A599BDB" w14:textId="3D23FB16" w:rsidR="007A64D0" w:rsidRDefault="007A64D0" w:rsidP="007A64D0">
      <w:pPr>
        <w:pStyle w:val="Reference"/>
      </w:pPr>
      <w:r>
        <w:t>Tarzia, L., Bohren, M. A., Cameron, J., Garcia-Moreno, C., O’Doherty, L., Fiolet, R., Hooker, L., Wellington, M., Parker, R., &amp; Koziol-McLain, J. (2020). Women’s experiences and expectations after disclosure of intimate partner abuse to a healthcare provider: A</w:t>
      </w:r>
      <w:r w:rsidR="000E623E">
        <w:t> </w:t>
      </w:r>
      <w:r>
        <w:t xml:space="preserve">qualitative meta-synthesis. </w:t>
      </w:r>
      <w:r>
        <w:rPr>
          <w:rStyle w:val="Italic"/>
        </w:rPr>
        <w:t>BMJ Open</w:t>
      </w:r>
      <w:r>
        <w:t>,</w:t>
      </w:r>
      <w:r>
        <w:rPr>
          <w:rStyle w:val="Italic"/>
        </w:rPr>
        <w:t xml:space="preserve"> 10</w:t>
      </w:r>
      <w:r>
        <w:t xml:space="preserve">(11). e041339. </w:t>
      </w:r>
      <w:hyperlink r:id="rId329" w:history="1">
        <w:r>
          <w:rPr>
            <w:rStyle w:val="Hyperlink"/>
          </w:rPr>
          <w:t>https://doi.org/10.1136/bmjopen-2020-041339</w:t>
        </w:r>
      </w:hyperlink>
      <w:r>
        <w:t xml:space="preserve"> </w:t>
      </w:r>
    </w:p>
    <w:p w14:paraId="3ABCF5D4" w14:textId="77777777" w:rsidR="007A64D0" w:rsidRDefault="007A64D0" w:rsidP="007A64D0">
      <w:pPr>
        <w:pStyle w:val="Reference"/>
      </w:pPr>
      <w:r>
        <w:t xml:space="preserve">Tarzia, L., &amp; Tyler, M. (2021). Recognizing connections between intimate partner sexual violence and pornography. </w:t>
      </w:r>
      <w:r>
        <w:rPr>
          <w:rStyle w:val="Italic"/>
        </w:rPr>
        <w:t>Violence Against Women</w:t>
      </w:r>
      <w:r>
        <w:t>,</w:t>
      </w:r>
      <w:r>
        <w:rPr>
          <w:rStyle w:val="Italic"/>
        </w:rPr>
        <w:t xml:space="preserve"> 27</w:t>
      </w:r>
      <w:r>
        <w:t xml:space="preserve">(14), 2687–2708. </w:t>
      </w:r>
      <w:hyperlink r:id="rId330" w:history="1">
        <w:r>
          <w:rPr>
            <w:rStyle w:val="Hyperlink"/>
          </w:rPr>
          <w:t>https://doi.org/10.1177/1077801220971352</w:t>
        </w:r>
      </w:hyperlink>
      <w:r>
        <w:t xml:space="preserve"> </w:t>
      </w:r>
    </w:p>
    <w:p w14:paraId="7E2F949D" w14:textId="77777777" w:rsidR="007A64D0" w:rsidRDefault="007A64D0" w:rsidP="007A64D0">
      <w:pPr>
        <w:pStyle w:val="Reference"/>
      </w:pPr>
      <w:r>
        <w:t xml:space="preserve">Taylor, E. A., Smith, A. B., Welch, N. M., &amp; Hardin, R. (2018). “You should be flattered!”: Female sport management faculty experiences of sexual harassment and sexism. </w:t>
      </w:r>
      <w:r>
        <w:rPr>
          <w:rStyle w:val="Emphasis"/>
        </w:rPr>
        <w:t>Women in Sport and Physical Activity Journal, 26</w:t>
      </w:r>
      <w:r>
        <w:t xml:space="preserve">(1), 43–53. </w:t>
      </w:r>
      <w:hyperlink r:id="rId331" w:history="1">
        <w:r>
          <w:rPr>
            <w:rStyle w:val="Hyperlink"/>
          </w:rPr>
          <w:t>https://doi.org/10.1123/wspaj.2017-0038</w:t>
        </w:r>
      </w:hyperlink>
      <w:r>
        <w:t xml:space="preserve"> </w:t>
      </w:r>
    </w:p>
    <w:p w14:paraId="026539A2" w14:textId="59176547" w:rsidR="007A64D0" w:rsidRDefault="007A64D0" w:rsidP="007A64D0">
      <w:pPr>
        <w:pStyle w:val="Reference"/>
      </w:pPr>
      <w:r>
        <w:lastRenderedPageBreak/>
        <w:t xml:space="preserve">Taylor, S., Calkins, C. A., Xia, Y., &amp; Dalla, R. L. (2017). Adolescent perceptions of dating violence: A qualitative study. </w:t>
      </w:r>
      <w:r>
        <w:rPr>
          <w:rStyle w:val="Italic"/>
        </w:rPr>
        <w:t>Journal</w:t>
      </w:r>
      <w:r w:rsidR="000E623E">
        <w:rPr>
          <w:rStyle w:val="Italic"/>
        </w:rPr>
        <w:t> </w:t>
      </w:r>
      <w:r>
        <w:rPr>
          <w:rStyle w:val="Italic"/>
        </w:rPr>
        <w:t>of</w:t>
      </w:r>
      <w:r w:rsidR="000E623E">
        <w:rPr>
          <w:rStyle w:val="Italic"/>
        </w:rPr>
        <w:t> </w:t>
      </w:r>
      <w:r>
        <w:rPr>
          <w:rStyle w:val="Italic"/>
        </w:rPr>
        <w:t>Interpersonal Violence</w:t>
      </w:r>
      <w:r>
        <w:t>,</w:t>
      </w:r>
      <w:r>
        <w:rPr>
          <w:rStyle w:val="Italic"/>
        </w:rPr>
        <w:t xml:space="preserve"> 36</w:t>
      </w:r>
      <w:r>
        <w:t xml:space="preserve">(1–2), 448–468. </w:t>
      </w:r>
      <w:hyperlink r:id="rId332" w:history="1">
        <w:r>
          <w:rPr>
            <w:rStyle w:val="Hyperlink"/>
          </w:rPr>
          <w:t>https://doi.org/10.1177/0886260517726969</w:t>
        </w:r>
      </w:hyperlink>
      <w:r>
        <w:t xml:space="preserve"> </w:t>
      </w:r>
    </w:p>
    <w:p w14:paraId="0060B33A" w14:textId="77777777" w:rsidR="007A64D0" w:rsidRDefault="007A64D0" w:rsidP="007A64D0">
      <w:pPr>
        <w:pStyle w:val="Reference"/>
      </w:pPr>
      <w:r>
        <w:t xml:space="preserve">Teach Us Consent. (2021). </w:t>
      </w:r>
      <w:r>
        <w:rPr>
          <w:rStyle w:val="Italic"/>
        </w:rPr>
        <w:t>Teach us consent</w:t>
      </w:r>
      <w:r>
        <w:t xml:space="preserve">. </w:t>
      </w:r>
      <w:hyperlink r:id="rId333" w:history="1">
        <w:r>
          <w:rPr>
            <w:rStyle w:val="Hyperlink"/>
          </w:rPr>
          <w:t>https://www.teachusconsent.com/</w:t>
        </w:r>
      </w:hyperlink>
    </w:p>
    <w:p w14:paraId="18C87478" w14:textId="599AA5C5" w:rsidR="007A64D0" w:rsidRDefault="007A64D0" w:rsidP="007A64D0">
      <w:pPr>
        <w:pStyle w:val="Reference"/>
      </w:pPr>
      <w:r>
        <w:t>Tekkas Kerman, K., &amp; Betrus, P. (2020). Violence against women in Turkey: A social ecological framework of determinants and</w:t>
      </w:r>
      <w:r w:rsidR="000E623E">
        <w:t> </w:t>
      </w:r>
      <w:r>
        <w:t xml:space="preserve">prevention strategies. </w:t>
      </w:r>
      <w:r>
        <w:rPr>
          <w:rStyle w:val="Italic"/>
        </w:rPr>
        <w:t>Trauma, Violence, &amp; Abuse</w:t>
      </w:r>
      <w:r>
        <w:t>,</w:t>
      </w:r>
      <w:r>
        <w:rPr>
          <w:rStyle w:val="Italic"/>
        </w:rPr>
        <w:t xml:space="preserve"> 21</w:t>
      </w:r>
      <w:r>
        <w:t xml:space="preserve">(3), 510–526. </w:t>
      </w:r>
      <w:hyperlink r:id="rId334" w:history="1">
        <w:r>
          <w:rPr>
            <w:rStyle w:val="Hyperlink"/>
          </w:rPr>
          <w:t>https://doi.org/10.1177/1524838018781104</w:t>
        </w:r>
      </w:hyperlink>
      <w:r>
        <w:t xml:space="preserve"> </w:t>
      </w:r>
    </w:p>
    <w:p w14:paraId="5D28D323" w14:textId="7457310A" w:rsidR="007A64D0" w:rsidRDefault="007A64D0" w:rsidP="007A64D0">
      <w:pPr>
        <w:pStyle w:val="Reference"/>
        <w:rPr>
          <w:rStyle w:val="Hyperlink"/>
        </w:rPr>
      </w:pPr>
      <w:r>
        <w:t xml:space="preserve">The Good Society. (2022). </w:t>
      </w:r>
      <w:r>
        <w:rPr>
          <w:rStyle w:val="Italic"/>
        </w:rPr>
        <w:t>Gender norms and stereotypes</w:t>
      </w:r>
      <w:r>
        <w:t>. Australian Government Department of Education, Skills</w:t>
      </w:r>
      <w:r w:rsidR="000E623E">
        <w:t> </w:t>
      </w:r>
      <w:r>
        <w:t>and</w:t>
      </w:r>
      <w:r w:rsidR="000E623E">
        <w:t> </w:t>
      </w:r>
      <w:r>
        <w:t>Employment.</w:t>
      </w:r>
    </w:p>
    <w:p w14:paraId="0238D477" w14:textId="77777777" w:rsidR="007A64D0" w:rsidRDefault="007A64D0" w:rsidP="007A64D0">
      <w:pPr>
        <w:pStyle w:val="Reference"/>
      </w:pPr>
      <w:r>
        <w:t xml:space="preserve">The Men’s Project &amp; Flood, M. (2018) </w:t>
      </w:r>
      <w:r>
        <w:rPr>
          <w:rStyle w:val="Emphasis"/>
        </w:rPr>
        <w:t>The man box: A study on being a young man in Australia</w:t>
      </w:r>
      <w:r>
        <w:t xml:space="preserve">. Jesuit Social Services. </w:t>
      </w:r>
      <w:hyperlink r:id="rId335" w:history="1">
        <w:r>
          <w:rPr>
            <w:rStyle w:val="Hyperlink"/>
          </w:rPr>
          <w:t>https://cdn.jss.org.au/wp-content/uploads/2022/08/28111318/The-Man-Box-A-study-on-being-a-young-man-in-Australia-1.pdf</w:t>
        </w:r>
      </w:hyperlink>
    </w:p>
    <w:p w14:paraId="593B782D" w14:textId="2A04C465" w:rsidR="007A64D0" w:rsidRDefault="007A64D0" w:rsidP="007A64D0">
      <w:pPr>
        <w:pStyle w:val="Reference"/>
      </w:pPr>
      <w:r>
        <w:rPr>
          <w:lang w:val="it-IT"/>
        </w:rPr>
        <w:t xml:space="preserve">Thiara, R. K., Hague, G., &amp; Mullender, A. (2011). </w:t>
      </w:r>
      <w:r>
        <w:t xml:space="preserve">Losing out on both counts: Disabled women and domestic violence. </w:t>
      </w:r>
      <w:r>
        <w:rPr>
          <w:rStyle w:val="Italic"/>
        </w:rPr>
        <w:t>Disability</w:t>
      </w:r>
      <w:r w:rsidR="000E623E">
        <w:rPr>
          <w:rStyle w:val="Italic"/>
        </w:rPr>
        <w:t> </w:t>
      </w:r>
      <w:r>
        <w:rPr>
          <w:rStyle w:val="Italic"/>
        </w:rPr>
        <w:t>&amp;</w:t>
      </w:r>
      <w:r w:rsidR="000E623E">
        <w:rPr>
          <w:rStyle w:val="Italic"/>
        </w:rPr>
        <w:t> </w:t>
      </w:r>
      <w:r>
        <w:rPr>
          <w:rStyle w:val="Italic"/>
        </w:rPr>
        <w:t>Society</w:t>
      </w:r>
      <w:r>
        <w:t>,</w:t>
      </w:r>
      <w:r>
        <w:rPr>
          <w:rStyle w:val="Italic"/>
        </w:rPr>
        <w:t xml:space="preserve"> 26</w:t>
      </w:r>
      <w:r>
        <w:t xml:space="preserve">(6), 757–771. </w:t>
      </w:r>
      <w:hyperlink r:id="rId336" w:history="1">
        <w:r>
          <w:rPr>
            <w:rStyle w:val="Hyperlink"/>
          </w:rPr>
          <w:t>https://doi.org/10.1080/09687599.2011.602867</w:t>
        </w:r>
      </w:hyperlink>
      <w:r>
        <w:t xml:space="preserve"> </w:t>
      </w:r>
    </w:p>
    <w:p w14:paraId="597E30DD" w14:textId="77777777" w:rsidR="007A64D0" w:rsidRDefault="007A64D0" w:rsidP="007A64D0">
      <w:pPr>
        <w:pStyle w:val="Reference"/>
      </w:pPr>
      <w:r>
        <w:t xml:space="preserve">Tomsa, R., Gutu, S., Cojocaru, D., Gutiérrez-Bermejo, B., Flores, N., &amp; Jenaro, C. (2021). Prevalence of sexual abuse in adults with intellectual disability: Systematic review and meta-analysis. </w:t>
      </w:r>
      <w:r>
        <w:rPr>
          <w:rStyle w:val="Emphasis"/>
        </w:rPr>
        <w:t>International Journal of Environmental Research and Public Health, 18</w:t>
      </w:r>
      <w:r>
        <w:t xml:space="preserve">(4), 1980. </w:t>
      </w:r>
      <w:hyperlink r:id="rId337" w:history="1">
        <w:r>
          <w:rPr>
            <w:rStyle w:val="Hyperlink"/>
          </w:rPr>
          <w:t>https://doi.org/10.3390/ijerph18041980</w:t>
        </w:r>
      </w:hyperlink>
      <w:r>
        <w:t xml:space="preserve"> </w:t>
      </w:r>
    </w:p>
    <w:p w14:paraId="592568F2" w14:textId="77777777" w:rsidR="007A64D0" w:rsidRDefault="007A64D0" w:rsidP="007A64D0">
      <w:pPr>
        <w:pStyle w:val="Reference"/>
      </w:pPr>
      <w:r>
        <w:t xml:space="preserve">Tomsen, S., &amp; Gadd, D. (2019). Beyond honour and achieved hegemony: Violence and the everyday masculinities of young men. </w:t>
      </w:r>
      <w:r>
        <w:rPr>
          <w:rStyle w:val="Emphasis"/>
        </w:rPr>
        <w:t>International Journal for Crime, Justice and Social Democracy, 8</w:t>
      </w:r>
      <w:r>
        <w:t xml:space="preserve">(2), 17–30. </w:t>
      </w:r>
      <w:hyperlink r:id="rId338" w:history="1">
        <w:r>
          <w:rPr>
            <w:rStyle w:val="Hyperlink"/>
          </w:rPr>
          <w:t>https://doi.org/10.5204/ijcjsd.v8i2.1117</w:t>
        </w:r>
      </w:hyperlink>
      <w:r>
        <w:t xml:space="preserve"> </w:t>
      </w:r>
    </w:p>
    <w:p w14:paraId="0B3803E1" w14:textId="77777777" w:rsidR="007A64D0" w:rsidRDefault="007A64D0" w:rsidP="007A64D0">
      <w:pPr>
        <w:pStyle w:val="Reference"/>
      </w:pPr>
      <w:r>
        <w:t xml:space="preserve">Townsend, N., Loxton, D., Egan, N., Barnes, I., Byrnes, E., &amp; Forder, P. (2022). </w:t>
      </w:r>
      <w:r>
        <w:rPr>
          <w:rStyle w:val="Italic"/>
        </w:rPr>
        <w:t>A life course approach to determining the prevalence and impact of sexual violence in Australia: Findings from the Australian Longitudinal Study on Women’s Health.</w:t>
      </w:r>
      <w:r>
        <w:t xml:space="preserve"> (Research report, 14/2022). ANROWS. </w:t>
      </w:r>
      <w:hyperlink r:id="rId339" w:history="1">
        <w:r>
          <w:rPr>
            <w:rStyle w:val="Hyperlink"/>
          </w:rPr>
          <w:t>https://www.anrows.org.au/publication/a-life-course-approach-to-determining-the-prevalence-and-impact-of-sexual-violence-in-australia-findings-from-the-australian-longitudinal-study-on-womens-health/</w:t>
        </w:r>
      </w:hyperlink>
    </w:p>
    <w:p w14:paraId="7EF97ACB" w14:textId="77777777" w:rsidR="007A64D0" w:rsidRDefault="007A64D0" w:rsidP="007A64D0">
      <w:pPr>
        <w:pStyle w:val="Reference"/>
      </w:pPr>
      <w:r>
        <w:t xml:space="preserve">Transhub. (2021). </w:t>
      </w:r>
      <w:r>
        <w:rPr>
          <w:rStyle w:val="Italic"/>
        </w:rPr>
        <w:t>Language</w:t>
      </w:r>
      <w:r>
        <w:t xml:space="preserve">. </w:t>
      </w:r>
      <w:hyperlink r:id="rId340" w:history="1">
        <w:r>
          <w:rPr>
            <w:rStyle w:val="Hyperlink"/>
          </w:rPr>
          <w:t>https://www.transhub.org.au/language</w:t>
        </w:r>
      </w:hyperlink>
    </w:p>
    <w:p w14:paraId="43E8B675" w14:textId="77777777" w:rsidR="007A64D0" w:rsidRDefault="007A64D0" w:rsidP="007A64D0">
      <w:pPr>
        <w:pStyle w:val="Reference"/>
      </w:pPr>
      <w:r>
        <w:t xml:space="preserve">Trikic, Z., &amp; Alaylı, A. (2023). </w:t>
      </w:r>
      <w:r>
        <w:rPr>
          <w:rStyle w:val="Italic"/>
        </w:rPr>
        <w:t>Supporting families for gender-transformative parenting: Challenging the gender norms and gender inequalities to create a more equitable environment for all children to thrive</w:t>
      </w:r>
      <w:r>
        <w:t xml:space="preserve">. UNICEF Gender Equality Section. </w:t>
      </w:r>
      <w:hyperlink r:id="rId341" w:history="1">
        <w:r>
          <w:rPr>
            <w:rStyle w:val="Hyperlink"/>
          </w:rPr>
          <w:t>https://www.unicef.org/media/134441/file/Gender_Transformative_Parenting_Resource_Modules.pdf</w:t>
        </w:r>
      </w:hyperlink>
    </w:p>
    <w:p w14:paraId="51AC71F5" w14:textId="77777777" w:rsidR="007A64D0" w:rsidRDefault="007A64D0" w:rsidP="007A64D0">
      <w:pPr>
        <w:pStyle w:val="Reference"/>
      </w:pPr>
      <w:r>
        <w:t>Tuohy, W. (2022, September 2). Hope and optimism as young voices “finally being heard” at summit.</w:t>
      </w:r>
      <w:r>
        <w:rPr>
          <w:rStyle w:val="Italic"/>
        </w:rPr>
        <w:t xml:space="preserve"> The Sydney Morning Herald</w:t>
      </w:r>
      <w:r>
        <w:t xml:space="preserve">. </w:t>
      </w:r>
      <w:r>
        <w:rPr>
          <w:rStyle w:val="Hyperlink"/>
        </w:rPr>
        <w:t>https://www.smh.com.au/national/when-yasmin-23-met-the-pm-59-she-was-pleased-he-mainly-listened-i-know-right-20220902-p5beum.html</w:t>
      </w:r>
    </w:p>
    <w:p w14:paraId="5F9C9A78" w14:textId="77777777" w:rsidR="007A64D0" w:rsidRDefault="007A64D0" w:rsidP="007A64D0">
      <w:pPr>
        <w:pStyle w:val="Reference"/>
      </w:pPr>
      <w:r>
        <w:t>Turnbull, T. (2022, June 9). Saxon Mullins: The woman changing Australia’s rape laws.</w:t>
      </w:r>
      <w:r>
        <w:rPr>
          <w:rStyle w:val="Italic"/>
        </w:rPr>
        <w:t xml:space="preserve"> BBC News</w:t>
      </w:r>
      <w:r>
        <w:t xml:space="preserve">. </w:t>
      </w:r>
      <w:hyperlink r:id="rId342" w:history="1">
        <w:r>
          <w:rPr>
            <w:rStyle w:val="Hyperlink"/>
          </w:rPr>
          <w:t>https://www.bbc.com/news/world-australia-61714818</w:t>
        </w:r>
      </w:hyperlink>
    </w:p>
    <w:p w14:paraId="15DEDEF7" w14:textId="77777777" w:rsidR="007A64D0" w:rsidRDefault="007A64D0" w:rsidP="007A64D0">
      <w:pPr>
        <w:pStyle w:val="Reference"/>
      </w:pPr>
      <w:r>
        <w:t xml:space="preserve">Tyler, M. (2015). Harms of production: Theorising pornography as a form of prostitution. </w:t>
      </w:r>
      <w:r>
        <w:rPr>
          <w:rStyle w:val="Italic"/>
        </w:rPr>
        <w:t>Women’s Studies International Forum</w:t>
      </w:r>
      <w:r>
        <w:t>,</w:t>
      </w:r>
      <w:r>
        <w:rPr>
          <w:rStyle w:val="Italic"/>
        </w:rPr>
        <w:t xml:space="preserve"> 48</w:t>
      </w:r>
      <w:r>
        <w:t xml:space="preserve">, 114–123. </w:t>
      </w:r>
      <w:hyperlink r:id="rId343" w:history="1">
        <w:r>
          <w:rPr>
            <w:rStyle w:val="Hyperlink"/>
          </w:rPr>
          <w:t>https://doi.org/10.1016/j.wsif.2014.11.014</w:t>
        </w:r>
      </w:hyperlink>
      <w:r>
        <w:t xml:space="preserve"> </w:t>
      </w:r>
    </w:p>
    <w:p w14:paraId="221C5664" w14:textId="77777777" w:rsidR="007A64D0" w:rsidRDefault="007A64D0" w:rsidP="007A64D0">
      <w:pPr>
        <w:pStyle w:val="Reference"/>
      </w:pPr>
      <w:r>
        <w:t xml:space="preserve">Ussher, J. M., Hawkey, A., Perz, J., Liamputtong, P., Marjadi, B., Schmied, V., Dune, T., Sekar, J.A., Ryan, S., Charter, R., Thepsourinthone, J., Noack-Lundberg, K., &amp; Brook, E. (2020). </w:t>
      </w:r>
      <w:r>
        <w:rPr>
          <w:rStyle w:val="Emphasis"/>
        </w:rPr>
        <w:t>Crossing the line: Lived experience of sexual violence among trans women of colour from culturally and linguistically diverse (CALD) backgrounds in Australia</w:t>
      </w:r>
      <w:r>
        <w:t xml:space="preserve"> (Research report, 14/2020). ANROWS. </w:t>
      </w:r>
      <w:hyperlink r:id="rId344" w:history="1">
        <w:r>
          <w:rPr>
            <w:rStyle w:val="Hyperlink"/>
          </w:rPr>
          <w:t>https://www.anrows.org.au/publication/crossing-the-line-lived-experience-of-sexual-violence-among-trans-women-of-colour-from-culturally-and-linguistically-diverse-cald-backgrounds-in-australia/</w:t>
        </w:r>
      </w:hyperlink>
    </w:p>
    <w:p w14:paraId="342AF7B2" w14:textId="77777777" w:rsidR="007A64D0" w:rsidRDefault="007A64D0" w:rsidP="007A64D0">
      <w:pPr>
        <w:pStyle w:val="Reference"/>
      </w:pPr>
      <w:r>
        <w:t xml:space="preserve">van der Gaag, N., Heilman, B., Gupta, T., Nembhard, C., &amp; Barker, G. (2019). </w:t>
      </w:r>
      <w:r>
        <w:rPr>
          <w:rStyle w:val="Italic"/>
        </w:rPr>
        <w:t>State of the world’s fathers: Unlocking the Power of Men’s Care</w:t>
      </w:r>
      <w:r>
        <w:t xml:space="preserve">. Promundo-US. </w:t>
      </w:r>
      <w:hyperlink r:id="rId345" w:history="1">
        <w:r>
          <w:rPr>
            <w:rStyle w:val="Hyperlink"/>
          </w:rPr>
          <w:t>https://plan-international.org/uploads/2021/12/state_of_the_worlds_fathers_2019_full_2.pdf</w:t>
        </w:r>
      </w:hyperlink>
    </w:p>
    <w:p w14:paraId="6F6D386F" w14:textId="77777777" w:rsidR="007A64D0" w:rsidRDefault="007A64D0" w:rsidP="007A64D0">
      <w:pPr>
        <w:pStyle w:val="Reference"/>
      </w:pPr>
      <w:r>
        <w:t xml:space="preserve">Vaynman, M. J., Sandberg, S., &amp; Pedersen, W. (2020). “Locker room talk”: Male bonding and sexual degradation in drinking stories. </w:t>
      </w:r>
      <w:r>
        <w:rPr>
          <w:rStyle w:val="Italic"/>
        </w:rPr>
        <w:t>Culture, Health &amp; Sexuality</w:t>
      </w:r>
      <w:r>
        <w:t>,</w:t>
      </w:r>
      <w:r>
        <w:rPr>
          <w:rStyle w:val="Italic"/>
        </w:rPr>
        <w:t xml:space="preserve"> 22</w:t>
      </w:r>
      <w:r>
        <w:t xml:space="preserve">(11), 1235–1252. </w:t>
      </w:r>
      <w:hyperlink r:id="rId346" w:history="1">
        <w:r>
          <w:rPr>
            <w:rStyle w:val="Hyperlink"/>
          </w:rPr>
          <w:t>https://doi.org/10.1080/13691058.2019.1670864</w:t>
        </w:r>
      </w:hyperlink>
      <w:r>
        <w:t xml:space="preserve"> </w:t>
      </w:r>
    </w:p>
    <w:p w14:paraId="4C1AF32F" w14:textId="77777777" w:rsidR="007A64D0" w:rsidRDefault="007A64D0" w:rsidP="007A64D0">
      <w:pPr>
        <w:pStyle w:val="Reference"/>
      </w:pPr>
      <w:r>
        <w:t xml:space="preserve">Vera-Gray, F., McGlynn, C., Kureshi, I., &amp; Butterby, K. (2021). Sexual violence as a sexual script in mainstream online pornography. </w:t>
      </w:r>
      <w:r>
        <w:rPr>
          <w:rStyle w:val="Italic"/>
        </w:rPr>
        <w:t>The British Journal of Criminology</w:t>
      </w:r>
      <w:r>
        <w:t>,</w:t>
      </w:r>
      <w:r>
        <w:rPr>
          <w:rStyle w:val="Italic"/>
        </w:rPr>
        <w:t xml:space="preserve"> 61</w:t>
      </w:r>
      <w:r>
        <w:t xml:space="preserve">(5), 1243–1260. </w:t>
      </w:r>
      <w:hyperlink r:id="rId347" w:history="1">
        <w:r>
          <w:rPr>
            <w:rStyle w:val="Hyperlink"/>
          </w:rPr>
          <w:t>https://doi.org/10.1093/bjc/azab035</w:t>
        </w:r>
      </w:hyperlink>
      <w:r>
        <w:t xml:space="preserve"> </w:t>
      </w:r>
    </w:p>
    <w:p w14:paraId="40F02B77" w14:textId="77777777" w:rsidR="007A64D0" w:rsidRDefault="007A64D0" w:rsidP="007A64D0">
      <w:pPr>
        <w:pStyle w:val="Reference"/>
      </w:pPr>
      <w:r>
        <w:t xml:space="preserve">VicHealth. (2017). </w:t>
      </w:r>
      <w:r>
        <w:rPr>
          <w:rStyle w:val="Italic"/>
        </w:rPr>
        <w:t>Violence against women in Australia. An overview of research and approaches to primary prevention</w:t>
      </w:r>
      <w:r>
        <w:t xml:space="preserve">. Victorian Health Promotion Foundation. </w:t>
      </w:r>
      <w:hyperlink r:id="rId348" w:history="1">
        <w:r>
          <w:rPr>
            <w:rStyle w:val="Hyperlink"/>
          </w:rPr>
          <w:t>https://www.vichealth.vic.gov.au/-/media/ResourceCentre/PublicationsandResources/PVAW/Violence-Against-Women-Research-Overview.pdf</w:t>
        </w:r>
      </w:hyperlink>
    </w:p>
    <w:p w14:paraId="58C04274" w14:textId="77777777" w:rsidR="007A64D0" w:rsidRDefault="007A64D0" w:rsidP="007A64D0">
      <w:pPr>
        <w:pStyle w:val="Reference"/>
      </w:pPr>
      <w:r>
        <w:t xml:space="preserve">Victorian Law Reform Commission. (2021). </w:t>
      </w:r>
      <w:r>
        <w:rPr>
          <w:rStyle w:val="Italic"/>
        </w:rPr>
        <w:t>Stalking: Consultation paper</w:t>
      </w:r>
      <w:r>
        <w:t xml:space="preserve">. </w:t>
      </w:r>
      <w:hyperlink r:id="rId349" w:history="1">
        <w:r>
          <w:rPr>
            <w:rStyle w:val="Hyperlink"/>
          </w:rPr>
          <w:t>https://www.lawreform.vic.gov.au/publication/stalking-2/5-criminal-law-responses-to-stalking/</w:t>
        </w:r>
      </w:hyperlink>
    </w:p>
    <w:p w14:paraId="62C24E41" w14:textId="77777777" w:rsidR="007A64D0" w:rsidRDefault="007A64D0" w:rsidP="007A64D0">
      <w:pPr>
        <w:pStyle w:val="Reference"/>
      </w:pPr>
      <w:r>
        <w:lastRenderedPageBreak/>
        <w:t>Visentin, L., &amp; Chrysanthos, N. (2022, February 19). Consent and coercion in sexual relationships to be part of national curriculum.</w:t>
      </w:r>
      <w:r>
        <w:rPr>
          <w:rStyle w:val="Italic"/>
        </w:rPr>
        <w:t xml:space="preserve"> The Sydney Morning Herald</w:t>
      </w:r>
      <w:r>
        <w:t xml:space="preserve">. </w:t>
      </w:r>
      <w:hyperlink r:id="rId350" w:history="1">
        <w:r>
          <w:rPr>
            <w:rStyle w:val="Hyperlink"/>
          </w:rPr>
          <w:t>https://www.smh.com.au/politics/federal/consent-and-coercion-in-sexual-relationships-to-be-part-of-national-curriculum-20220218-p59xmx.html</w:t>
        </w:r>
      </w:hyperlink>
    </w:p>
    <w:p w14:paraId="534105F4" w14:textId="77777777" w:rsidR="007A64D0" w:rsidRDefault="007A64D0" w:rsidP="007A64D0">
      <w:pPr>
        <w:pStyle w:val="Reference"/>
      </w:pPr>
      <w:r>
        <w:t xml:space="preserve">Walker, R., Usher, K., Jackson, D., Reid, C., Hopkins, K., Shepherd, C., Smallwood, R., &amp; Marriott, R. (2021). Connection to... Addressing digital inequities in supporting the well-being of young Indigenous Australians in the wake of COVID-19. </w:t>
      </w:r>
      <w:r>
        <w:rPr>
          <w:rStyle w:val="Italic"/>
        </w:rPr>
        <w:t>International Journal of Environmental Research and Public Health</w:t>
      </w:r>
      <w:r>
        <w:t>,</w:t>
      </w:r>
      <w:r>
        <w:rPr>
          <w:rStyle w:val="Italic"/>
        </w:rPr>
        <w:t xml:space="preserve"> 18</w:t>
      </w:r>
      <w:r>
        <w:t xml:space="preserve">(4), 2141. </w:t>
      </w:r>
      <w:hyperlink r:id="rId351" w:history="1">
        <w:r>
          <w:rPr>
            <w:rStyle w:val="Hyperlink"/>
          </w:rPr>
          <w:t>https://doi.org/10.3390/ijerph18042141</w:t>
        </w:r>
      </w:hyperlink>
      <w:r>
        <w:t xml:space="preserve"> </w:t>
      </w:r>
    </w:p>
    <w:p w14:paraId="008E4287" w14:textId="77777777" w:rsidR="007A64D0" w:rsidRDefault="007A64D0" w:rsidP="007A64D0">
      <w:pPr>
        <w:pStyle w:val="Reference"/>
      </w:pPr>
      <w:r>
        <w:t>Watego, C., Macoun, A., Singh, D., &amp; Strakosch, E. (2021, 6 July). Carceral feminism and coercive control: When Indigenous women aren’t seen as ideal victims, witnesses or women.</w:t>
      </w:r>
      <w:r>
        <w:rPr>
          <w:rStyle w:val="Italic"/>
        </w:rPr>
        <w:t xml:space="preserve"> The Conversation Australia</w:t>
      </w:r>
      <w:r>
        <w:t xml:space="preserve">. </w:t>
      </w:r>
      <w:hyperlink r:id="rId352" w:history="1">
        <w:r>
          <w:rPr>
            <w:rStyle w:val="Hyperlink"/>
          </w:rPr>
          <w:t>https://theconversation.com/carceral-feminism-and-coercive-control-when-indigenous-women-arent-seen-as-ideal-victims-witnesses-or-women-161091</w:t>
        </w:r>
      </w:hyperlink>
    </w:p>
    <w:p w14:paraId="6C9AE332" w14:textId="77777777" w:rsidR="007A64D0" w:rsidRDefault="007A64D0" w:rsidP="007A64D0">
      <w:pPr>
        <w:pStyle w:val="Reference"/>
      </w:pPr>
      <w:r>
        <w:t xml:space="preserve">Webster, K., Diemer, K., Honey, N., Mannix, S., Mickle, J., Morgan, J., Parkes, A., Politoff, V., Powell, A., Stubbs, J., &amp; Ward, A. (2018). </w:t>
      </w:r>
      <w:r>
        <w:rPr>
          <w:rStyle w:val="Italic"/>
        </w:rPr>
        <w:t>Australians’ attitudes to violence against women and gender equality. Findings from the 2017 National Community Attitudes towards Violence against Women Survey (NCAS).</w:t>
      </w:r>
      <w:r>
        <w:t xml:space="preserve"> (Research report, 03/2018). ANROWS. </w:t>
      </w:r>
      <w:r>
        <w:rPr>
          <w:rStyle w:val="Hyperlink"/>
        </w:rPr>
        <w:t>https://www.anrows.org.au/publication/australians-attitudes-to-violence-against-women-and-gender-equality-findings-from-the-2017-national-community-attitudes-towards-violence-against-women-survey-ncas/</w:t>
      </w:r>
    </w:p>
    <w:p w14:paraId="0D0AF12D" w14:textId="77777777" w:rsidR="007A64D0" w:rsidRDefault="007A64D0" w:rsidP="007A64D0">
      <w:pPr>
        <w:pStyle w:val="Reference"/>
      </w:pPr>
      <w:r>
        <w:t xml:space="preserve">Weingarten, C., Rabago, J., Reynolds, J., Gates, K., Yanagida, E., &amp; Baker, C. (2018). Examining the utility of a train-the-trainer model for dissemination of sexual violence prevention in schools. </w:t>
      </w:r>
      <w:r>
        <w:rPr>
          <w:rStyle w:val="Italic"/>
        </w:rPr>
        <w:t>Child Abuse &amp; Neglect</w:t>
      </w:r>
      <w:r>
        <w:t>,</w:t>
      </w:r>
      <w:r>
        <w:rPr>
          <w:rStyle w:val="Italic"/>
        </w:rPr>
        <w:t xml:space="preserve"> 80</w:t>
      </w:r>
      <w:r>
        <w:t xml:space="preserve">, 70–79. </w:t>
      </w:r>
      <w:hyperlink r:id="rId353" w:history="1">
        <w:r>
          <w:rPr>
            <w:rStyle w:val="Hyperlink"/>
          </w:rPr>
          <w:t>https://doi.org/10.1016/j.chiabu.2018.03.022</w:t>
        </w:r>
      </w:hyperlink>
      <w:r>
        <w:t xml:space="preserve"> </w:t>
      </w:r>
    </w:p>
    <w:p w14:paraId="77D2FBAC" w14:textId="77777777" w:rsidR="007A64D0" w:rsidRDefault="007A64D0" w:rsidP="007A64D0">
      <w:pPr>
        <w:pStyle w:val="Reference"/>
      </w:pPr>
      <w:r>
        <w:t xml:space="preserve">Weldon, C., &amp; Kerr, A. (2020). Escaping family violence: How the justice system is failing Aboriginal women. </w:t>
      </w:r>
      <w:r>
        <w:rPr>
          <w:rStyle w:val="Italic"/>
        </w:rPr>
        <w:t xml:space="preserve">Precedent, </w:t>
      </w:r>
      <w:r>
        <w:t xml:space="preserve">(159), 16–21. </w:t>
      </w:r>
      <w:hyperlink r:id="rId354" w:history="1">
        <w:r>
          <w:rPr>
            <w:rStyle w:val="Hyperlink"/>
          </w:rPr>
          <w:t>https://search.informit.org/documentSummary;dn=344244162621697;res=IELAPA</w:t>
        </w:r>
      </w:hyperlink>
      <w:r>
        <w:t xml:space="preserve"> </w:t>
      </w:r>
    </w:p>
    <w:p w14:paraId="740DFBC1" w14:textId="77777777" w:rsidR="007A64D0" w:rsidRDefault="007A64D0" w:rsidP="007A64D0">
      <w:pPr>
        <w:pStyle w:val="Reference"/>
      </w:pPr>
      <w:r>
        <w:t xml:space="preserve">Wheildon, L. J., True, J., Flynn, A., &amp; Wild, A. (2022). The Batty effect: Victim-survivors and domestic and family violence policy change. </w:t>
      </w:r>
      <w:r>
        <w:rPr>
          <w:rStyle w:val="Italic"/>
        </w:rPr>
        <w:t>Violence Against Women</w:t>
      </w:r>
      <w:r>
        <w:t>,</w:t>
      </w:r>
      <w:r>
        <w:rPr>
          <w:rStyle w:val="Italic"/>
        </w:rPr>
        <w:t xml:space="preserve"> 28</w:t>
      </w:r>
      <w:r>
        <w:t xml:space="preserve">(6–7), 1684–1707. </w:t>
      </w:r>
      <w:hyperlink r:id="rId355" w:history="1">
        <w:r>
          <w:rPr>
            <w:rStyle w:val="Hyperlink"/>
          </w:rPr>
          <w:t>https://doi.org/10.1177/10778012211024266</w:t>
        </w:r>
      </w:hyperlink>
      <w:r>
        <w:t xml:space="preserve"> </w:t>
      </w:r>
    </w:p>
    <w:p w14:paraId="57800822" w14:textId="77777777" w:rsidR="007A64D0" w:rsidRDefault="007A64D0" w:rsidP="007A64D0">
      <w:pPr>
        <w:pStyle w:val="Reference"/>
      </w:pPr>
      <w:r>
        <w:t xml:space="preserve">White, J. W., &amp; Geffner, R. (2022). Fundamentals of understanding interpersonal violence and abuse. In R. Geffner, J. W. White, L. K. Hamberger, A. Rosenbaum, V. Vaughan-Eden, &amp; V. I. Vieth (Eds.), </w:t>
      </w:r>
      <w:r>
        <w:rPr>
          <w:rStyle w:val="Emphasis"/>
        </w:rPr>
        <w:t>Handbook of interpersonal violence and abuse across the lifespan: A project of the National Partnership to End Interpersonal Violence Across the Lifespan (NPEIV)</w:t>
      </w:r>
      <w:r>
        <w:t xml:space="preserve"> (pp. 3–26). Springer International Publishing. </w:t>
      </w:r>
      <w:hyperlink r:id="rId356" w:history="1">
        <w:r>
          <w:rPr>
            <w:rStyle w:val="Hyperlink"/>
          </w:rPr>
          <w:t>https://doi.org/10.1007/978-3-319-89999-2_303</w:t>
        </w:r>
      </w:hyperlink>
      <w:r>
        <w:t xml:space="preserve"> </w:t>
      </w:r>
    </w:p>
    <w:p w14:paraId="65C4E547" w14:textId="77777777" w:rsidR="007A64D0" w:rsidRDefault="007A64D0" w:rsidP="007A64D0">
      <w:pPr>
        <w:pStyle w:val="Reference"/>
      </w:pPr>
      <w:r>
        <w:t xml:space="preserve">Whittle, J., Elder-Vass, D., &amp; Lumsden, K. (2019). “There’s a bit of banter”: How male teenagers “do boy” on social networking sites. In K. Lumsden &amp; E. Harmer (Eds.), </w:t>
      </w:r>
      <w:r>
        <w:rPr>
          <w:rStyle w:val="Italic"/>
        </w:rPr>
        <w:t>Online othering: Exploring digital violence and discrimination on the web</w:t>
      </w:r>
      <w:r>
        <w:t xml:space="preserve"> (pp. 165–186). Springer International Publishing. </w:t>
      </w:r>
      <w:hyperlink r:id="rId357" w:history="1">
        <w:r>
          <w:rPr>
            <w:rStyle w:val="Hyperlink"/>
          </w:rPr>
          <w:t>https://doi.org/10.1007/978-3-030-12633-9_7</w:t>
        </w:r>
      </w:hyperlink>
      <w:r>
        <w:t xml:space="preserve"> </w:t>
      </w:r>
    </w:p>
    <w:p w14:paraId="4D9CC855" w14:textId="77777777" w:rsidR="007A64D0" w:rsidRDefault="007A64D0" w:rsidP="007A64D0">
      <w:pPr>
        <w:pStyle w:val="Reference"/>
      </w:pPr>
      <w:r>
        <w:t xml:space="preserve">Williams, L. R., &amp; Rueda, H. A. (2018). Teenage dating violence: Perceptions of need, priority, and prevention responsibility among schools in predominantly Mexican heritage communities. </w:t>
      </w:r>
      <w:r>
        <w:rPr>
          <w:rStyle w:val="Italic"/>
        </w:rPr>
        <w:t>Children &amp; Schools</w:t>
      </w:r>
      <w:r>
        <w:t>,</w:t>
      </w:r>
      <w:r>
        <w:rPr>
          <w:rStyle w:val="Italic"/>
        </w:rPr>
        <w:t xml:space="preserve"> 40</w:t>
      </w:r>
      <w:r>
        <w:t xml:space="preserve">(3), 135–144. </w:t>
      </w:r>
      <w:hyperlink r:id="rId358" w:history="1">
        <w:r>
          <w:rPr>
            <w:rStyle w:val="Hyperlink"/>
          </w:rPr>
          <w:t>https://doi.org/10.1093/cs/cdy012</w:t>
        </w:r>
      </w:hyperlink>
      <w:r>
        <w:t xml:space="preserve"> </w:t>
      </w:r>
    </w:p>
    <w:p w14:paraId="12BE422B" w14:textId="77777777" w:rsidR="007A64D0" w:rsidRDefault="007A64D0" w:rsidP="007A64D0">
      <w:pPr>
        <w:pStyle w:val="Reference"/>
      </w:pPr>
      <w:r>
        <w:t xml:space="preserve">Willie, T. C., Khondkaryan, E., Callands, T., &amp; Kershaw, T. (2018). “Think like a man”: How sexual cultural scripting and masculinity influence changes in men’s use of intimate partner violence. </w:t>
      </w:r>
      <w:r>
        <w:rPr>
          <w:rStyle w:val="Emphasis"/>
        </w:rPr>
        <w:t>American Journal of Community Psychology, 61</w:t>
      </w:r>
      <w:r>
        <w:t xml:space="preserve">(1–2), 240–250. </w:t>
      </w:r>
      <w:hyperlink r:id="rId359" w:history="1">
        <w:r>
          <w:rPr>
            <w:rStyle w:val="Hyperlink"/>
          </w:rPr>
          <w:t>https://doi.org/10.1002/ajcp.12224</w:t>
        </w:r>
      </w:hyperlink>
      <w:r>
        <w:t xml:space="preserve"> </w:t>
      </w:r>
    </w:p>
    <w:p w14:paraId="27FD2492" w14:textId="77777777" w:rsidR="007A64D0" w:rsidRDefault="007A64D0" w:rsidP="007A64D0">
      <w:pPr>
        <w:pStyle w:val="Reference"/>
      </w:pPr>
      <w:r>
        <w:t xml:space="preserve">Winters, G. M., Jeglic, E. L., &amp; Kaylor, L. E. (2020). Validation of the sexual grooming model of child sexual abusers. </w:t>
      </w:r>
      <w:r>
        <w:rPr>
          <w:rStyle w:val="Italic"/>
        </w:rPr>
        <w:t>Journal of Child Sexual Abuse</w:t>
      </w:r>
      <w:r>
        <w:t>,</w:t>
      </w:r>
      <w:r>
        <w:rPr>
          <w:rStyle w:val="Italic"/>
        </w:rPr>
        <w:t xml:space="preserve"> 29</w:t>
      </w:r>
      <w:r>
        <w:t xml:space="preserve">(7), 855–875. </w:t>
      </w:r>
      <w:hyperlink r:id="rId360" w:history="1">
        <w:r>
          <w:rPr>
            <w:rStyle w:val="Hyperlink"/>
          </w:rPr>
          <w:t>https://doi.org/10.1080/10538712.2020.1801935</w:t>
        </w:r>
      </w:hyperlink>
      <w:r>
        <w:t xml:space="preserve"> </w:t>
      </w:r>
    </w:p>
    <w:p w14:paraId="3570AA50" w14:textId="77777777" w:rsidR="007A64D0" w:rsidRDefault="007A64D0" w:rsidP="007A64D0">
      <w:pPr>
        <w:pStyle w:val="Reference"/>
      </w:pPr>
      <w:r>
        <w:t xml:space="preserve">Woodlock, D., Bentley, K., Schulze, D., Mahoney, N., Chung, D., &amp; Pracilio, A. (2020). </w:t>
      </w:r>
      <w:r>
        <w:rPr>
          <w:rStyle w:val="Italic"/>
        </w:rPr>
        <w:t>Second national survey of technology abuse and domestic violence in Australia.</w:t>
      </w:r>
      <w:r>
        <w:t xml:space="preserve"> WESNET. </w:t>
      </w:r>
      <w:hyperlink r:id="rId361" w:history="1">
        <w:r>
          <w:rPr>
            <w:rStyle w:val="Hyperlink"/>
          </w:rPr>
          <w:t>https://wesnet.org.au/wp-content/uploads/sites/3/2020/11/Wesnet-2020-2nd-National-Survey-Report-72pp-A4-FINAL.pdf</w:t>
        </w:r>
      </w:hyperlink>
    </w:p>
    <w:p w14:paraId="3E429E86" w14:textId="77777777" w:rsidR="007A64D0" w:rsidRDefault="007A64D0" w:rsidP="007A64D0">
      <w:pPr>
        <w:pStyle w:val="Reference"/>
      </w:pPr>
      <w:r>
        <w:t xml:space="preserve">Workplace Gender Equality Agency. (2019). </w:t>
      </w:r>
      <w:r>
        <w:rPr>
          <w:rStyle w:val="Italic"/>
        </w:rPr>
        <w:t>Gender equality strategy toolkit</w:t>
      </w:r>
      <w:r>
        <w:t xml:space="preserve">. Australian Government. </w:t>
      </w:r>
      <w:hyperlink r:id="rId362" w:history="1">
        <w:r>
          <w:rPr>
            <w:rStyle w:val="Hyperlink"/>
          </w:rPr>
          <w:t>https://www.wgea.gov.au/tools/gender-strategy-toolkit</w:t>
        </w:r>
      </w:hyperlink>
    </w:p>
    <w:p w14:paraId="1CC83DE5" w14:textId="77777777" w:rsidR="007A64D0" w:rsidRDefault="007A64D0" w:rsidP="007A64D0">
      <w:pPr>
        <w:pStyle w:val="Reference"/>
      </w:pPr>
      <w:r>
        <w:t xml:space="preserve">Workplace Gender Equality Agency. (2022). </w:t>
      </w:r>
      <w:r>
        <w:rPr>
          <w:rStyle w:val="Italic"/>
        </w:rPr>
        <w:t>Australia’s gender equality scorecard – February 2022: Key results from the Workplace Gender Equality Agency’s 2020</w:t>
      </w:r>
      <w:r>
        <w:t>–</w:t>
      </w:r>
      <w:r>
        <w:rPr>
          <w:rStyle w:val="Italic"/>
        </w:rPr>
        <w:t>21 employer census</w:t>
      </w:r>
      <w:r>
        <w:t xml:space="preserve">. </w:t>
      </w:r>
      <w:hyperlink r:id="rId363" w:history="1">
        <w:r>
          <w:rPr>
            <w:rStyle w:val="Hyperlink"/>
          </w:rPr>
          <w:t>https://apo.org.au/sites/default/files/resource-files/2022-02/apo-nid316412.pdf</w:t>
        </w:r>
      </w:hyperlink>
    </w:p>
    <w:p w14:paraId="48FB2B0B" w14:textId="77777777" w:rsidR="007A64D0" w:rsidRDefault="007A64D0" w:rsidP="007A64D0">
      <w:pPr>
        <w:pStyle w:val="Reference"/>
      </w:pPr>
      <w:r>
        <w:t xml:space="preserve">World Health Organization. (2021a). </w:t>
      </w:r>
      <w:r>
        <w:rPr>
          <w:rStyle w:val="Italic"/>
        </w:rPr>
        <w:t>Violence against women prevalence estimates, 2018: Global, regional and national prevalence estimates for intimate partner violence against women and global and regional prevalence estimates for non-partner sexual violence against women</w:t>
      </w:r>
      <w:r>
        <w:t xml:space="preserve">. United Nations Inter-Agency Working Group on Violence Against Women Estimation and Data. </w:t>
      </w:r>
      <w:hyperlink r:id="rId364" w:history="1">
        <w:r>
          <w:rPr>
            <w:rStyle w:val="Hyperlink"/>
          </w:rPr>
          <w:t>https://apps.who.int/iris/bitstream/handle/10665/341337/9789240022256-eng.pdf?sequence=1</w:t>
        </w:r>
      </w:hyperlink>
    </w:p>
    <w:p w14:paraId="66AF2F51" w14:textId="452C14EC" w:rsidR="007A64D0" w:rsidRDefault="007A64D0" w:rsidP="007A64D0">
      <w:pPr>
        <w:pStyle w:val="Reference"/>
      </w:pPr>
      <w:r>
        <w:t xml:space="preserve">World Health Organization. (2021b). </w:t>
      </w:r>
      <w:r>
        <w:rPr>
          <w:rStyle w:val="Italic"/>
        </w:rPr>
        <w:t>Violence against women</w:t>
      </w:r>
      <w:r>
        <w:t xml:space="preserve">. </w:t>
      </w:r>
      <w:hyperlink r:id="rId365" w:history="1">
        <w:r w:rsidR="000E623E" w:rsidRPr="00914FF5">
          <w:rPr>
            <w:rStyle w:val="Hyperlink"/>
          </w:rPr>
          <w:t>https://www.who.int/news-room/fact-sheets/detail/violence-against</w:t>
        </w:r>
        <w:r w:rsidR="000E623E" w:rsidRPr="00914FF5">
          <w:rPr>
            <w:rStyle w:val="Hyperlink"/>
          </w:rPr>
          <w:noBreakHyphen/>
          <w:t>women</w:t>
        </w:r>
      </w:hyperlink>
      <w:r>
        <w:t xml:space="preserve"> </w:t>
      </w:r>
    </w:p>
    <w:p w14:paraId="69B72CF6" w14:textId="77777777" w:rsidR="007A64D0" w:rsidRDefault="007A64D0" w:rsidP="007A64D0">
      <w:pPr>
        <w:pStyle w:val="Reference"/>
        <w:rPr>
          <w:rStyle w:val="Hyperlink"/>
        </w:rPr>
      </w:pPr>
      <w:r>
        <w:t xml:space="preserve">World Health Organization. (2022). </w:t>
      </w:r>
      <w:r>
        <w:rPr>
          <w:rStyle w:val="Italic"/>
        </w:rPr>
        <w:t>Gender and health</w:t>
      </w:r>
      <w:r>
        <w:t xml:space="preserve">. </w:t>
      </w:r>
      <w:hyperlink r:id="rId366" w:anchor="tab=tab_1" w:history="1">
        <w:r>
          <w:rPr>
            <w:rStyle w:val="Hyperlink"/>
          </w:rPr>
          <w:t>https://www.who.int/health-topics/gender#tab=tab_1</w:t>
        </w:r>
      </w:hyperlink>
    </w:p>
    <w:p w14:paraId="3344C0D8" w14:textId="77777777" w:rsidR="007A64D0" w:rsidRDefault="007A64D0" w:rsidP="007A64D0">
      <w:pPr>
        <w:pStyle w:val="Reference"/>
      </w:pPr>
      <w:r>
        <w:lastRenderedPageBreak/>
        <w:t xml:space="preserve">Yeo, H., Choi, Y. J., Son, E., Cho, H., Yun, S. H., &amp; Lee, J. O. (2021). Childhood community risk factors on intimate partner violence perpetration and victimization among college students. </w:t>
      </w:r>
      <w:r>
        <w:rPr>
          <w:rStyle w:val="Emphasis"/>
        </w:rPr>
        <w:t>Journal of Interpersonal Violence, 37</w:t>
      </w:r>
      <w:r>
        <w:t xml:space="preserve">(21–22), P20361–NP20385. </w:t>
      </w:r>
      <w:hyperlink r:id="rId367" w:history="1">
        <w:r>
          <w:rPr>
            <w:rStyle w:val="Hyperlink"/>
          </w:rPr>
          <w:t>https://doi.org/10.1177/08862605211050097</w:t>
        </w:r>
      </w:hyperlink>
      <w:r>
        <w:t xml:space="preserve"> </w:t>
      </w:r>
    </w:p>
    <w:p w14:paraId="4D87EBCC" w14:textId="6FA6F263" w:rsidR="00BB59CD" w:rsidRDefault="007A64D0" w:rsidP="007A64D0">
      <w:pPr>
        <w:pStyle w:val="Reference"/>
      </w:pPr>
      <w:r w:rsidRPr="007A64D0">
        <w:t xml:space="preserve">Yount, K. M., &amp; Carrera, J. S. (2006). Domestic violence against married women in Cambodia. </w:t>
      </w:r>
      <w:r>
        <w:rPr>
          <w:rStyle w:val="Italic"/>
        </w:rPr>
        <w:t>Social Forces</w:t>
      </w:r>
      <w:r>
        <w:t>,</w:t>
      </w:r>
      <w:r>
        <w:rPr>
          <w:rStyle w:val="Italic"/>
        </w:rPr>
        <w:t xml:space="preserve"> 85</w:t>
      </w:r>
      <w:r>
        <w:t xml:space="preserve">(1), 355–387. </w:t>
      </w:r>
      <w:hyperlink r:id="rId368" w:history="1">
        <w:r>
          <w:rPr>
            <w:rStyle w:val="Hyperlink"/>
          </w:rPr>
          <w:t>https://doi.org/10.1353/sof.2006.0151</w:t>
        </w:r>
      </w:hyperlink>
    </w:p>
    <w:p w14:paraId="4A30E712" w14:textId="77777777" w:rsidR="00BB59CD" w:rsidRPr="008C29F3" w:rsidRDefault="00BB59CD" w:rsidP="00BB59CD">
      <w:pPr>
        <w:rPr>
          <w:lang w:val="en-AU"/>
        </w:rPr>
      </w:pPr>
    </w:p>
    <w:p w14:paraId="591246C8" w14:textId="77777777" w:rsidR="00BB59CD" w:rsidRPr="008C29F3" w:rsidRDefault="00BB59CD" w:rsidP="00BB59CD">
      <w:pPr>
        <w:rPr>
          <w:lang w:val="en-AU"/>
        </w:rPr>
        <w:sectPr w:rsidR="00BB59CD" w:rsidRPr="008C29F3" w:rsidSect="004D1D9C">
          <w:footerReference w:type="default" r:id="rId369"/>
          <w:footerReference w:type="first" r:id="rId370"/>
          <w:pgSz w:w="11906" w:h="16838"/>
          <w:pgMar w:top="1417" w:right="1134" w:bottom="1134" w:left="1134" w:header="708" w:footer="708" w:gutter="0"/>
          <w:pgNumType w:start="1"/>
          <w:cols w:space="708"/>
          <w:docGrid w:linePitch="360"/>
        </w:sectPr>
      </w:pPr>
    </w:p>
    <w:bookmarkStart w:id="253" w:name="_Toc190941717"/>
    <w:bookmarkStart w:id="254" w:name="_Toc190942417"/>
    <w:p w14:paraId="6D1CC0FA" w14:textId="276F7F45" w:rsidR="005977A9" w:rsidRPr="00F5315A" w:rsidRDefault="00F5315A" w:rsidP="008C29F3">
      <w:pPr>
        <w:pStyle w:val="H2SectionTitle"/>
      </w:pPr>
      <w:r>
        <w:rPr>
          <w:noProof/>
        </w:rPr>
        <w:lastRenderedPageBreak/>
        <mc:AlternateContent>
          <mc:Choice Requires="wps">
            <w:drawing>
              <wp:anchor distT="0" distB="0" distL="114300" distR="114300" simplePos="0" relativeHeight="251658267" behindDoc="0" locked="0" layoutInCell="1" allowOverlap="1" wp14:anchorId="202A86FD" wp14:editId="724937CF">
                <wp:simplePos x="0" y="0"/>
                <wp:positionH relativeFrom="column">
                  <wp:posOffset>4730</wp:posOffset>
                </wp:positionH>
                <wp:positionV relativeFrom="paragraph">
                  <wp:posOffset>9634</wp:posOffset>
                </wp:positionV>
                <wp:extent cx="382138" cy="382138"/>
                <wp:effectExtent l="0" t="0" r="0" b="0"/>
                <wp:wrapSquare wrapText="bothSides"/>
                <wp:docPr id="80678732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04BAD" id="Rectangle 2" o:spid="_x0000_s1026" alt="&quot;&quot;" style="position:absolute;margin-left:.35pt;margin-top:.75pt;width:30.1pt;height:30.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" fillcolor="#ffcd00" stroked="f" strokeweight="1pt">
                <w10:wrap type="square"/>
              </v:rect>
            </w:pict>
          </mc:Fallback>
        </mc:AlternateContent>
      </w:r>
      <w:r w:rsidR="000702B8" w:rsidRPr="008C29F3">
        <w:t xml:space="preserve">13 </w:t>
      </w:r>
      <w:r w:rsidR="005977A9" w:rsidRPr="00F5315A">
        <w:t>Appendix A: Item-level differences by age (between the two youth groups)</w:t>
      </w:r>
      <w:bookmarkEnd w:id="253"/>
      <w:bookmarkEnd w:id="254"/>
    </w:p>
    <w:p w14:paraId="62889F93" w14:textId="276F7F45" w:rsidR="005977A9" w:rsidRPr="00F5214A" w:rsidRDefault="00882F81" w:rsidP="00F5214A">
      <w:pPr>
        <w:pStyle w:val="TableheadingTablesandfigures"/>
      </w:pPr>
      <w:bookmarkStart w:id="255" w:name="_Toc187402242"/>
      <w:r w:rsidRPr="00F5214A">
        <w:t xml:space="preserve">Table </w:t>
      </w:r>
      <w:r w:rsidR="004A7ED7" w:rsidRPr="00F5214A">
        <w:fldChar w:fldCharType="begin"/>
      </w:r>
      <w:r w:rsidR="004A7ED7" w:rsidRPr="00F5214A">
        <w:instrText xml:space="preserve"> STYLEREF 1 \s </w:instrText>
      </w:r>
      <w:r w:rsidR="004A7ED7" w:rsidRPr="00F5214A">
        <w:fldChar w:fldCharType="separate"/>
      </w:r>
      <w:r w:rsidR="004A7ED7" w:rsidRPr="00F5214A">
        <w:t>13</w:t>
      </w:r>
      <w:r w:rsidR="004A7ED7" w:rsidRPr="00F5214A">
        <w:fldChar w:fldCharType="end"/>
      </w:r>
      <w:r w:rsidR="003B15D6" w:rsidRPr="00F5214A">
        <w:t>-</w:t>
      </w:r>
      <w:r w:rsidR="004A7ED7" w:rsidRPr="00F5214A">
        <w:fldChar w:fldCharType="begin"/>
      </w:r>
      <w:r w:rsidR="004A7ED7" w:rsidRPr="00F5214A">
        <w:instrText xml:space="preserve"> SEQ Table \* ARABIC \s 1 </w:instrText>
      </w:r>
      <w:r w:rsidR="004A7ED7" w:rsidRPr="00F5214A">
        <w:fldChar w:fldCharType="separate"/>
      </w:r>
      <w:r w:rsidR="004A7ED7" w:rsidRPr="00F5214A">
        <w:t>1</w:t>
      </w:r>
      <w:r w:rsidR="004A7ED7" w:rsidRPr="00F5214A">
        <w:fldChar w:fldCharType="end"/>
      </w:r>
      <w:r w:rsidR="005977A9" w:rsidRPr="00F5214A">
        <w:t>: Recognising domestic violence and violence against women by age, youth groups (UVAWS</w:t>
      </w:r>
      <w:r w:rsidR="005941FE" w:rsidRPr="00F5214A">
        <w:t> </w:t>
      </w:r>
      <w:r w:rsidR="005977A9" w:rsidRPr="00F5214A">
        <w:t>subscale</w:t>
      </w:r>
      <w:r w:rsidR="005941FE" w:rsidRPr="00F5214A">
        <w:t> </w:t>
      </w:r>
      <w:r w:rsidR="005977A9" w:rsidRPr="00F5214A">
        <w:t>items), 2021</w:t>
      </w:r>
      <w:bookmarkEnd w:id="255"/>
    </w:p>
    <w:p w14:paraId="5A5F670F" w14:textId="77777777" w:rsidR="00DC0DFF" w:rsidRPr="00F5214A" w:rsidRDefault="00DC0DFF" w:rsidP="00F5214A">
      <w:pPr>
        <w:pStyle w:val="Tablesubheading0"/>
      </w:pPr>
      <w:r w:rsidRPr="00F5214A">
        <w:t>Is this a form of domestic violence?</w:t>
      </w:r>
    </w:p>
    <w:p w14:paraId="190185F0" w14:textId="77777777" w:rsidR="00DC0DFF" w:rsidRPr="00F5214A" w:rsidRDefault="00DC0DFF" w:rsidP="00F5214A">
      <w:r w:rsidRPr="00F5214A">
        <w:t>Subscale: Recognise Domestic Violence</w:t>
      </w:r>
    </w:p>
    <w:tbl>
      <w:tblPr>
        <w:tblStyle w:val="Table-SingleHeaderRow"/>
        <w:tblW w:w="15011" w:type="dxa"/>
        <w:tblLayout w:type="fixed"/>
        <w:tblLook w:val="00A0" w:firstRow="1" w:lastRow="0" w:firstColumn="1" w:lastColumn="0" w:noHBand="0" w:noVBand="0"/>
      </w:tblPr>
      <w:tblGrid>
        <w:gridCol w:w="736"/>
        <w:gridCol w:w="5160"/>
        <w:gridCol w:w="718"/>
        <w:gridCol w:w="18"/>
        <w:gridCol w:w="832"/>
        <w:gridCol w:w="17"/>
        <w:gridCol w:w="1174"/>
        <w:gridCol w:w="17"/>
        <w:gridCol w:w="1230"/>
        <w:gridCol w:w="15"/>
        <w:gridCol w:w="1232"/>
        <w:gridCol w:w="16"/>
        <w:gridCol w:w="1061"/>
        <w:gridCol w:w="16"/>
        <w:gridCol w:w="1232"/>
        <w:gridCol w:w="16"/>
        <w:gridCol w:w="1514"/>
        <w:gridCol w:w="7"/>
      </w:tblGrid>
      <w:tr w:rsidR="00DC0DFF" w:rsidRPr="005977A9" w14:paraId="13BE4D07" w14:textId="77777777" w:rsidTr="00F5214A">
        <w:trPr>
          <w:gridAfter w:val="1"/>
          <w:cnfStyle w:val="100000000000" w:firstRow="1" w:lastRow="0" w:firstColumn="0" w:lastColumn="0" w:oddVBand="0" w:evenVBand="0" w:oddHBand="0" w:evenHBand="0" w:firstRowFirstColumn="0" w:firstRowLastColumn="0" w:lastRowFirstColumn="0" w:lastRowLastColumn="0"/>
          <w:wAfter w:w="7" w:type="dxa"/>
          <w:trHeight w:val="24"/>
          <w:tblHeader/>
        </w:trPr>
        <w:tc>
          <w:tcPr>
            <w:cnfStyle w:val="001000000000" w:firstRow="0" w:lastRow="0" w:firstColumn="1" w:lastColumn="0" w:oddVBand="0" w:evenVBand="0" w:oddHBand="0" w:evenHBand="0" w:firstRowFirstColumn="0" w:firstRowLastColumn="0" w:lastRowFirstColumn="0" w:lastRowLastColumn="0"/>
            <w:tcW w:w="736" w:type="dxa"/>
          </w:tcPr>
          <w:p w14:paraId="6A7C19B5" w14:textId="77777777" w:rsidR="00DC0DFF" w:rsidRPr="0017558F" w:rsidRDefault="00DC0DFF" w:rsidP="00F5214A">
            <w:pPr>
              <w:pStyle w:val="Tablebody"/>
              <w:rPr>
                <w:b w:val="0"/>
              </w:rPr>
            </w:pPr>
            <w:r w:rsidRPr="0017558F">
              <w:t>Code</w:t>
            </w:r>
          </w:p>
        </w:tc>
        <w:tc>
          <w:tcPr>
            <w:tcW w:w="5160" w:type="dxa"/>
          </w:tcPr>
          <w:p w14:paraId="35F32692"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Abbreviated item wording</w:t>
            </w:r>
          </w:p>
        </w:tc>
        <w:tc>
          <w:tcPr>
            <w:tcW w:w="718" w:type="dxa"/>
          </w:tcPr>
          <w:p w14:paraId="4C1B8582"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Age</w:t>
            </w:r>
          </w:p>
        </w:tc>
        <w:tc>
          <w:tcPr>
            <w:tcW w:w="850" w:type="dxa"/>
            <w:gridSpan w:val="2"/>
          </w:tcPr>
          <w:p w14:paraId="56DD973B" w14:textId="77777777" w:rsidR="00DC0DFF" w:rsidRPr="00DB512A" w:rsidRDefault="00DC0DFF" w:rsidP="00F5214A">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191" w:type="dxa"/>
            <w:gridSpan w:val="2"/>
          </w:tcPr>
          <w:p w14:paraId="0DFF8575"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Yes, always</w:t>
            </w:r>
          </w:p>
        </w:tc>
        <w:tc>
          <w:tcPr>
            <w:tcW w:w="1247" w:type="dxa"/>
            <w:gridSpan w:val="2"/>
          </w:tcPr>
          <w:p w14:paraId="1EAF96DF"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Yes, usually</w:t>
            </w:r>
          </w:p>
        </w:tc>
        <w:tc>
          <w:tcPr>
            <w:tcW w:w="1247" w:type="dxa"/>
            <w:gridSpan w:val="2"/>
          </w:tcPr>
          <w:p w14:paraId="513BB9C9"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Yes, sometimes</w:t>
            </w:r>
          </w:p>
        </w:tc>
        <w:tc>
          <w:tcPr>
            <w:tcW w:w="1077" w:type="dxa"/>
            <w:gridSpan w:val="2"/>
          </w:tcPr>
          <w:p w14:paraId="7B532683"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No</w:t>
            </w:r>
          </w:p>
        </w:tc>
        <w:tc>
          <w:tcPr>
            <w:tcW w:w="1248" w:type="dxa"/>
            <w:gridSpan w:val="2"/>
          </w:tcPr>
          <w:p w14:paraId="3FF96F45"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Unsure</w:t>
            </w:r>
          </w:p>
        </w:tc>
        <w:tc>
          <w:tcPr>
            <w:tcW w:w="1530" w:type="dxa"/>
            <w:gridSpan w:val="2"/>
          </w:tcPr>
          <w:p w14:paraId="5F2E7152" w14:textId="77777777" w:rsidR="00DC0DFF" w:rsidRPr="0017558F" w:rsidRDefault="00DC0DFF" w:rsidP="00F5214A">
            <w:pPr>
              <w:pStyle w:val="Tablebody"/>
              <w:cnfStyle w:val="100000000000" w:firstRow="1" w:lastRow="0" w:firstColumn="0" w:lastColumn="0" w:oddVBand="0" w:evenVBand="0" w:oddHBand="0" w:evenHBand="0" w:firstRowFirstColumn="0" w:firstRowLastColumn="0" w:lastRowFirstColumn="0" w:lastRowLastColumn="0"/>
              <w:rPr>
                <w:b w:val="0"/>
              </w:rPr>
            </w:pPr>
            <w:r w:rsidRPr="0017558F">
              <w:t>% Strong yesa</w:t>
            </w:r>
          </w:p>
        </w:tc>
      </w:tr>
      <w:tr w:rsidR="00847FAF" w:rsidRPr="005977A9" w14:paraId="4B2A0EB8"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069DD126" w14:textId="77777777" w:rsidR="00847FAF" w:rsidRPr="005977A9" w:rsidRDefault="00847FAF" w:rsidP="00F5214A">
            <w:pPr>
              <w:pStyle w:val="Tablebody"/>
            </w:pPr>
            <w:r w:rsidRPr="005977A9">
              <w:t>D1</w:t>
            </w:r>
          </w:p>
        </w:tc>
        <w:tc>
          <w:tcPr>
            <w:tcW w:w="5160" w:type="dxa"/>
          </w:tcPr>
          <w:p w14:paraId="6F6D5CD8" w14:textId="77777777" w:rsidR="00847FAF" w:rsidRPr="00EA1044" w:rsidRDefault="00847FAF" w:rsidP="00F5214A">
            <w:pPr>
              <w:pStyle w:val="Tablebody"/>
              <w:cnfStyle w:val="000000000000" w:firstRow="0" w:lastRow="0" w:firstColumn="0" w:lastColumn="0" w:oddVBand="0" w:evenVBand="0" w:oddHBand="0" w:evenHBand="0" w:firstRowFirstColumn="0" w:firstRowLastColumn="0" w:lastRowFirstColumn="0" w:lastRowLastColumn="0"/>
            </w:pPr>
            <w:r w:rsidRPr="00EA1044">
              <w:t>Slaps or pushes partner to cause harm or fear</w:t>
            </w:r>
          </w:p>
        </w:tc>
        <w:tc>
          <w:tcPr>
            <w:tcW w:w="718" w:type="dxa"/>
          </w:tcPr>
          <w:p w14:paraId="518FB398" w14:textId="77777777"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10E9A211" w14:textId="77777777"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568C7C66" w14:textId="16901A15"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73.72</w:t>
            </w:r>
          </w:p>
        </w:tc>
        <w:tc>
          <w:tcPr>
            <w:tcW w:w="1247" w:type="dxa"/>
            <w:gridSpan w:val="2"/>
          </w:tcPr>
          <w:p w14:paraId="50D41E4B" w14:textId="427DA2F1"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15.56</w:t>
            </w:r>
          </w:p>
        </w:tc>
        <w:tc>
          <w:tcPr>
            <w:tcW w:w="1247" w:type="dxa"/>
            <w:gridSpan w:val="2"/>
          </w:tcPr>
          <w:p w14:paraId="7BCBE58E" w14:textId="11133A6E"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8.57</w:t>
            </w:r>
          </w:p>
        </w:tc>
        <w:tc>
          <w:tcPr>
            <w:tcW w:w="1077" w:type="dxa"/>
            <w:gridSpan w:val="2"/>
          </w:tcPr>
          <w:p w14:paraId="206550C2" w14:textId="13A452B6"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1.62</w:t>
            </w:r>
            <w:r w:rsidRPr="005977A9">
              <w:rPr>
                <w:rFonts w:cs="Open Sans"/>
                <w:szCs w:val="18"/>
                <w:vertAlign w:val="superscript"/>
              </w:rPr>
              <w:t>b</w:t>
            </w:r>
          </w:p>
        </w:tc>
        <w:tc>
          <w:tcPr>
            <w:tcW w:w="1248" w:type="dxa"/>
            <w:gridSpan w:val="2"/>
          </w:tcPr>
          <w:p w14:paraId="18CA5CB8" w14:textId="608D949C"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76DB03B4" w14:textId="1F5D7322" w:rsidR="00847FAF" w:rsidRPr="005977A9" w:rsidRDefault="00847FAF"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89.28</w:t>
            </w:r>
          </w:p>
        </w:tc>
      </w:tr>
      <w:tr w:rsidR="00ED4588" w:rsidRPr="005977A9" w14:paraId="3DD7BBC1"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524C3DFA" w14:textId="7BFEFDC7" w:rsidR="00ED4588" w:rsidRPr="005977A9" w:rsidRDefault="00ED4588" w:rsidP="00F5214A">
            <w:pPr>
              <w:pStyle w:val="Tablebody"/>
            </w:pPr>
            <w:r w:rsidRPr="005977A9">
              <w:t>D1</w:t>
            </w:r>
          </w:p>
        </w:tc>
        <w:tc>
          <w:tcPr>
            <w:tcW w:w="5160" w:type="dxa"/>
          </w:tcPr>
          <w:p w14:paraId="51F27670" w14:textId="6E62FF2F"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EA1044">
              <w:t>Slaps or pushes partner to cause harm or fear</w:t>
            </w:r>
          </w:p>
        </w:tc>
        <w:tc>
          <w:tcPr>
            <w:tcW w:w="718" w:type="dxa"/>
          </w:tcPr>
          <w:p w14:paraId="5DB67FA0" w14:textId="66E4B39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3D4B0E44" w14:textId="6ECAC26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036F2B30" w14:textId="7391EB9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79.11</w:t>
            </w:r>
          </w:p>
        </w:tc>
        <w:tc>
          <w:tcPr>
            <w:tcW w:w="1247" w:type="dxa"/>
            <w:gridSpan w:val="2"/>
          </w:tcPr>
          <w:p w14:paraId="5AD873CD" w14:textId="40082D5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12.75</w:t>
            </w:r>
          </w:p>
        </w:tc>
        <w:tc>
          <w:tcPr>
            <w:tcW w:w="1247" w:type="dxa"/>
            <w:gridSpan w:val="2"/>
          </w:tcPr>
          <w:p w14:paraId="3CDF757C" w14:textId="14BF431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6.34</w:t>
            </w:r>
          </w:p>
        </w:tc>
        <w:tc>
          <w:tcPr>
            <w:tcW w:w="1077" w:type="dxa"/>
            <w:gridSpan w:val="2"/>
          </w:tcPr>
          <w:p w14:paraId="63AAF31B" w14:textId="087D617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1.39</w:t>
            </w:r>
            <w:r w:rsidRPr="005977A9">
              <w:rPr>
                <w:rFonts w:cs="Open Sans"/>
                <w:szCs w:val="18"/>
                <w:vertAlign w:val="superscript"/>
              </w:rPr>
              <w:t>b</w:t>
            </w:r>
          </w:p>
        </w:tc>
        <w:tc>
          <w:tcPr>
            <w:tcW w:w="1248" w:type="dxa"/>
            <w:gridSpan w:val="2"/>
          </w:tcPr>
          <w:p w14:paraId="303D4394" w14:textId="4D11984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0.36</w:t>
            </w:r>
            <w:r w:rsidRPr="005977A9">
              <w:rPr>
                <w:rFonts w:cs="Open Sans"/>
                <w:szCs w:val="18"/>
                <w:vertAlign w:val="superscript"/>
              </w:rPr>
              <w:t>b</w:t>
            </w:r>
          </w:p>
        </w:tc>
        <w:tc>
          <w:tcPr>
            <w:tcW w:w="1530" w:type="dxa"/>
            <w:gridSpan w:val="2"/>
          </w:tcPr>
          <w:p w14:paraId="39564667" w14:textId="370AD70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91.86</w:t>
            </w:r>
          </w:p>
        </w:tc>
      </w:tr>
      <w:tr w:rsidR="00ED4588" w:rsidRPr="005977A9" w14:paraId="501FD6DA"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1387EB92" w14:textId="77777777" w:rsidR="00ED4588" w:rsidRPr="005977A9" w:rsidRDefault="00ED4588" w:rsidP="00F5214A">
            <w:pPr>
              <w:pStyle w:val="Tablebody"/>
            </w:pPr>
            <w:r w:rsidRPr="005977A9">
              <w:t>D2</w:t>
            </w:r>
          </w:p>
        </w:tc>
        <w:tc>
          <w:tcPr>
            <w:tcW w:w="5160" w:type="dxa"/>
          </w:tcPr>
          <w:p w14:paraId="6064F6BC" w14:textId="77777777"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Scares or controls partner by threatening family members</w:t>
            </w:r>
            <w:r w:rsidRPr="005977A9">
              <w:rPr>
                <w:rFonts w:ascii="Montserrat" w:hAnsi="Montserrat" w:cs="Montserrat"/>
                <w:lang w:val="en-US"/>
              </w:rPr>
              <w:t>~</w:t>
            </w:r>
          </w:p>
        </w:tc>
        <w:tc>
          <w:tcPr>
            <w:tcW w:w="718" w:type="dxa"/>
          </w:tcPr>
          <w:p w14:paraId="1C5A7B11"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562FFCD0"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52</w:t>
            </w:r>
          </w:p>
        </w:tc>
        <w:tc>
          <w:tcPr>
            <w:tcW w:w="1191" w:type="dxa"/>
            <w:gridSpan w:val="2"/>
          </w:tcPr>
          <w:p w14:paraId="203D6655" w14:textId="0F00FD3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92.74</w:t>
            </w:r>
          </w:p>
        </w:tc>
        <w:tc>
          <w:tcPr>
            <w:tcW w:w="1247" w:type="dxa"/>
            <w:gridSpan w:val="2"/>
          </w:tcPr>
          <w:p w14:paraId="7B9A56C6" w14:textId="432D5DA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7.26</w:t>
            </w:r>
            <w:r w:rsidRPr="005977A9">
              <w:rPr>
                <w:rFonts w:cs="Open Sans"/>
                <w:szCs w:val="18"/>
                <w:vertAlign w:val="superscript"/>
              </w:rPr>
              <w:t>b</w:t>
            </w:r>
          </w:p>
        </w:tc>
        <w:tc>
          <w:tcPr>
            <w:tcW w:w="1247" w:type="dxa"/>
            <w:gridSpan w:val="2"/>
          </w:tcPr>
          <w:p w14:paraId="777DE3D2" w14:textId="6F83AD1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5977A9">
              <w:rPr>
                <w:rFonts w:cs="Open Sans"/>
                <w:szCs w:val="18"/>
              </w:rPr>
              <w:t>0.00</w:t>
            </w:r>
          </w:p>
        </w:tc>
        <w:tc>
          <w:tcPr>
            <w:tcW w:w="1077" w:type="dxa"/>
            <w:gridSpan w:val="2"/>
          </w:tcPr>
          <w:p w14:paraId="2F7AB514" w14:textId="04316D5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248" w:type="dxa"/>
            <w:gridSpan w:val="2"/>
          </w:tcPr>
          <w:p w14:paraId="3318F9F5" w14:textId="5DEEDB2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2B35F5B4" w14:textId="5F169B7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100.00</w:t>
            </w:r>
          </w:p>
        </w:tc>
      </w:tr>
      <w:tr w:rsidR="00ED4588" w:rsidRPr="005977A9" w14:paraId="3E00E13D"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0682CC4F" w14:textId="2F532CFC" w:rsidR="00ED4588" w:rsidRPr="005977A9" w:rsidRDefault="00ED4588" w:rsidP="00F5214A">
            <w:pPr>
              <w:pStyle w:val="Tablebody"/>
            </w:pPr>
            <w:r w:rsidRPr="005977A9">
              <w:t>D2</w:t>
            </w:r>
          </w:p>
        </w:tc>
        <w:tc>
          <w:tcPr>
            <w:tcW w:w="5160" w:type="dxa"/>
          </w:tcPr>
          <w:p w14:paraId="62E4A6D9" w14:textId="7D2ADBD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5977A9">
              <w:rPr>
                <w:lang w:val="en-US"/>
              </w:rPr>
              <w:t>Scares or controls partner by threatening family members</w:t>
            </w:r>
            <w:r w:rsidRPr="005977A9">
              <w:rPr>
                <w:rFonts w:ascii="Montserrat" w:hAnsi="Montserrat" w:cs="Montserrat"/>
                <w:lang w:val="en-US"/>
              </w:rPr>
              <w:t>~</w:t>
            </w:r>
          </w:p>
        </w:tc>
        <w:tc>
          <w:tcPr>
            <w:tcW w:w="718" w:type="dxa"/>
          </w:tcPr>
          <w:p w14:paraId="78E1BCDA" w14:textId="703FB07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0716F83A" w14:textId="5662F4B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345</w:t>
            </w:r>
          </w:p>
        </w:tc>
        <w:tc>
          <w:tcPr>
            <w:tcW w:w="1191" w:type="dxa"/>
            <w:gridSpan w:val="2"/>
          </w:tcPr>
          <w:p w14:paraId="173D7475" w14:textId="2D53F99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93.44</w:t>
            </w:r>
          </w:p>
        </w:tc>
        <w:tc>
          <w:tcPr>
            <w:tcW w:w="1247" w:type="dxa"/>
            <w:gridSpan w:val="2"/>
          </w:tcPr>
          <w:p w14:paraId="2BA96680" w14:textId="0999C94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2.76</w:t>
            </w:r>
            <w:r w:rsidRPr="005977A9">
              <w:rPr>
                <w:rFonts w:cs="Open Sans"/>
                <w:szCs w:val="18"/>
                <w:vertAlign w:val="superscript"/>
              </w:rPr>
              <w:t>b</w:t>
            </w:r>
          </w:p>
        </w:tc>
        <w:tc>
          <w:tcPr>
            <w:tcW w:w="1247" w:type="dxa"/>
            <w:gridSpan w:val="2"/>
          </w:tcPr>
          <w:p w14:paraId="1CCE069B" w14:textId="6BCC6D7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1.97</w:t>
            </w:r>
            <w:r w:rsidRPr="005977A9">
              <w:rPr>
                <w:rFonts w:cs="Open Sans"/>
                <w:szCs w:val="18"/>
                <w:vertAlign w:val="superscript"/>
              </w:rPr>
              <w:t>b</w:t>
            </w:r>
          </w:p>
        </w:tc>
        <w:tc>
          <w:tcPr>
            <w:tcW w:w="1077" w:type="dxa"/>
            <w:gridSpan w:val="2"/>
          </w:tcPr>
          <w:p w14:paraId="26E03470" w14:textId="1C8FFD3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1.30</w:t>
            </w:r>
            <w:r w:rsidRPr="005977A9">
              <w:rPr>
                <w:rFonts w:cs="Open Sans"/>
                <w:szCs w:val="18"/>
                <w:vertAlign w:val="superscript"/>
              </w:rPr>
              <w:t>b</w:t>
            </w:r>
          </w:p>
        </w:tc>
        <w:tc>
          <w:tcPr>
            <w:tcW w:w="1248" w:type="dxa"/>
            <w:gridSpan w:val="2"/>
          </w:tcPr>
          <w:p w14:paraId="02487526" w14:textId="5AF20D6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0.53</w:t>
            </w:r>
            <w:r w:rsidRPr="005977A9">
              <w:rPr>
                <w:rFonts w:cs="Open Sans"/>
                <w:szCs w:val="18"/>
                <w:vertAlign w:val="superscript"/>
              </w:rPr>
              <w:t>b</w:t>
            </w:r>
          </w:p>
        </w:tc>
        <w:tc>
          <w:tcPr>
            <w:tcW w:w="1530" w:type="dxa"/>
            <w:gridSpan w:val="2"/>
          </w:tcPr>
          <w:p w14:paraId="30C2D8B8" w14:textId="12F9343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96.20</w:t>
            </w:r>
          </w:p>
        </w:tc>
      </w:tr>
      <w:tr w:rsidR="00ED4588" w:rsidRPr="005977A9" w14:paraId="56DC459A"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0FEBC63E" w14:textId="77777777" w:rsidR="00ED4588" w:rsidRPr="005977A9" w:rsidRDefault="00ED4588" w:rsidP="00F5214A">
            <w:pPr>
              <w:pStyle w:val="Tablebody"/>
            </w:pPr>
            <w:r w:rsidRPr="005977A9">
              <w:t>D3</w:t>
            </w:r>
          </w:p>
        </w:tc>
        <w:tc>
          <w:tcPr>
            <w:tcW w:w="5160" w:type="dxa"/>
          </w:tcPr>
          <w:p w14:paraId="6320F357" w14:textId="77777777"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Repeatedly criticises to make partner feel bad or useless</w:t>
            </w:r>
          </w:p>
        </w:tc>
        <w:tc>
          <w:tcPr>
            <w:tcW w:w="718" w:type="dxa"/>
          </w:tcPr>
          <w:p w14:paraId="02244101"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43DE6229"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56BB83DC" w14:textId="52DB9AE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52.22</w:t>
            </w:r>
          </w:p>
        </w:tc>
        <w:tc>
          <w:tcPr>
            <w:tcW w:w="1247" w:type="dxa"/>
            <w:gridSpan w:val="2"/>
          </w:tcPr>
          <w:p w14:paraId="122C9FD2" w14:textId="5C68576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20.06</w:t>
            </w:r>
          </w:p>
        </w:tc>
        <w:tc>
          <w:tcPr>
            <w:tcW w:w="1247" w:type="dxa"/>
            <w:gridSpan w:val="2"/>
          </w:tcPr>
          <w:p w14:paraId="5F572EA2" w14:textId="382A557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19.35</w:t>
            </w:r>
          </w:p>
        </w:tc>
        <w:tc>
          <w:tcPr>
            <w:tcW w:w="1077" w:type="dxa"/>
            <w:gridSpan w:val="2"/>
          </w:tcPr>
          <w:p w14:paraId="074B3944" w14:textId="6246649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8.36</w:t>
            </w:r>
          </w:p>
        </w:tc>
        <w:tc>
          <w:tcPr>
            <w:tcW w:w="1248" w:type="dxa"/>
            <w:gridSpan w:val="2"/>
          </w:tcPr>
          <w:p w14:paraId="23304213" w14:textId="2D4E448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3FA277D7" w14:textId="6C2ED8A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72.28</w:t>
            </w:r>
          </w:p>
        </w:tc>
      </w:tr>
      <w:tr w:rsidR="00ED4588" w:rsidRPr="005977A9" w14:paraId="4AC6F479"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7BAC8B81" w14:textId="0C5CD881" w:rsidR="00ED4588" w:rsidRPr="005977A9" w:rsidRDefault="00ED4588" w:rsidP="00F5214A">
            <w:pPr>
              <w:pStyle w:val="Tablebody"/>
            </w:pPr>
            <w:r w:rsidRPr="005977A9">
              <w:t>D3</w:t>
            </w:r>
          </w:p>
        </w:tc>
        <w:tc>
          <w:tcPr>
            <w:tcW w:w="5160" w:type="dxa"/>
          </w:tcPr>
          <w:p w14:paraId="2570D365" w14:textId="475D06F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5977A9">
              <w:rPr>
                <w:lang w:val="en-US"/>
              </w:rPr>
              <w:t>Repeatedly criticises to make partner feel bad or useless</w:t>
            </w:r>
          </w:p>
        </w:tc>
        <w:tc>
          <w:tcPr>
            <w:tcW w:w="718" w:type="dxa"/>
          </w:tcPr>
          <w:p w14:paraId="746A8329" w14:textId="56E00E2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3536A1F3" w14:textId="6C8C271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0BEFAA0B" w14:textId="57C4824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59.98</w:t>
            </w:r>
          </w:p>
        </w:tc>
        <w:tc>
          <w:tcPr>
            <w:tcW w:w="1247" w:type="dxa"/>
            <w:gridSpan w:val="2"/>
          </w:tcPr>
          <w:p w14:paraId="045B1568" w14:textId="28C6F7C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21.09</w:t>
            </w:r>
          </w:p>
        </w:tc>
        <w:tc>
          <w:tcPr>
            <w:tcW w:w="1247" w:type="dxa"/>
            <w:gridSpan w:val="2"/>
          </w:tcPr>
          <w:p w14:paraId="3550ED1B" w14:textId="741C24D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13.34</w:t>
            </w:r>
          </w:p>
        </w:tc>
        <w:tc>
          <w:tcPr>
            <w:tcW w:w="1077" w:type="dxa"/>
            <w:gridSpan w:val="2"/>
          </w:tcPr>
          <w:p w14:paraId="7CA4F2BB" w14:textId="76BD677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5.23</w:t>
            </w:r>
          </w:p>
        </w:tc>
        <w:tc>
          <w:tcPr>
            <w:tcW w:w="1248" w:type="dxa"/>
            <w:gridSpan w:val="2"/>
          </w:tcPr>
          <w:p w14:paraId="5F00EC8A" w14:textId="5B378F6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0.38</w:t>
            </w:r>
            <w:r w:rsidRPr="005977A9">
              <w:rPr>
                <w:rFonts w:cs="Open Sans"/>
                <w:szCs w:val="18"/>
                <w:vertAlign w:val="superscript"/>
              </w:rPr>
              <w:t>b</w:t>
            </w:r>
          </w:p>
        </w:tc>
        <w:tc>
          <w:tcPr>
            <w:tcW w:w="1530" w:type="dxa"/>
            <w:gridSpan w:val="2"/>
          </w:tcPr>
          <w:p w14:paraId="417F46AB" w14:textId="7D856BC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81.06</w:t>
            </w:r>
          </w:p>
        </w:tc>
      </w:tr>
      <w:tr w:rsidR="00ED4588" w:rsidRPr="005977A9" w14:paraId="245A7F81"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3F2C384A" w14:textId="77777777" w:rsidR="00ED4588" w:rsidRPr="005977A9" w:rsidRDefault="00ED4588" w:rsidP="00F5214A">
            <w:pPr>
              <w:pStyle w:val="Tablebody"/>
            </w:pPr>
            <w:r w:rsidRPr="005977A9">
              <w:t>D4</w:t>
            </w:r>
          </w:p>
        </w:tc>
        <w:tc>
          <w:tcPr>
            <w:tcW w:w="5160" w:type="dxa"/>
          </w:tcPr>
          <w:p w14:paraId="1E783624" w14:textId="3269178F"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Controls social life by preventing partner seeing family and</w:t>
            </w:r>
            <w:r>
              <w:rPr>
                <w:lang w:val="en-US"/>
              </w:rPr>
              <w:t> </w:t>
            </w:r>
            <w:r w:rsidRPr="005977A9">
              <w:rPr>
                <w:lang w:val="en-US"/>
              </w:rPr>
              <w:t>friends</w:t>
            </w:r>
          </w:p>
        </w:tc>
        <w:tc>
          <w:tcPr>
            <w:tcW w:w="718" w:type="dxa"/>
          </w:tcPr>
          <w:p w14:paraId="04C1D2F5"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1AC6A63F"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45997939" w14:textId="06D29B9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66.75</w:t>
            </w:r>
          </w:p>
        </w:tc>
        <w:tc>
          <w:tcPr>
            <w:tcW w:w="1247" w:type="dxa"/>
            <w:gridSpan w:val="2"/>
          </w:tcPr>
          <w:p w14:paraId="58AB4C01" w14:textId="0A2472D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16.12</w:t>
            </w:r>
          </w:p>
        </w:tc>
        <w:tc>
          <w:tcPr>
            <w:tcW w:w="1247" w:type="dxa"/>
            <w:gridSpan w:val="2"/>
          </w:tcPr>
          <w:p w14:paraId="2A5EFAE9" w14:textId="613D9C5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10.74</w:t>
            </w:r>
          </w:p>
        </w:tc>
        <w:tc>
          <w:tcPr>
            <w:tcW w:w="1077" w:type="dxa"/>
            <w:gridSpan w:val="2"/>
          </w:tcPr>
          <w:p w14:paraId="7C1A8030" w14:textId="7711541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6.40</w:t>
            </w:r>
            <w:r w:rsidRPr="005977A9">
              <w:rPr>
                <w:rFonts w:cs="Open Sans"/>
                <w:szCs w:val="18"/>
                <w:vertAlign w:val="superscript"/>
              </w:rPr>
              <w:t>b</w:t>
            </w:r>
          </w:p>
        </w:tc>
        <w:tc>
          <w:tcPr>
            <w:tcW w:w="1248" w:type="dxa"/>
            <w:gridSpan w:val="2"/>
          </w:tcPr>
          <w:p w14:paraId="7360031E" w14:textId="0E5A1A9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3B897BAD" w14:textId="1FF5534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82.87</w:t>
            </w:r>
          </w:p>
        </w:tc>
      </w:tr>
      <w:tr w:rsidR="00ED4588" w:rsidRPr="005977A9" w14:paraId="1CC21EE3"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34E58B94" w14:textId="3620A4A9" w:rsidR="00ED4588" w:rsidRPr="005977A9" w:rsidRDefault="00ED4588" w:rsidP="00F5214A">
            <w:pPr>
              <w:pStyle w:val="Tablebody"/>
            </w:pPr>
            <w:r w:rsidRPr="005977A9">
              <w:t>D4</w:t>
            </w:r>
          </w:p>
        </w:tc>
        <w:tc>
          <w:tcPr>
            <w:tcW w:w="5160" w:type="dxa"/>
          </w:tcPr>
          <w:p w14:paraId="652878D1" w14:textId="160C9C7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5977A9">
              <w:rPr>
                <w:lang w:val="en-US"/>
              </w:rPr>
              <w:t>Controls social life by preventing partner seeing family and</w:t>
            </w:r>
            <w:r>
              <w:rPr>
                <w:lang w:val="en-US"/>
              </w:rPr>
              <w:t> </w:t>
            </w:r>
            <w:r w:rsidRPr="005977A9">
              <w:rPr>
                <w:lang w:val="en-US"/>
              </w:rPr>
              <w:t>friends</w:t>
            </w:r>
          </w:p>
        </w:tc>
        <w:tc>
          <w:tcPr>
            <w:tcW w:w="718" w:type="dxa"/>
          </w:tcPr>
          <w:p w14:paraId="5CAFD1C6" w14:textId="7CDA24D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600F8FB0" w14:textId="57C52A9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50084F51" w14:textId="4200E4D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70.80</w:t>
            </w:r>
          </w:p>
        </w:tc>
        <w:tc>
          <w:tcPr>
            <w:tcW w:w="1247" w:type="dxa"/>
            <w:gridSpan w:val="2"/>
          </w:tcPr>
          <w:p w14:paraId="69D7C458" w14:textId="3756CB3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14.01</w:t>
            </w:r>
          </w:p>
        </w:tc>
        <w:tc>
          <w:tcPr>
            <w:tcW w:w="1247" w:type="dxa"/>
            <w:gridSpan w:val="2"/>
          </w:tcPr>
          <w:p w14:paraId="15944FB8" w14:textId="17BFCE8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7.94</w:t>
            </w:r>
          </w:p>
        </w:tc>
        <w:tc>
          <w:tcPr>
            <w:tcW w:w="1077" w:type="dxa"/>
            <w:gridSpan w:val="2"/>
          </w:tcPr>
          <w:p w14:paraId="75C300F6" w14:textId="34631C6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6.53</w:t>
            </w:r>
          </w:p>
        </w:tc>
        <w:tc>
          <w:tcPr>
            <w:tcW w:w="1248" w:type="dxa"/>
            <w:gridSpan w:val="2"/>
          </w:tcPr>
          <w:p w14:paraId="5508C345" w14:textId="5945BC4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0.73</w:t>
            </w:r>
            <w:r w:rsidRPr="005977A9">
              <w:rPr>
                <w:rFonts w:cs="Open Sans"/>
                <w:szCs w:val="18"/>
                <w:vertAlign w:val="superscript"/>
              </w:rPr>
              <w:t>b</w:t>
            </w:r>
          </w:p>
        </w:tc>
        <w:tc>
          <w:tcPr>
            <w:tcW w:w="1530" w:type="dxa"/>
            <w:gridSpan w:val="2"/>
          </w:tcPr>
          <w:p w14:paraId="4C38091B" w14:textId="63553C0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84.81</w:t>
            </w:r>
          </w:p>
        </w:tc>
      </w:tr>
      <w:tr w:rsidR="00ED4588" w:rsidRPr="005977A9" w14:paraId="69ACB614"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30387A6A" w14:textId="77777777" w:rsidR="00ED4588" w:rsidRPr="005977A9" w:rsidRDefault="00ED4588" w:rsidP="00F5214A">
            <w:pPr>
              <w:pStyle w:val="Tablebody"/>
            </w:pPr>
            <w:r w:rsidRPr="005977A9">
              <w:t>D5</w:t>
            </w:r>
          </w:p>
        </w:tc>
        <w:tc>
          <w:tcPr>
            <w:tcW w:w="5160" w:type="dxa"/>
          </w:tcPr>
          <w:p w14:paraId="01BD0044" w14:textId="77777777"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Controls partner by denying them money</w:t>
            </w:r>
          </w:p>
        </w:tc>
        <w:tc>
          <w:tcPr>
            <w:tcW w:w="718" w:type="dxa"/>
          </w:tcPr>
          <w:p w14:paraId="4ABFD651"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3C8DC250"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11672349" w14:textId="43C814D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58.04</w:t>
            </w:r>
          </w:p>
        </w:tc>
        <w:tc>
          <w:tcPr>
            <w:tcW w:w="1247" w:type="dxa"/>
            <w:gridSpan w:val="2"/>
          </w:tcPr>
          <w:p w14:paraId="6475D025" w14:textId="7CF4F23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19.33</w:t>
            </w:r>
          </w:p>
        </w:tc>
        <w:tc>
          <w:tcPr>
            <w:tcW w:w="1247" w:type="dxa"/>
            <w:gridSpan w:val="2"/>
          </w:tcPr>
          <w:p w14:paraId="3C665CAF" w14:textId="45A08E3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11.41</w:t>
            </w:r>
          </w:p>
        </w:tc>
        <w:tc>
          <w:tcPr>
            <w:tcW w:w="1077" w:type="dxa"/>
            <w:gridSpan w:val="2"/>
          </w:tcPr>
          <w:p w14:paraId="65BBAA94" w14:textId="4CC712A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10.82</w:t>
            </w:r>
          </w:p>
        </w:tc>
        <w:tc>
          <w:tcPr>
            <w:tcW w:w="1248" w:type="dxa"/>
            <w:gridSpan w:val="2"/>
          </w:tcPr>
          <w:p w14:paraId="6D578A41" w14:textId="0C2433F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0.40</w:t>
            </w:r>
            <w:r w:rsidRPr="005977A9">
              <w:rPr>
                <w:rFonts w:cs="Open Sans"/>
                <w:szCs w:val="18"/>
                <w:vertAlign w:val="superscript"/>
              </w:rPr>
              <w:t>b</w:t>
            </w:r>
          </w:p>
        </w:tc>
        <w:tc>
          <w:tcPr>
            <w:tcW w:w="1530" w:type="dxa"/>
            <w:gridSpan w:val="2"/>
          </w:tcPr>
          <w:p w14:paraId="3FB04DFD" w14:textId="31151A4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77.37</w:t>
            </w:r>
          </w:p>
        </w:tc>
      </w:tr>
      <w:tr w:rsidR="00ED4588" w:rsidRPr="005977A9" w14:paraId="56598367"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7775E3E8" w14:textId="53547E5C" w:rsidR="00ED4588" w:rsidRPr="005977A9" w:rsidRDefault="00ED4588" w:rsidP="00F5214A">
            <w:pPr>
              <w:pStyle w:val="Tablebody"/>
            </w:pPr>
            <w:r w:rsidRPr="005977A9">
              <w:t>D5</w:t>
            </w:r>
          </w:p>
        </w:tc>
        <w:tc>
          <w:tcPr>
            <w:tcW w:w="5160" w:type="dxa"/>
          </w:tcPr>
          <w:p w14:paraId="00B53858" w14:textId="4C6DBD6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5977A9">
              <w:rPr>
                <w:lang w:val="en-US"/>
              </w:rPr>
              <w:t>Controls partner by denying them money</w:t>
            </w:r>
          </w:p>
        </w:tc>
        <w:tc>
          <w:tcPr>
            <w:tcW w:w="718" w:type="dxa"/>
          </w:tcPr>
          <w:p w14:paraId="433F3227" w14:textId="29082B2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6A73E61F" w14:textId="396B5D7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7B502466" w14:textId="66EE6FB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59.51</w:t>
            </w:r>
          </w:p>
        </w:tc>
        <w:tc>
          <w:tcPr>
            <w:tcW w:w="1247" w:type="dxa"/>
            <w:gridSpan w:val="2"/>
          </w:tcPr>
          <w:p w14:paraId="4C9167E5" w14:textId="644050C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17.31</w:t>
            </w:r>
          </w:p>
        </w:tc>
        <w:tc>
          <w:tcPr>
            <w:tcW w:w="1247" w:type="dxa"/>
            <w:gridSpan w:val="2"/>
          </w:tcPr>
          <w:p w14:paraId="014BAC5D" w14:textId="12682DA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13.76</w:t>
            </w:r>
          </w:p>
        </w:tc>
        <w:tc>
          <w:tcPr>
            <w:tcW w:w="1077" w:type="dxa"/>
            <w:gridSpan w:val="2"/>
          </w:tcPr>
          <w:p w14:paraId="4F201C0A" w14:textId="41AC121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8.13</w:t>
            </w:r>
          </w:p>
        </w:tc>
        <w:tc>
          <w:tcPr>
            <w:tcW w:w="1248" w:type="dxa"/>
            <w:gridSpan w:val="2"/>
          </w:tcPr>
          <w:p w14:paraId="1DE08494" w14:textId="013F05E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1.17</w:t>
            </w:r>
            <w:r w:rsidRPr="005977A9">
              <w:rPr>
                <w:rFonts w:cs="Open Sans"/>
                <w:szCs w:val="18"/>
                <w:vertAlign w:val="superscript"/>
              </w:rPr>
              <w:t>b</w:t>
            </w:r>
          </w:p>
        </w:tc>
        <w:tc>
          <w:tcPr>
            <w:tcW w:w="1530" w:type="dxa"/>
            <w:gridSpan w:val="2"/>
          </w:tcPr>
          <w:p w14:paraId="494AD1A5" w14:textId="69D31B7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76.82</w:t>
            </w:r>
          </w:p>
        </w:tc>
      </w:tr>
      <w:tr w:rsidR="00ED4588" w:rsidRPr="005977A9" w14:paraId="05B12C21"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306506B8" w14:textId="77777777" w:rsidR="00ED4588" w:rsidRPr="005977A9" w:rsidRDefault="00ED4588" w:rsidP="00F5214A">
            <w:pPr>
              <w:pStyle w:val="Tablebody"/>
            </w:pPr>
            <w:r w:rsidRPr="005977A9">
              <w:t>D6</w:t>
            </w:r>
          </w:p>
        </w:tc>
        <w:tc>
          <w:tcPr>
            <w:tcW w:w="5160" w:type="dxa"/>
          </w:tcPr>
          <w:p w14:paraId="2EBF9EE1" w14:textId="77777777"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Repeatedly keeps track of partner on electronic devices</w:t>
            </w:r>
          </w:p>
        </w:tc>
        <w:tc>
          <w:tcPr>
            <w:tcW w:w="718" w:type="dxa"/>
          </w:tcPr>
          <w:p w14:paraId="083EF602"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72705D27"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6A8D1D3B" w14:textId="632AD18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56.96</w:t>
            </w:r>
          </w:p>
        </w:tc>
        <w:tc>
          <w:tcPr>
            <w:tcW w:w="1247" w:type="dxa"/>
            <w:gridSpan w:val="2"/>
          </w:tcPr>
          <w:p w14:paraId="27AC5BFD" w14:textId="1403C78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20.33</w:t>
            </w:r>
          </w:p>
        </w:tc>
        <w:tc>
          <w:tcPr>
            <w:tcW w:w="1247" w:type="dxa"/>
            <w:gridSpan w:val="2"/>
          </w:tcPr>
          <w:p w14:paraId="4B37F929" w14:textId="016B420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13.20</w:t>
            </w:r>
          </w:p>
        </w:tc>
        <w:tc>
          <w:tcPr>
            <w:tcW w:w="1077" w:type="dxa"/>
            <w:gridSpan w:val="2"/>
          </w:tcPr>
          <w:p w14:paraId="6D3151F5" w14:textId="4A7F75C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9.12</w:t>
            </w:r>
          </w:p>
        </w:tc>
        <w:tc>
          <w:tcPr>
            <w:tcW w:w="1248" w:type="dxa"/>
            <w:gridSpan w:val="2"/>
          </w:tcPr>
          <w:p w14:paraId="6C366C14" w14:textId="1829A3B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0.39</w:t>
            </w:r>
            <w:r w:rsidRPr="005977A9">
              <w:rPr>
                <w:rFonts w:cs="Open Sans"/>
                <w:szCs w:val="18"/>
                <w:vertAlign w:val="superscript"/>
              </w:rPr>
              <w:t>b</w:t>
            </w:r>
          </w:p>
        </w:tc>
        <w:tc>
          <w:tcPr>
            <w:tcW w:w="1530" w:type="dxa"/>
            <w:gridSpan w:val="2"/>
          </w:tcPr>
          <w:p w14:paraId="034B9574" w14:textId="4C49886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77.29</w:t>
            </w:r>
          </w:p>
        </w:tc>
      </w:tr>
      <w:tr w:rsidR="00ED4588" w:rsidRPr="005977A9" w14:paraId="74150D7D"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7958CAE6" w14:textId="4DA5F15D" w:rsidR="00ED4588" w:rsidRPr="005977A9" w:rsidRDefault="00ED4588" w:rsidP="00F5214A">
            <w:pPr>
              <w:pStyle w:val="Tablebody"/>
            </w:pPr>
            <w:r w:rsidRPr="005977A9">
              <w:t>D6</w:t>
            </w:r>
          </w:p>
        </w:tc>
        <w:tc>
          <w:tcPr>
            <w:tcW w:w="5160" w:type="dxa"/>
          </w:tcPr>
          <w:p w14:paraId="5E6CC167" w14:textId="4773514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5977A9">
              <w:rPr>
                <w:lang w:val="en-US"/>
              </w:rPr>
              <w:t>Repeatedly keeps track of partner on electronic devices</w:t>
            </w:r>
          </w:p>
        </w:tc>
        <w:tc>
          <w:tcPr>
            <w:tcW w:w="718" w:type="dxa"/>
          </w:tcPr>
          <w:p w14:paraId="0D448355" w14:textId="2E029C5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186F1179" w14:textId="353567C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77FE0E45" w14:textId="5CDA84B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64.93</w:t>
            </w:r>
          </w:p>
        </w:tc>
        <w:tc>
          <w:tcPr>
            <w:tcW w:w="1247" w:type="dxa"/>
            <w:gridSpan w:val="2"/>
          </w:tcPr>
          <w:p w14:paraId="6876598F" w14:textId="462281B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15.85</w:t>
            </w:r>
          </w:p>
        </w:tc>
        <w:tc>
          <w:tcPr>
            <w:tcW w:w="1247" w:type="dxa"/>
            <w:gridSpan w:val="2"/>
          </w:tcPr>
          <w:p w14:paraId="1F56C3C1" w14:textId="34D7923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10.24</w:t>
            </w:r>
          </w:p>
        </w:tc>
        <w:tc>
          <w:tcPr>
            <w:tcW w:w="1077" w:type="dxa"/>
            <w:gridSpan w:val="2"/>
          </w:tcPr>
          <w:p w14:paraId="5EA07FCE" w14:textId="4D11130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7.99</w:t>
            </w:r>
          </w:p>
        </w:tc>
        <w:tc>
          <w:tcPr>
            <w:tcW w:w="1248" w:type="dxa"/>
            <w:gridSpan w:val="2"/>
          </w:tcPr>
          <w:p w14:paraId="4E53E09F" w14:textId="2315007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0.99</w:t>
            </w:r>
            <w:r w:rsidRPr="005977A9">
              <w:rPr>
                <w:rFonts w:cs="Open Sans"/>
                <w:szCs w:val="18"/>
                <w:vertAlign w:val="superscript"/>
              </w:rPr>
              <w:t>b</w:t>
            </w:r>
          </w:p>
        </w:tc>
        <w:tc>
          <w:tcPr>
            <w:tcW w:w="1530" w:type="dxa"/>
            <w:gridSpan w:val="2"/>
          </w:tcPr>
          <w:p w14:paraId="02DD04FD" w14:textId="77BEA84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80.79</w:t>
            </w:r>
          </w:p>
        </w:tc>
      </w:tr>
      <w:tr w:rsidR="00ED4588" w:rsidRPr="005977A9" w14:paraId="3A5EEC1B"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27456DDB" w14:textId="77777777" w:rsidR="00ED4588" w:rsidRPr="005977A9" w:rsidRDefault="00ED4588" w:rsidP="00F5214A">
            <w:pPr>
              <w:pStyle w:val="Tablebody"/>
            </w:pPr>
            <w:r w:rsidRPr="005977A9">
              <w:t>D7</w:t>
            </w:r>
          </w:p>
        </w:tc>
        <w:tc>
          <w:tcPr>
            <w:tcW w:w="5160" w:type="dxa"/>
          </w:tcPr>
          <w:p w14:paraId="2D943A35" w14:textId="77777777" w:rsidR="00ED4588" w:rsidRPr="00EA1044" w:rsidRDefault="00ED4588" w:rsidP="00F5214A">
            <w:pPr>
              <w:pStyle w:val="Tablebody"/>
              <w:cnfStyle w:val="000000000000" w:firstRow="0" w:lastRow="0" w:firstColumn="0" w:lastColumn="0" w:oddVBand="0" w:evenVBand="0" w:oddHBand="0" w:evenHBand="0" w:firstRowFirstColumn="0" w:firstRowLastColumn="0" w:lastRowFirstColumn="0" w:lastRowLastColumn="0"/>
            </w:pPr>
            <w:r w:rsidRPr="005977A9">
              <w:rPr>
                <w:lang w:val="en-US"/>
              </w:rPr>
              <w:t>Controls partner by refusing to assist with their disability needs</w:t>
            </w:r>
          </w:p>
        </w:tc>
        <w:tc>
          <w:tcPr>
            <w:tcW w:w="718" w:type="dxa"/>
          </w:tcPr>
          <w:p w14:paraId="2A89E051"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066F4DD5"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4832C5CA" w14:textId="0FF63F0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58.75</w:t>
            </w:r>
          </w:p>
        </w:tc>
        <w:tc>
          <w:tcPr>
            <w:tcW w:w="1247" w:type="dxa"/>
            <w:gridSpan w:val="2"/>
          </w:tcPr>
          <w:p w14:paraId="04DB6113" w14:textId="75C1C5F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27.17*</w:t>
            </w:r>
          </w:p>
        </w:tc>
        <w:tc>
          <w:tcPr>
            <w:tcW w:w="1247" w:type="dxa"/>
            <w:gridSpan w:val="2"/>
          </w:tcPr>
          <w:p w14:paraId="65681445" w14:textId="297609F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7.63</w:t>
            </w:r>
            <w:r w:rsidRPr="005977A9">
              <w:rPr>
                <w:rFonts w:cs="Open Sans"/>
                <w:szCs w:val="18"/>
                <w:vertAlign w:val="superscript"/>
              </w:rPr>
              <w:t>b</w:t>
            </w:r>
          </w:p>
        </w:tc>
        <w:tc>
          <w:tcPr>
            <w:tcW w:w="1077" w:type="dxa"/>
            <w:gridSpan w:val="2"/>
          </w:tcPr>
          <w:p w14:paraId="470F24BE" w14:textId="204FAE6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6.03</w:t>
            </w:r>
            <w:r w:rsidRPr="005977A9">
              <w:rPr>
                <w:rFonts w:cs="Open Sans"/>
                <w:szCs w:val="18"/>
                <w:vertAlign w:val="superscript"/>
              </w:rPr>
              <w:t>b</w:t>
            </w:r>
          </w:p>
        </w:tc>
        <w:tc>
          <w:tcPr>
            <w:tcW w:w="1248" w:type="dxa"/>
            <w:gridSpan w:val="2"/>
          </w:tcPr>
          <w:p w14:paraId="71F62562" w14:textId="483DE71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5C5B6C84" w14:textId="7BA3527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85.91</w:t>
            </w:r>
          </w:p>
        </w:tc>
      </w:tr>
      <w:tr w:rsidR="00ED4588" w:rsidRPr="005977A9" w14:paraId="624EAAFC"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684E67C4" w14:textId="36E46A30" w:rsidR="00ED4588" w:rsidRPr="005977A9" w:rsidRDefault="00ED4588" w:rsidP="00F5214A">
            <w:pPr>
              <w:pStyle w:val="Tablebody"/>
            </w:pPr>
            <w:r w:rsidRPr="00364205">
              <w:lastRenderedPageBreak/>
              <w:t>D7</w:t>
            </w:r>
          </w:p>
        </w:tc>
        <w:tc>
          <w:tcPr>
            <w:tcW w:w="5160" w:type="dxa"/>
          </w:tcPr>
          <w:p w14:paraId="22EFB62D" w14:textId="3957F57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lang w:val="en-US"/>
              </w:rPr>
            </w:pPr>
            <w:r w:rsidRPr="00364205">
              <w:rPr>
                <w:lang w:val="en-US"/>
              </w:rPr>
              <w:t>Controls partner by refusing to assist withtheir disability needs</w:t>
            </w:r>
          </w:p>
        </w:tc>
        <w:tc>
          <w:tcPr>
            <w:tcW w:w="718" w:type="dxa"/>
          </w:tcPr>
          <w:p w14:paraId="612CAC5F" w14:textId="7E6FC99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09DD920E" w14:textId="2195820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1438D8E3" w14:textId="7FA9BD7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60.54</w:t>
            </w:r>
          </w:p>
        </w:tc>
        <w:tc>
          <w:tcPr>
            <w:tcW w:w="1247" w:type="dxa"/>
            <w:gridSpan w:val="2"/>
          </w:tcPr>
          <w:p w14:paraId="63E53FF9" w14:textId="2DD6CBF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17.14*</w:t>
            </w:r>
          </w:p>
        </w:tc>
        <w:tc>
          <w:tcPr>
            <w:tcW w:w="1247" w:type="dxa"/>
            <w:gridSpan w:val="2"/>
          </w:tcPr>
          <w:p w14:paraId="6CD4268B" w14:textId="245C544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12.28</w:t>
            </w:r>
          </w:p>
        </w:tc>
        <w:tc>
          <w:tcPr>
            <w:tcW w:w="1077" w:type="dxa"/>
            <w:gridSpan w:val="2"/>
          </w:tcPr>
          <w:p w14:paraId="21D7A2B3" w14:textId="051AA19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7.13</w:t>
            </w:r>
          </w:p>
        </w:tc>
        <w:tc>
          <w:tcPr>
            <w:tcW w:w="1248" w:type="dxa"/>
            <w:gridSpan w:val="2"/>
          </w:tcPr>
          <w:p w14:paraId="68897EC6" w14:textId="69B6816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2.79</w:t>
            </w:r>
          </w:p>
        </w:tc>
        <w:tc>
          <w:tcPr>
            <w:tcW w:w="1530" w:type="dxa"/>
            <w:gridSpan w:val="2"/>
          </w:tcPr>
          <w:p w14:paraId="7DD15249" w14:textId="198F8BA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77.68</w:t>
            </w:r>
          </w:p>
        </w:tc>
      </w:tr>
      <w:tr w:rsidR="00ED4588" w:rsidRPr="005977A9" w14:paraId="3B9F8413"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517B36F9" w14:textId="77777777" w:rsidR="00ED4588" w:rsidRPr="005977A9" w:rsidRDefault="00ED4588" w:rsidP="00F5214A">
            <w:pPr>
              <w:pStyle w:val="Tablebody"/>
              <w:rPr>
                <w:rFonts w:cs="Open Sans"/>
                <w:szCs w:val="18"/>
                <w:lang w:val="en-GB"/>
              </w:rPr>
            </w:pPr>
            <w:r w:rsidRPr="005977A9">
              <w:rPr>
                <w:rFonts w:cs="Open Sans"/>
                <w:szCs w:val="18"/>
              </w:rPr>
              <w:t>D8</w:t>
            </w:r>
          </w:p>
        </w:tc>
        <w:tc>
          <w:tcPr>
            <w:tcW w:w="5160" w:type="dxa"/>
          </w:tcPr>
          <w:p w14:paraId="7EF8D435"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Controls partner with a disability by threatening to put them into care or a home</w:t>
            </w:r>
            <w:r w:rsidRPr="005977A9">
              <w:rPr>
                <w:rFonts w:ascii="Montserrat" w:hAnsi="Montserrat" w:cs="Montserrat"/>
                <w:szCs w:val="18"/>
                <w:lang w:val="en-US"/>
              </w:rPr>
              <w:t>~</w:t>
            </w:r>
          </w:p>
        </w:tc>
        <w:tc>
          <w:tcPr>
            <w:tcW w:w="718" w:type="dxa"/>
          </w:tcPr>
          <w:p w14:paraId="2AF1E8B8"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1D79B13D"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51</w:t>
            </w:r>
          </w:p>
        </w:tc>
        <w:tc>
          <w:tcPr>
            <w:tcW w:w="1191" w:type="dxa"/>
            <w:gridSpan w:val="2"/>
          </w:tcPr>
          <w:p w14:paraId="3DB2964E" w14:textId="725436B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69.09</w:t>
            </w:r>
          </w:p>
        </w:tc>
        <w:tc>
          <w:tcPr>
            <w:tcW w:w="1247" w:type="dxa"/>
            <w:gridSpan w:val="2"/>
          </w:tcPr>
          <w:p w14:paraId="4CDC8798" w14:textId="5F60E2D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12.38</w:t>
            </w:r>
            <w:r w:rsidRPr="005977A9">
              <w:rPr>
                <w:rFonts w:cs="Open Sans"/>
                <w:szCs w:val="18"/>
                <w:vertAlign w:val="superscript"/>
              </w:rPr>
              <w:t>b</w:t>
            </w:r>
          </w:p>
        </w:tc>
        <w:tc>
          <w:tcPr>
            <w:tcW w:w="1247" w:type="dxa"/>
            <w:gridSpan w:val="2"/>
          </w:tcPr>
          <w:p w14:paraId="24B4563B" w14:textId="4B5F154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10.54</w:t>
            </w:r>
            <w:r w:rsidRPr="005977A9">
              <w:rPr>
                <w:rFonts w:cs="Open Sans"/>
                <w:szCs w:val="18"/>
                <w:vertAlign w:val="superscript"/>
              </w:rPr>
              <w:t>b</w:t>
            </w:r>
          </w:p>
        </w:tc>
        <w:tc>
          <w:tcPr>
            <w:tcW w:w="1077" w:type="dxa"/>
            <w:gridSpan w:val="2"/>
          </w:tcPr>
          <w:p w14:paraId="492EC3C8" w14:textId="6F19E41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7.99</w:t>
            </w:r>
            <w:r w:rsidRPr="005977A9">
              <w:rPr>
                <w:rFonts w:cs="Open Sans"/>
                <w:szCs w:val="18"/>
                <w:vertAlign w:val="superscript"/>
              </w:rPr>
              <w:t>b</w:t>
            </w:r>
          </w:p>
        </w:tc>
        <w:tc>
          <w:tcPr>
            <w:tcW w:w="1248" w:type="dxa"/>
            <w:gridSpan w:val="2"/>
          </w:tcPr>
          <w:p w14:paraId="4FBE8555" w14:textId="63E4E17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30" w:type="dxa"/>
            <w:gridSpan w:val="2"/>
          </w:tcPr>
          <w:p w14:paraId="3E7F7B07" w14:textId="5C1E09E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81.48</w:t>
            </w:r>
          </w:p>
        </w:tc>
      </w:tr>
      <w:tr w:rsidR="00ED4588" w:rsidRPr="005977A9" w14:paraId="3F659511"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2C95A303" w14:textId="56E544D0" w:rsidR="00ED4588" w:rsidRPr="005977A9" w:rsidRDefault="00ED4588" w:rsidP="00F5214A">
            <w:pPr>
              <w:pStyle w:val="Tablebody"/>
              <w:rPr>
                <w:rFonts w:cs="Open Sans"/>
                <w:szCs w:val="18"/>
              </w:rPr>
            </w:pPr>
            <w:r w:rsidRPr="005977A9">
              <w:rPr>
                <w:rFonts w:cs="Open Sans"/>
                <w:szCs w:val="18"/>
              </w:rPr>
              <w:t>D8</w:t>
            </w:r>
          </w:p>
        </w:tc>
        <w:tc>
          <w:tcPr>
            <w:tcW w:w="5160" w:type="dxa"/>
          </w:tcPr>
          <w:p w14:paraId="039B82CF" w14:textId="1559D1B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Controls partner with a disability by threatening to put them into care or a home</w:t>
            </w:r>
            <w:r w:rsidRPr="005977A9">
              <w:rPr>
                <w:rFonts w:ascii="Montserrat" w:hAnsi="Montserrat" w:cs="Montserrat"/>
                <w:szCs w:val="18"/>
                <w:lang w:val="en-US"/>
              </w:rPr>
              <w:t>~</w:t>
            </w:r>
          </w:p>
        </w:tc>
        <w:tc>
          <w:tcPr>
            <w:tcW w:w="718" w:type="dxa"/>
          </w:tcPr>
          <w:p w14:paraId="7FF5F512" w14:textId="31CE4FD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19C7A462" w14:textId="52D9AB1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370</w:t>
            </w:r>
          </w:p>
        </w:tc>
        <w:tc>
          <w:tcPr>
            <w:tcW w:w="1191" w:type="dxa"/>
            <w:gridSpan w:val="2"/>
          </w:tcPr>
          <w:p w14:paraId="1AFA0C5C" w14:textId="0385963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68.83</w:t>
            </w:r>
          </w:p>
        </w:tc>
        <w:tc>
          <w:tcPr>
            <w:tcW w:w="1247" w:type="dxa"/>
            <w:gridSpan w:val="2"/>
          </w:tcPr>
          <w:p w14:paraId="05B8E736" w14:textId="36E0249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16.26</w:t>
            </w:r>
          </w:p>
        </w:tc>
        <w:tc>
          <w:tcPr>
            <w:tcW w:w="1247" w:type="dxa"/>
            <w:gridSpan w:val="2"/>
          </w:tcPr>
          <w:p w14:paraId="218AC887" w14:textId="4FE90E5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9.84</w:t>
            </w:r>
          </w:p>
        </w:tc>
        <w:tc>
          <w:tcPr>
            <w:tcW w:w="1077" w:type="dxa"/>
            <w:gridSpan w:val="2"/>
          </w:tcPr>
          <w:p w14:paraId="643BA893" w14:textId="3AD937F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4.02</w:t>
            </w:r>
            <w:r w:rsidRPr="005977A9">
              <w:rPr>
                <w:rFonts w:cs="Open Sans"/>
                <w:szCs w:val="18"/>
                <w:vertAlign w:val="superscript"/>
              </w:rPr>
              <w:t>b</w:t>
            </w:r>
          </w:p>
        </w:tc>
        <w:tc>
          <w:tcPr>
            <w:tcW w:w="1248" w:type="dxa"/>
            <w:gridSpan w:val="2"/>
          </w:tcPr>
          <w:p w14:paraId="5FBEFED2" w14:textId="3A44D65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1.05</w:t>
            </w:r>
            <w:r w:rsidRPr="005977A9">
              <w:rPr>
                <w:rFonts w:cs="Open Sans"/>
                <w:szCs w:val="18"/>
                <w:vertAlign w:val="superscript"/>
              </w:rPr>
              <w:t>b</w:t>
            </w:r>
          </w:p>
        </w:tc>
        <w:tc>
          <w:tcPr>
            <w:tcW w:w="1530" w:type="dxa"/>
            <w:gridSpan w:val="2"/>
          </w:tcPr>
          <w:p w14:paraId="3D429BF3" w14:textId="7DDEEE9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85.09</w:t>
            </w:r>
          </w:p>
        </w:tc>
      </w:tr>
      <w:tr w:rsidR="00ED4588" w:rsidRPr="005977A9" w14:paraId="54D7236F"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5857708E" w14:textId="77777777" w:rsidR="00ED4588" w:rsidRPr="005977A9" w:rsidRDefault="00ED4588" w:rsidP="00F5214A">
            <w:pPr>
              <w:pStyle w:val="Tablebody"/>
              <w:rPr>
                <w:rFonts w:cs="Open Sans"/>
                <w:szCs w:val="18"/>
                <w:lang w:val="en-GB"/>
              </w:rPr>
            </w:pPr>
            <w:r w:rsidRPr="005977A9">
              <w:rPr>
                <w:rFonts w:cs="Open Sans"/>
                <w:szCs w:val="18"/>
              </w:rPr>
              <w:t>D9</w:t>
            </w:r>
          </w:p>
        </w:tc>
        <w:tc>
          <w:tcPr>
            <w:tcW w:w="5160" w:type="dxa"/>
          </w:tcPr>
          <w:p w14:paraId="2D85E954"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Repeatedly threatens to deport partner on temporary visa</w:t>
            </w:r>
          </w:p>
        </w:tc>
        <w:tc>
          <w:tcPr>
            <w:tcW w:w="718" w:type="dxa"/>
          </w:tcPr>
          <w:p w14:paraId="05550B05"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50" w:type="dxa"/>
            <w:gridSpan w:val="2"/>
          </w:tcPr>
          <w:p w14:paraId="2A946794"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00638266" w14:textId="51F7483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69.63</w:t>
            </w:r>
          </w:p>
        </w:tc>
        <w:tc>
          <w:tcPr>
            <w:tcW w:w="1247" w:type="dxa"/>
            <w:gridSpan w:val="2"/>
          </w:tcPr>
          <w:p w14:paraId="60897D29" w14:textId="526CB0B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17.14</w:t>
            </w:r>
          </w:p>
        </w:tc>
        <w:tc>
          <w:tcPr>
            <w:tcW w:w="1247" w:type="dxa"/>
            <w:gridSpan w:val="2"/>
          </w:tcPr>
          <w:p w14:paraId="57B628B5" w14:textId="04500F0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5.23</w:t>
            </w:r>
            <w:r w:rsidRPr="005977A9">
              <w:rPr>
                <w:rFonts w:cs="Open Sans"/>
                <w:szCs w:val="18"/>
                <w:vertAlign w:val="superscript"/>
              </w:rPr>
              <w:t>b</w:t>
            </w:r>
          </w:p>
        </w:tc>
        <w:tc>
          <w:tcPr>
            <w:tcW w:w="1077" w:type="dxa"/>
            <w:gridSpan w:val="2"/>
          </w:tcPr>
          <w:p w14:paraId="1BE136BA" w14:textId="79E30CB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6.81</w:t>
            </w:r>
            <w:r w:rsidRPr="005977A9">
              <w:rPr>
                <w:rFonts w:cs="Open Sans"/>
                <w:szCs w:val="18"/>
                <w:vertAlign w:val="superscript"/>
              </w:rPr>
              <w:t>b</w:t>
            </w:r>
          </w:p>
        </w:tc>
        <w:tc>
          <w:tcPr>
            <w:tcW w:w="1248" w:type="dxa"/>
            <w:gridSpan w:val="2"/>
          </w:tcPr>
          <w:p w14:paraId="71E21B70" w14:textId="46065EB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1.20</w:t>
            </w:r>
            <w:r w:rsidRPr="005977A9">
              <w:rPr>
                <w:rFonts w:cs="Open Sans"/>
                <w:szCs w:val="18"/>
                <w:vertAlign w:val="superscript"/>
              </w:rPr>
              <w:t>b</w:t>
            </w:r>
          </w:p>
        </w:tc>
        <w:tc>
          <w:tcPr>
            <w:tcW w:w="1530" w:type="dxa"/>
            <w:gridSpan w:val="2"/>
          </w:tcPr>
          <w:p w14:paraId="59F987AF" w14:textId="3152F52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86.77</w:t>
            </w:r>
          </w:p>
        </w:tc>
      </w:tr>
      <w:tr w:rsidR="00ED4588" w:rsidRPr="005977A9" w14:paraId="53E84F6D" w14:textId="77777777" w:rsidTr="00F5214A">
        <w:trPr>
          <w:gridAfter w:val="1"/>
          <w:wAfter w:w="7" w:type="dxa"/>
          <w:trHeight w:val="60"/>
        </w:trPr>
        <w:tc>
          <w:tcPr>
            <w:cnfStyle w:val="001000000000" w:firstRow="0" w:lastRow="0" w:firstColumn="1" w:lastColumn="0" w:oddVBand="0" w:evenVBand="0" w:oddHBand="0" w:evenHBand="0" w:firstRowFirstColumn="0" w:firstRowLastColumn="0" w:lastRowFirstColumn="0" w:lastRowLastColumn="0"/>
            <w:tcW w:w="736" w:type="dxa"/>
          </w:tcPr>
          <w:p w14:paraId="35ECCAB7" w14:textId="3F7E0E84" w:rsidR="00ED4588" w:rsidRPr="005977A9" w:rsidRDefault="00ED4588" w:rsidP="00F5214A">
            <w:pPr>
              <w:pStyle w:val="Tablebody"/>
              <w:rPr>
                <w:rFonts w:cs="Open Sans"/>
                <w:szCs w:val="18"/>
              </w:rPr>
            </w:pPr>
            <w:r w:rsidRPr="005977A9">
              <w:rPr>
                <w:rFonts w:cs="Open Sans"/>
                <w:szCs w:val="18"/>
              </w:rPr>
              <w:t>D9</w:t>
            </w:r>
          </w:p>
        </w:tc>
        <w:tc>
          <w:tcPr>
            <w:tcW w:w="5160" w:type="dxa"/>
          </w:tcPr>
          <w:p w14:paraId="5829AFE3" w14:textId="1C8346E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Repeatedly threatens to deport partner on temporary visa</w:t>
            </w:r>
          </w:p>
        </w:tc>
        <w:tc>
          <w:tcPr>
            <w:tcW w:w="718" w:type="dxa"/>
          </w:tcPr>
          <w:p w14:paraId="524D7666" w14:textId="7343DB7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50" w:type="dxa"/>
            <w:gridSpan w:val="2"/>
          </w:tcPr>
          <w:p w14:paraId="00C40638" w14:textId="0D4846D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7B2F39AE" w14:textId="28D3814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72.87</w:t>
            </w:r>
          </w:p>
        </w:tc>
        <w:tc>
          <w:tcPr>
            <w:tcW w:w="1247" w:type="dxa"/>
            <w:gridSpan w:val="2"/>
          </w:tcPr>
          <w:p w14:paraId="5DC4AFE9" w14:textId="55123C7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12.58</w:t>
            </w:r>
          </w:p>
        </w:tc>
        <w:tc>
          <w:tcPr>
            <w:tcW w:w="1247" w:type="dxa"/>
            <w:gridSpan w:val="2"/>
          </w:tcPr>
          <w:p w14:paraId="5D9D7202" w14:textId="37A7186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8.23</w:t>
            </w:r>
          </w:p>
        </w:tc>
        <w:tc>
          <w:tcPr>
            <w:tcW w:w="1077" w:type="dxa"/>
            <w:gridSpan w:val="2"/>
          </w:tcPr>
          <w:p w14:paraId="7C2B93EF" w14:textId="2060A3A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5.12</w:t>
            </w:r>
          </w:p>
        </w:tc>
        <w:tc>
          <w:tcPr>
            <w:tcW w:w="1248" w:type="dxa"/>
            <w:gridSpan w:val="2"/>
          </w:tcPr>
          <w:p w14:paraId="2ED73688" w14:textId="36721A6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1.14</w:t>
            </w:r>
            <w:r w:rsidRPr="005977A9">
              <w:rPr>
                <w:rFonts w:cs="Open Sans"/>
                <w:szCs w:val="18"/>
                <w:vertAlign w:val="superscript"/>
              </w:rPr>
              <w:t>b</w:t>
            </w:r>
          </w:p>
        </w:tc>
        <w:tc>
          <w:tcPr>
            <w:tcW w:w="1530" w:type="dxa"/>
            <w:gridSpan w:val="2"/>
          </w:tcPr>
          <w:p w14:paraId="1153B8E1" w14:textId="526B9CC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85.45</w:t>
            </w:r>
          </w:p>
        </w:tc>
      </w:tr>
      <w:tr w:rsidR="002851DA" w:rsidRPr="005977A9" w14:paraId="2E67DF2D"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155C929B" w14:textId="77777777" w:rsidR="002851DA" w:rsidRPr="005977A9" w:rsidRDefault="002851DA" w:rsidP="00F5214A">
            <w:pPr>
              <w:pStyle w:val="Tablebody"/>
              <w:rPr>
                <w:rFonts w:cs="Open Sans"/>
                <w:szCs w:val="18"/>
                <w:lang w:val="en-GB"/>
              </w:rPr>
            </w:pPr>
            <w:r w:rsidRPr="005977A9">
              <w:rPr>
                <w:rFonts w:cs="Open Sans"/>
                <w:szCs w:val="18"/>
              </w:rPr>
              <w:t>D11</w:t>
            </w:r>
          </w:p>
        </w:tc>
        <w:tc>
          <w:tcPr>
            <w:tcW w:w="5160" w:type="dxa"/>
          </w:tcPr>
          <w:p w14:paraId="1B70F1DE" w14:textId="77777777"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Controls partner by forcing them to hide that they are trans gender</w:t>
            </w:r>
          </w:p>
        </w:tc>
        <w:tc>
          <w:tcPr>
            <w:tcW w:w="736" w:type="dxa"/>
            <w:gridSpan w:val="2"/>
          </w:tcPr>
          <w:p w14:paraId="56FB95E8" w14:textId="77777777"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49" w:type="dxa"/>
            <w:gridSpan w:val="2"/>
          </w:tcPr>
          <w:p w14:paraId="0CB2D155" w14:textId="77777777"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1191" w:type="dxa"/>
            <w:gridSpan w:val="2"/>
          </w:tcPr>
          <w:p w14:paraId="253E02A6" w14:textId="2AFCB3E7"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60.18</w:t>
            </w:r>
          </w:p>
        </w:tc>
        <w:tc>
          <w:tcPr>
            <w:tcW w:w="1245" w:type="dxa"/>
            <w:gridSpan w:val="2"/>
          </w:tcPr>
          <w:p w14:paraId="0F343EAD" w14:textId="66EB4AA0"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14.98</w:t>
            </w:r>
          </w:p>
        </w:tc>
        <w:tc>
          <w:tcPr>
            <w:tcW w:w="1248" w:type="dxa"/>
            <w:gridSpan w:val="2"/>
          </w:tcPr>
          <w:p w14:paraId="785E47CE" w14:textId="2ABC2576"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10.77</w:t>
            </w:r>
          </w:p>
        </w:tc>
        <w:tc>
          <w:tcPr>
            <w:tcW w:w="1077" w:type="dxa"/>
            <w:gridSpan w:val="2"/>
          </w:tcPr>
          <w:p w14:paraId="0EAC3FDF" w14:textId="2A5E827D"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11.15</w:t>
            </w:r>
          </w:p>
        </w:tc>
        <w:tc>
          <w:tcPr>
            <w:tcW w:w="1248" w:type="dxa"/>
            <w:gridSpan w:val="2"/>
          </w:tcPr>
          <w:p w14:paraId="04CA01F0" w14:textId="6E6136BE"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2.91</w:t>
            </w:r>
            <w:r w:rsidRPr="005977A9">
              <w:rPr>
                <w:rFonts w:cs="Open Sans"/>
                <w:szCs w:val="18"/>
                <w:vertAlign w:val="superscript"/>
              </w:rPr>
              <w:t>b</w:t>
            </w:r>
          </w:p>
        </w:tc>
        <w:tc>
          <w:tcPr>
            <w:tcW w:w="1521" w:type="dxa"/>
            <w:gridSpan w:val="2"/>
          </w:tcPr>
          <w:p w14:paraId="5AACB350" w14:textId="5FCD2B6C" w:rsidR="002851DA" w:rsidRPr="005977A9" w:rsidRDefault="002851DA"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75.17</w:t>
            </w:r>
          </w:p>
        </w:tc>
      </w:tr>
      <w:tr w:rsidR="00ED4588" w:rsidRPr="005977A9" w14:paraId="0ED142B1"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10CF4E1E" w14:textId="3976ACAF" w:rsidR="00ED4588" w:rsidRPr="005977A9" w:rsidRDefault="00ED4588" w:rsidP="00F5214A">
            <w:pPr>
              <w:pStyle w:val="Tablebody"/>
              <w:rPr>
                <w:rFonts w:cs="Open Sans"/>
                <w:szCs w:val="18"/>
              </w:rPr>
            </w:pPr>
            <w:r w:rsidRPr="005977A9">
              <w:rPr>
                <w:rFonts w:cs="Open Sans"/>
                <w:szCs w:val="18"/>
              </w:rPr>
              <w:t>D11</w:t>
            </w:r>
          </w:p>
        </w:tc>
        <w:tc>
          <w:tcPr>
            <w:tcW w:w="5160" w:type="dxa"/>
          </w:tcPr>
          <w:p w14:paraId="7BF4860C" w14:textId="5EBA7B65"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Controls partner by forcing them to hide that they are trans gender</w:t>
            </w:r>
          </w:p>
        </w:tc>
        <w:tc>
          <w:tcPr>
            <w:tcW w:w="736" w:type="dxa"/>
            <w:gridSpan w:val="2"/>
          </w:tcPr>
          <w:p w14:paraId="6EC7808E" w14:textId="331CBE0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49" w:type="dxa"/>
            <w:gridSpan w:val="2"/>
          </w:tcPr>
          <w:p w14:paraId="769BADB6" w14:textId="70B3522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1191" w:type="dxa"/>
            <w:gridSpan w:val="2"/>
          </w:tcPr>
          <w:p w14:paraId="4D640F22" w14:textId="2A62CDA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68.86</w:t>
            </w:r>
          </w:p>
        </w:tc>
        <w:tc>
          <w:tcPr>
            <w:tcW w:w="1245" w:type="dxa"/>
            <w:gridSpan w:val="2"/>
          </w:tcPr>
          <w:p w14:paraId="12A57A79" w14:textId="2B78375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13.38</w:t>
            </w:r>
          </w:p>
        </w:tc>
        <w:tc>
          <w:tcPr>
            <w:tcW w:w="1248" w:type="dxa"/>
            <w:gridSpan w:val="2"/>
          </w:tcPr>
          <w:p w14:paraId="715835BE" w14:textId="3DEFDCDF"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8.90</w:t>
            </w:r>
          </w:p>
        </w:tc>
        <w:tc>
          <w:tcPr>
            <w:tcW w:w="1077" w:type="dxa"/>
            <w:gridSpan w:val="2"/>
          </w:tcPr>
          <w:p w14:paraId="6012A64B" w14:textId="35F92FC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6.90</w:t>
            </w:r>
          </w:p>
        </w:tc>
        <w:tc>
          <w:tcPr>
            <w:tcW w:w="1248" w:type="dxa"/>
            <w:gridSpan w:val="2"/>
          </w:tcPr>
          <w:p w14:paraId="46827738" w14:textId="33ABAEA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1.89</w:t>
            </w:r>
          </w:p>
        </w:tc>
        <w:tc>
          <w:tcPr>
            <w:tcW w:w="1521" w:type="dxa"/>
            <w:gridSpan w:val="2"/>
          </w:tcPr>
          <w:p w14:paraId="16246F5F" w14:textId="5C590F9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82.24</w:t>
            </w:r>
          </w:p>
        </w:tc>
      </w:tr>
      <w:tr w:rsidR="00ED4588" w:rsidRPr="005977A9" w14:paraId="1CD804EC"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6D418166" w14:textId="77777777" w:rsidR="00ED4588" w:rsidRPr="005977A9" w:rsidRDefault="00ED4588" w:rsidP="00F5214A">
            <w:pPr>
              <w:pStyle w:val="Tablebody"/>
              <w:rPr>
                <w:rFonts w:cs="Open Sans"/>
                <w:szCs w:val="18"/>
                <w:lang w:val="en-GB"/>
              </w:rPr>
            </w:pPr>
            <w:r w:rsidRPr="005977A9">
              <w:rPr>
                <w:rFonts w:cs="Open Sans"/>
                <w:szCs w:val="18"/>
              </w:rPr>
              <w:t>D10</w:t>
            </w:r>
          </w:p>
        </w:tc>
        <w:tc>
          <w:tcPr>
            <w:tcW w:w="5160" w:type="dxa"/>
          </w:tcPr>
          <w:p w14:paraId="050E1DCB"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Forces partner to stop practising their religion</w:t>
            </w:r>
            <w:r w:rsidRPr="005977A9">
              <w:rPr>
                <w:rFonts w:ascii="Montserrat" w:hAnsi="Montserrat" w:cs="Montserrat"/>
                <w:szCs w:val="18"/>
                <w:lang w:val="en-US"/>
              </w:rPr>
              <w:t>~</w:t>
            </w:r>
          </w:p>
        </w:tc>
        <w:tc>
          <w:tcPr>
            <w:tcW w:w="736" w:type="dxa"/>
            <w:gridSpan w:val="2"/>
          </w:tcPr>
          <w:p w14:paraId="0999B26A"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49" w:type="dxa"/>
            <w:gridSpan w:val="2"/>
          </w:tcPr>
          <w:p w14:paraId="685E52CA"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51</w:t>
            </w:r>
          </w:p>
        </w:tc>
        <w:tc>
          <w:tcPr>
            <w:tcW w:w="1191" w:type="dxa"/>
            <w:gridSpan w:val="2"/>
          </w:tcPr>
          <w:p w14:paraId="251FA84B" w14:textId="6745971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70.08</w:t>
            </w:r>
          </w:p>
        </w:tc>
        <w:tc>
          <w:tcPr>
            <w:tcW w:w="1245" w:type="dxa"/>
            <w:gridSpan w:val="2"/>
          </w:tcPr>
          <w:p w14:paraId="5E38190C" w14:textId="74D9508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9.41</w:t>
            </w:r>
            <w:r w:rsidRPr="005977A9">
              <w:rPr>
                <w:rFonts w:cs="Open Sans"/>
                <w:szCs w:val="18"/>
                <w:vertAlign w:val="superscript"/>
              </w:rPr>
              <w:t>b</w:t>
            </w:r>
          </w:p>
        </w:tc>
        <w:tc>
          <w:tcPr>
            <w:tcW w:w="1248" w:type="dxa"/>
            <w:gridSpan w:val="2"/>
          </w:tcPr>
          <w:p w14:paraId="2C486EA0" w14:textId="6DCDDD9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14.92</w:t>
            </w:r>
            <w:r w:rsidRPr="005977A9">
              <w:rPr>
                <w:rFonts w:cs="Open Sans"/>
                <w:szCs w:val="18"/>
                <w:vertAlign w:val="superscript"/>
              </w:rPr>
              <w:t>b</w:t>
            </w:r>
          </w:p>
        </w:tc>
        <w:tc>
          <w:tcPr>
            <w:tcW w:w="1077" w:type="dxa"/>
            <w:gridSpan w:val="2"/>
          </w:tcPr>
          <w:p w14:paraId="3CFEF12A" w14:textId="22948C0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5.59</w:t>
            </w:r>
            <w:r w:rsidRPr="005977A9">
              <w:rPr>
                <w:rFonts w:cs="Open Sans"/>
                <w:szCs w:val="18"/>
                <w:vertAlign w:val="superscript"/>
              </w:rPr>
              <w:t>b</w:t>
            </w:r>
          </w:p>
        </w:tc>
        <w:tc>
          <w:tcPr>
            <w:tcW w:w="1248" w:type="dxa"/>
            <w:gridSpan w:val="2"/>
          </w:tcPr>
          <w:p w14:paraId="3305C17B" w14:textId="3461462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21" w:type="dxa"/>
            <w:gridSpan w:val="2"/>
          </w:tcPr>
          <w:p w14:paraId="65BCF38B" w14:textId="7489124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79.49</w:t>
            </w:r>
          </w:p>
        </w:tc>
      </w:tr>
      <w:tr w:rsidR="00ED4588" w:rsidRPr="005977A9" w14:paraId="6E23A699"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09186E74" w14:textId="51F3C214" w:rsidR="00ED4588" w:rsidRPr="005977A9" w:rsidRDefault="00ED4588" w:rsidP="00F5214A">
            <w:pPr>
              <w:pStyle w:val="Tablebody"/>
              <w:rPr>
                <w:rFonts w:cs="Open Sans"/>
                <w:szCs w:val="18"/>
              </w:rPr>
            </w:pPr>
            <w:r w:rsidRPr="005977A9">
              <w:rPr>
                <w:rFonts w:cs="Open Sans"/>
                <w:szCs w:val="18"/>
              </w:rPr>
              <w:t>D10</w:t>
            </w:r>
          </w:p>
        </w:tc>
        <w:tc>
          <w:tcPr>
            <w:tcW w:w="5160" w:type="dxa"/>
          </w:tcPr>
          <w:p w14:paraId="0952015B" w14:textId="19E4665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Forces partner to stop practising their religion</w:t>
            </w:r>
            <w:r w:rsidRPr="005977A9">
              <w:rPr>
                <w:rFonts w:ascii="Montserrat" w:hAnsi="Montserrat" w:cs="Montserrat"/>
                <w:szCs w:val="18"/>
                <w:lang w:val="en-US"/>
              </w:rPr>
              <w:t>~</w:t>
            </w:r>
          </w:p>
        </w:tc>
        <w:tc>
          <w:tcPr>
            <w:tcW w:w="736" w:type="dxa"/>
            <w:gridSpan w:val="2"/>
          </w:tcPr>
          <w:p w14:paraId="2A0AAFCA" w14:textId="6A37686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49" w:type="dxa"/>
            <w:gridSpan w:val="2"/>
          </w:tcPr>
          <w:p w14:paraId="7706A6E8" w14:textId="6AAE26B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370</w:t>
            </w:r>
          </w:p>
        </w:tc>
        <w:tc>
          <w:tcPr>
            <w:tcW w:w="1191" w:type="dxa"/>
            <w:gridSpan w:val="2"/>
          </w:tcPr>
          <w:p w14:paraId="553DF9E8" w14:textId="361023C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67.71</w:t>
            </w:r>
          </w:p>
        </w:tc>
        <w:tc>
          <w:tcPr>
            <w:tcW w:w="1245" w:type="dxa"/>
            <w:gridSpan w:val="2"/>
          </w:tcPr>
          <w:p w14:paraId="45A91B36" w14:textId="243884D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15.19</w:t>
            </w:r>
          </w:p>
        </w:tc>
        <w:tc>
          <w:tcPr>
            <w:tcW w:w="1248" w:type="dxa"/>
            <w:gridSpan w:val="2"/>
          </w:tcPr>
          <w:p w14:paraId="0385CFF8" w14:textId="274C40BC"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8.99</w:t>
            </w:r>
          </w:p>
        </w:tc>
        <w:tc>
          <w:tcPr>
            <w:tcW w:w="1077" w:type="dxa"/>
            <w:gridSpan w:val="2"/>
          </w:tcPr>
          <w:p w14:paraId="3F881F68" w14:textId="335C3AF9"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5.72</w:t>
            </w:r>
          </w:p>
        </w:tc>
        <w:tc>
          <w:tcPr>
            <w:tcW w:w="1248" w:type="dxa"/>
            <w:gridSpan w:val="2"/>
          </w:tcPr>
          <w:p w14:paraId="6429A91A" w14:textId="744F31A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2.39</w:t>
            </w:r>
            <w:r w:rsidRPr="005977A9">
              <w:rPr>
                <w:rFonts w:cs="Open Sans"/>
                <w:szCs w:val="18"/>
                <w:vertAlign w:val="superscript"/>
              </w:rPr>
              <w:t>b</w:t>
            </w:r>
          </w:p>
        </w:tc>
        <w:tc>
          <w:tcPr>
            <w:tcW w:w="1521" w:type="dxa"/>
            <w:gridSpan w:val="2"/>
          </w:tcPr>
          <w:p w14:paraId="2D493FDC" w14:textId="1D30D3A6"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82.90</w:t>
            </w:r>
          </w:p>
        </w:tc>
      </w:tr>
      <w:tr w:rsidR="00ED4588" w:rsidRPr="005977A9" w14:paraId="2DC02CA0"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2BE42200" w14:textId="77777777" w:rsidR="00ED4588" w:rsidRPr="005977A9" w:rsidRDefault="00ED4588" w:rsidP="00F5214A">
            <w:pPr>
              <w:pStyle w:val="Tablebody"/>
              <w:rPr>
                <w:rFonts w:cs="Open Sans"/>
                <w:szCs w:val="18"/>
                <w:lang w:val="en-GB"/>
              </w:rPr>
            </w:pPr>
            <w:r w:rsidRPr="005977A9">
              <w:rPr>
                <w:rFonts w:cs="Open Sans"/>
                <w:szCs w:val="18"/>
              </w:rPr>
              <w:t>D12</w:t>
            </w:r>
          </w:p>
        </w:tc>
        <w:tc>
          <w:tcPr>
            <w:tcW w:w="5160" w:type="dxa"/>
          </w:tcPr>
          <w:p w14:paraId="69F93436"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Forces partner to undergo an unnecessary medical procedure, such as contraception or abortion</w:t>
            </w:r>
            <w:r w:rsidRPr="005977A9">
              <w:rPr>
                <w:rFonts w:ascii="Montserrat" w:hAnsi="Montserrat" w:cs="Montserrat"/>
                <w:szCs w:val="18"/>
                <w:lang w:val="en-US"/>
              </w:rPr>
              <w:t>~</w:t>
            </w:r>
          </w:p>
        </w:tc>
        <w:tc>
          <w:tcPr>
            <w:tcW w:w="736" w:type="dxa"/>
            <w:gridSpan w:val="2"/>
          </w:tcPr>
          <w:p w14:paraId="1854F022"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849" w:type="dxa"/>
            <w:gridSpan w:val="2"/>
          </w:tcPr>
          <w:p w14:paraId="0D8D0D24" w14:textId="7777777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51</w:t>
            </w:r>
          </w:p>
        </w:tc>
        <w:tc>
          <w:tcPr>
            <w:tcW w:w="1191" w:type="dxa"/>
            <w:gridSpan w:val="2"/>
          </w:tcPr>
          <w:p w14:paraId="18275713" w14:textId="273D348B"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77.56</w:t>
            </w:r>
          </w:p>
        </w:tc>
        <w:tc>
          <w:tcPr>
            <w:tcW w:w="1245" w:type="dxa"/>
            <w:gridSpan w:val="2"/>
          </w:tcPr>
          <w:p w14:paraId="29628904" w14:textId="25D4017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11.49</w:t>
            </w:r>
            <w:r w:rsidRPr="005977A9">
              <w:rPr>
                <w:rFonts w:cs="Open Sans"/>
                <w:szCs w:val="18"/>
                <w:vertAlign w:val="superscript"/>
              </w:rPr>
              <w:t>b</w:t>
            </w:r>
          </w:p>
        </w:tc>
        <w:tc>
          <w:tcPr>
            <w:tcW w:w="1248" w:type="dxa"/>
            <w:gridSpan w:val="2"/>
          </w:tcPr>
          <w:p w14:paraId="601143A0" w14:textId="27B9D33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8.25</w:t>
            </w:r>
            <w:r w:rsidRPr="005977A9">
              <w:rPr>
                <w:rFonts w:cs="Open Sans"/>
                <w:szCs w:val="18"/>
                <w:vertAlign w:val="superscript"/>
              </w:rPr>
              <w:t>b</w:t>
            </w:r>
          </w:p>
        </w:tc>
        <w:tc>
          <w:tcPr>
            <w:tcW w:w="1077" w:type="dxa"/>
            <w:gridSpan w:val="2"/>
          </w:tcPr>
          <w:p w14:paraId="1CB7600E" w14:textId="19C16E6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2.70</w:t>
            </w:r>
            <w:r w:rsidRPr="005977A9">
              <w:rPr>
                <w:rFonts w:cs="Open Sans"/>
                <w:szCs w:val="18"/>
                <w:vertAlign w:val="superscript"/>
              </w:rPr>
              <w:t>b</w:t>
            </w:r>
          </w:p>
        </w:tc>
        <w:tc>
          <w:tcPr>
            <w:tcW w:w="1248" w:type="dxa"/>
            <w:gridSpan w:val="2"/>
          </w:tcPr>
          <w:p w14:paraId="2FB62136" w14:textId="3FB7F4D8"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1521" w:type="dxa"/>
            <w:gridSpan w:val="2"/>
          </w:tcPr>
          <w:p w14:paraId="1516FBA2" w14:textId="60619883"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89.05</w:t>
            </w:r>
          </w:p>
        </w:tc>
      </w:tr>
      <w:tr w:rsidR="00ED4588" w:rsidRPr="005977A9" w14:paraId="01A706EA" w14:textId="77777777" w:rsidTr="00F5214A">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5A4993E3" w14:textId="588EAE7E" w:rsidR="00ED4588" w:rsidRPr="005977A9" w:rsidRDefault="00ED4588" w:rsidP="00F5214A">
            <w:pPr>
              <w:pStyle w:val="Tablebody"/>
              <w:rPr>
                <w:rFonts w:cs="Open Sans"/>
                <w:szCs w:val="18"/>
              </w:rPr>
            </w:pPr>
            <w:r w:rsidRPr="005977A9">
              <w:rPr>
                <w:rFonts w:cs="Open Sans"/>
                <w:szCs w:val="18"/>
              </w:rPr>
              <w:t>D12</w:t>
            </w:r>
          </w:p>
        </w:tc>
        <w:tc>
          <w:tcPr>
            <w:tcW w:w="5160" w:type="dxa"/>
          </w:tcPr>
          <w:p w14:paraId="53BB6047" w14:textId="476E65E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Forces partner to undergo an unnecessary medical procedure, such as contraception or abortion</w:t>
            </w:r>
            <w:r w:rsidRPr="005977A9">
              <w:rPr>
                <w:rFonts w:ascii="Montserrat" w:hAnsi="Montserrat" w:cs="Montserrat"/>
                <w:szCs w:val="18"/>
                <w:lang w:val="en-US"/>
              </w:rPr>
              <w:t>~</w:t>
            </w:r>
          </w:p>
        </w:tc>
        <w:tc>
          <w:tcPr>
            <w:tcW w:w="736" w:type="dxa"/>
            <w:gridSpan w:val="2"/>
          </w:tcPr>
          <w:p w14:paraId="56696473" w14:textId="71489BB2"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849" w:type="dxa"/>
            <w:gridSpan w:val="2"/>
          </w:tcPr>
          <w:p w14:paraId="243F75C2" w14:textId="0989E5C4"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370</w:t>
            </w:r>
          </w:p>
        </w:tc>
        <w:tc>
          <w:tcPr>
            <w:tcW w:w="1191" w:type="dxa"/>
            <w:gridSpan w:val="2"/>
          </w:tcPr>
          <w:p w14:paraId="31954F1F" w14:textId="0A404B7A"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78.59</w:t>
            </w:r>
          </w:p>
        </w:tc>
        <w:tc>
          <w:tcPr>
            <w:tcW w:w="1245" w:type="dxa"/>
            <w:gridSpan w:val="2"/>
          </w:tcPr>
          <w:p w14:paraId="48092237" w14:textId="5F9C2E6E"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11.88</w:t>
            </w:r>
          </w:p>
        </w:tc>
        <w:tc>
          <w:tcPr>
            <w:tcW w:w="1248" w:type="dxa"/>
            <w:gridSpan w:val="2"/>
          </w:tcPr>
          <w:p w14:paraId="21727C89" w14:textId="05AE2B20"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4.66</w:t>
            </w:r>
            <w:r w:rsidRPr="005977A9">
              <w:rPr>
                <w:rFonts w:cs="Open Sans"/>
                <w:szCs w:val="18"/>
                <w:vertAlign w:val="superscript"/>
              </w:rPr>
              <w:t>b</w:t>
            </w:r>
          </w:p>
        </w:tc>
        <w:tc>
          <w:tcPr>
            <w:tcW w:w="1077" w:type="dxa"/>
            <w:gridSpan w:val="2"/>
          </w:tcPr>
          <w:p w14:paraId="40206478" w14:textId="05B91317"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4.01</w:t>
            </w:r>
            <w:r w:rsidRPr="005977A9">
              <w:rPr>
                <w:rFonts w:cs="Open Sans"/>
                <w:szCs w:val="18"/>
                <w:vertAlign w:val="superscript"/>
              </w:rPr>
              <w:t>b</w:t>
            </w:r>
          </w:p>
        </w:tc>
        <w:tc>
          <w:tcPr>
            <w:tcW w:w="1248" w:type="dxa"/>
            <w:gridSpan w:val="2"/>
          </w:tcPr>
          <w:p w14:paraId="35BB1B1F" w14:textId="281E1021"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0.86</w:t>
            </w:r>
            <w:r w:rsidRPr="005977A9">
              <w:rPr>
                <w:rFonts w:cs="Open Sans"/>
                <w:szCs w:val="18"/>
                <w:vertAlign w:val="superscript"/>
              </w:rPr>
              <w:t>b</w:t>
            </w:r>
          </w:p>
        </w:tc>
        <w:tc>
          <w:tcPr>
            <w:tcW w:w="1521" w:type="dxa"/>
            <w:gridSpan w:val="2"/>
          </w:tcPr>
          <w:p w14:paraId="660C51B2" w14:textId="245D935D" w:rsidR="00ED4588" w:rsidRPr="005977A9" w:rsidRDefault="00ED4588" w:rsidP="00F5214A">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90.47</w:t>
            </w:r>
          </w:p>
        </w:tc>
      </w:tr>
    </w:tbl>
    <w:p w14:paraId="3611151D" w14:textId="065D607B" w:rsidR="00DC0DFF" w:rsidRDefault="00DC0DFF" w:rsidP="00F5214A">
      <w:pPr>
        <w:pStyle w:val="Tablesubheading0"/>
      </w:pPr>
      <w:r w:rsidRPr="002D0229">
        <w:t>Is this a form of violence against women?</w:t>
      </w:r>
    </w:p>
    <w:p w14:paraId="4863CECE" w14:textId="77777777" w:rsidR="00DC0DFF" w:rsidRPr="00F5214A" w:rsidRDefault="00DC0DFF" w:rsidP="00F5214A">
      <w:r w:rsidRPr="00F5214A">
        <w:t>Subscale: Recognise Violence against Women</w:t>
      </w:r>
    </w:p>
    <w:tbl>
      <w:tblPr>
        <w:tblStyle w:val="Table-SingleHeaderRow"/>
        <w:tblW w:w="5000" w:type="pct"/>
        <w:tblLook w:val="00A0" w:firstRow="1" w:lastRow="0" w:firstColumn="1" w:lastColumn="0" w:noHBand="0" w:noVBand="0"/>
      </w:tblPr>
      <w:tblGrid>
        <w:gridCol w:w="734"/>
        <w:gridCol w:w="5117"/>
        <w:gridCol w:w="736"/>
        <w:gridCol w:w="850"/>
        <w:gridCol w:w="1191"/>
        <w:gridCol w:w="1245"/>
        <w:gridCol w:w="1248"/>
        <w:gridCol w:w="1078"/>
        <w:gridCol w:w="1248"/>
        <w:gridCol w:w="1521"/>
      </w:tblGrid>
      <w:tr w:rsidR="00DC0DFF" w:rsidRPr="005977A9" w14:paraId="2D261096" w14:textId="77777777" w:rsidTr="008B6D0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45" w:type="pct"/>
          </w:tcPr>
          <w:p w14:paraId="2C34401C" w14:textId="77777777" w:rsidR="00DC0DFF" w:rsidRPr="005977A9" w:rsidRDefault="00DC0DFF" w:rsidP="008B6D01">
            <w:pPr>
              <w:pStyle w:val="Tablebody"/>
              <w:rPr>
                <w:b w:val="0"/>
                <w:lang w:val="en-GB"/>
              </w:rPr>
            </w:pPr>
            <w:r w:rsidRPr="005977A9">
              <w:t>Code</w:t>
            </w:r>
          </w:p>
        </w:tc>
        <w:tc>
          <w:tcPr>
            <w:tcW w:w="1709" w:type="pct"/>
          </w:tcPr>
          <w:p w14:paraId="6B8C2E90"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Abbreviated item wording</w:t>
            </w:r>
          </w:p>
        </w:tc>
        <w:tc>
          <w:tcPr>
            <w:tcW w:w="246" w:type="pct"/>
          </w:tcPr>
          <w:p w14:paraId="7BE33395"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Age</w:t>
            </w:r>
          </w:p>
        </w:tc>
        <w:tc>
          <w:tcPr>
            <w:tcW w:w="284" w:type="pct"/>
          </w:tcPr>
          <w:p w14:paraId="563EE346" w14:textId="77777777" w:rsidR="00DC0DFF" w:rsidRPr="00DB512A" w:rsidRDefault="00DC0DFF"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398" w:type="pct"/>
          </w:tcPr>
          <w:p w14:paraId="45A1CFEB"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Yes, always</w:t>
            </w:r>
          </w:p>
        </w:tc>
        <w:tc>
          <w:tcPr>
            <w:tcW w:w="416" w:type="pct"/>
          </w:tcPr>
          <w:p w14:paraId="6BB23BE4"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Yes, usually</w:t>
            </w:r>
          </w:p>
        </w:tc>
        <w:tc>
          <w:tcPr>
            <w:tcW w:w="417" w:type="pct"/>
          </w:tcPr>
          <w:p w14:paraId="2FB08BA5"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Yes, sometimes</w:t>
            </w:r>
          </w:p>
        </w:tc>
        <w:tc>
          <w:tcPr>
            <w:tcW w:w="360" w:type="pct"/>
          </w:tcPr>
          <w:p w14:paraId="22EA0F7C"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No</w:t>
            </w:r>
          </w:p>
        </w:tc>
        <w:tc>
          <w:tcPr>
            <w:tcW w:w="417" w:type="pct"/>
          </w:tcPr>
          <w:p w14:paraId="0860DA06"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Unsure</w:t>
            </w:r>
          </w:p>
        </w:tc>
        <w:tc>
          <w:tcPr>
            <w:tcW w:w="508" w:type="pct"/>
          </w:tcPr>
          <w:p w14:paraId="0698C0B8" w14:textId="77777777" w:rsidR="00DC0DFF" w:rsidRPr="005977A9" w:rsidRDefault="00DC0DFF"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5977A9">
              <w:t>% Strong yes</w:t>
            </w:r>
            <w:r w:rsidRPr="005977A9">
              <w:rPr>
                <w:rFonts w:ascii="Hind" w:hAnsi="Hind" w:cs="Hind"/>
                <w:vertAlign w:val="superscript"/>
              </w:rPr>
              <w:t>a</w:t>
            </w:r>
          </w:p>
        </w:tc>
      </w:tr>
      <w:tr w:rsidR="002851DA" w:rsidRPr="005977A9" w14:paraId="4E104055"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285717BF" w14:textId="77777777" w:rsidR="002851DA" w:rsidRPr="005977A9" w:rsidRDefault="002851DA" w:rsidP="008B6D01">
            <w:pPr>
              <w:pStyle w:val="Tablebody"/>
              <w:rPr>
                <w:rFonts w:cs="Open Sans"/>
                <w:szCs w:val="18"/>
                <w:lang w:val="en-GB"/>
              </w:rPr>
            </w:pPr>
            <w:r w:rsidRPr="005977A9">
              <w:rPr>
                <w:rFonts w:cs="Open Sans"/>
                <w:szCs w:val="18"/>
              </w:rPr>
              <w:t>V4</w:t>
            </w:r>
          </w:p>
        </w:tc>
        <w:tc>
          <w:tcPr>
            <w:tcW w:w="1709" w:type="pct"/>
          </w:tcPr>
          <w:p w14:paraId="3036B847" w14:textId="77777777"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Stalking by repeatedly following/watching at home/work</w:t>
            </w:r>
          </w:p>
        </w:tc>
        <w:tc>
          <w:tcPr>
            <w:tcW w:w="246" w:type="pct"/>
          </w:tcPr>
          <w:p w14:paraId="3E4856FB" w14:textId="77777777"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284" w:type="pct"/>
          </w:tcPr>
          <w:p w14:paraId="783DB731" w14:textId="77777777"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398" w:type="pct"/>
          </w:tcPr>
          <w:p w14:paraId="78611B7C" w14:textId="06629427"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72.76</w:t>
            </w:r>
          </w:p>
        </w:tc>
        <w:tc>
          <w:tcPr>
            <w:tcW w:w="416" w:type="pct"/>
          </w:tcPr>
          <w:p w14:paraId="00CC3223" w14:textId="5AA8521A"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17.53</w:t>
            </w:r>
          </w:p>
        </w:tc>
        <w:tc>
          <w:tcPr>
            <w:tcW w:w="417" w:type="pct"/>
          </w:tcPr>
          <w:p w14:paraId="4A99EBC6" w14:textId="661BFC3B"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2.48</w:t>
            </w:r>
            <w:r w:rsidRPr="005977A9">
              <w:rPr>
                <w:rFonts w:cs="Open Sans"/>
                <w:szCs w:val="18"/>
                <w:vertAlign w:val="superscript"/>
              </w:rPr>
              <w:t>b</w:t>
            </w:r>
          </w:p>
        </w:tc>
        <w:tc>
          <w:tcPr>
            <w:tcW w:w="360" w:type="pct"/>
          </w:tcPr>
          <w:p w14:paraId="5507CBE0" w14:textId="7DF08F04"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7.23</w:t>
            </w:r>
            <w:r w:rsidRPr="005977A9">
              <w:rPr>
                <w:rFonts w:cs="Open Sans"/>
                <w:szCs w:val="18"/>
                <w:vertAlign w:val="superscript"/>
              </w:rPr>
              <w:t>b</w:t>
            </w:r>
          </w:p>
        </w:tc>
        <w:tc>
          <w:tcPr>
            <w:tcW w:w="417" w:type="pct"/>
          </w:tcPr>
          <w:p w14:paraId="58C88687" w14:textId="10AB96C6"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508" w:type="pct"/>
          </w:tcPr>
          <w:p w14:paraId="1DD9F81D" w14:textId="17AD5A0A" w:rsidR="002851DA" w:rsidRPr="005977A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90.29</w:t>
            </w:r>
          </w:p>
        </w:tc>
      </w:tr>
      <w:tr w:rsidR="00ED4588" w:rsidRPr="005977A9" w14:paraId="3F150F60"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4E1F0D6B" w14:textId="27F55CB9" w:rsidR="00ED4588" w:rsidRPr="005977A9" w:rsidRDefault="00ED4588" w:rsidP="008B6D01">
            <w:pPr>
              <w:pStyle w:val="Tablebody"/>
              <w:rPr>
                <w:rFonts w:cs="Open Sans"/>
                <w:szCs w:val="18"/>
              </w:rPr>
            </w:pPr>
            <w:r w:rsidRPr="005977A9">
              <w:rPr>
                <w:rFonts w:cs="Open Sans"/>
                <w:szCs w:val="18"/>
              </w:rPr>
              <w:t>V4</w:t>
            </w:r>
          </w:p>
        </w:tc>
        <w:tc>
          <w:tcPr>
            <w:tcW w:w="1709" w:type="pct"/>
          </w:tcPr>
          <w:p w14:paraId="1852B2DE" w14:textId="08EFD910"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Stalking by repeatedly following/watching at home/work</w:t>
            </w:r>
          </w:p>
        </w:tc>
        <w:tc>
          <w:tcPr>
            <w:tcW w:w="246" w:type="pct"/>
          </w:tcPr>
          <w:p w14:paraId="37A49ED4" w14:textId="74670178"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284" w:type="pct"/>
          </w:tcPr>
          <w:p w14:paraId="416DFCFD" w14:textId="2EB03D73"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398" w:type="pct"/>
          </w:tcPr>
          <w:p w14:paraId="338F44D0" w14:textId="3A322B23"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72.75</w:t>
            </w:r>
          </w:p>
        </w:tc>
        <w:tc>
          <w:tcPr>
            <w:tcW w:w="416" w:type="pct"/>
          </w:tcPr>
          <w:p w14:paraId="1A4F9D4E" w14:textId="31ADA6B2"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12.45</w:t>
            </w:r>
          </w:p>
        </w:tc>
        <w:tc>
          <w:tcPr>
            <w:tcW w:w="417" w:type="pct"/>
          </w:tcPr>
          <w:p w14:paraId="7B528695" w14:textId="6DE0D15B"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6.86</w:t>
            </w:r>
          </w:p>
        </w:tc>
        <w:tc>
          <w:tcPr>
            <w:tcW w:w="360" w:type="pct"/>
          </w:tcPr>
          <w:p w14:paraId="28020CBF" w14:textId="64CC6FF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6.71</w:t>
            </w:r>
          </w:p>
        </w:tc>
        <w:tc>
          <w:tcPr>
            <w:tcW w:w="417" w:type="pct"/>
          </w:tcPr>
          <w:p w14:paraId="71AFD6B9" w14:textId="11F043C1"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1.13</w:t>
            </w:r>
            <w:r w:rsidRPr="005977A9">
              <w:rPr>
                <w:rFonts w:cs="Open Sans"/>
                <w:szCs w:val="18"/>
                <w:vertAlign w:val="superscript"/>
              </w:rPr>
              <w:t>b</w:t>
            </w:r>
          </w:p>
        </w:tc>
        <w:tc>
          <w:tcPr>
            <w:tcW w:w="508" w:type="pct"/>
          </w:tcPr>
          <w:p w14:paraId="01CD6129" w14:textId="4964019A"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85.20</w:t>
            </w:r>
          </w:p>
        </w:tc>
      </w:tr>
      <w:tr w:rsidR="00ED4588" w:rsidRPr="005977A9" w14:paraId="174332BA"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7E5010EC" w14:textId="77777777" w:rsidR="00ED4588" w:rsidRPr="005977A9" w:rsidRDefault="00ED4588" w:rsidP="008B6D01">
            <w:pPr>
              <w:pStyle w:val="Tablebody"/>
              <w:rPr>
                <w:rFonts w:cs="Open Sans"/>
                <w:szCs w:val="18"/>
                <w:lang w:val="en-GB"/>
              </w:rPr>
            </w:pPr>
            <w:r w:rsidRPr="005977A9">
              <w:rPr>
                <w:rFonts w:cs="Open Sans"/>
                <w:szCs w:val="18"/>
              </w:rPr>
              <w:t>V5</w:t>
            </w:r>
          </w:p>
        </w:tc>
        <w:tc>
          <w:tcPr>
            <w:tcW w:w="1709" w:type="pct"/>
          </w:tcPr>
          <w:p w14:paraId="60A62FA9"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Harassment via repeated emails, text messages etc.</w:t>
            </w:r>
          </w:p>
        </w:tc>
        <w:tc>
          <w:tcPr>
            <w:tcW w:w="246" w:type="pct"/>
          </w:tcPr>
          <w:p w14:paraId="627F3F08"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284" w:type="pct"/>
          </w:tcPr>
          <w:p w14:paraId="46A2118A"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398" w:type="pct"/>
          </w:tcPr>
          <w:p w14:paraId="39875987" w14:textId="5142E09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56.89</w:t>
            </w:r>
          </w:p>
        </w:tc>
        <w:tc>
          <w:tcPr>
            <w:tcW w:w="416" w:type="pct"/>
          </w:tcPr>
          <w:p w14:paraId="5EBA4E0C" w14:textId="2D953C9B"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18.86</w:t>
            </w:r>
          </w:p>
        </w:tc>
        <w:tc>
          <w:tcPr>
            <w:tcW w:w="417" w:type="pct"/>
          </w:tcPr>
          <w:p w14:paraId="3C38278F" w14:textId="4894EC7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13.63</w:t>
            </w:r>
          </w:p>
        </w:tc>
        <w:tc>
          <w:tcPr>
            <w:tcW w:w="360" w:type="pct"/>
          </w:tcPr>
          <w:p w14:paraId="623B8A5D" w14:textId="295DEFD8"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10.38</w:t>
            </w:r>
          </w:p>
        </w:tc>
        <w:tc>
          <w:tcPr>
            <w:tcW w:w="417" w:type="pct"/>
          </w:tcPr>
          <w:p w14:paraId="7D7EBAF1" w14:textId="13C708F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0.25</w:t>
            </w:r>
            <w:r w:rsidRPr="005977A9">
              <w:rPr>
                <w:rFonts w:cs="Open Sans"/>
                <w:szCs w:val="18"/>
                <w:vertAlign w:val="superscript"/>
              </w:rPr>
              <w:t>b</w:t>
            </w:r>
          </w:p>
        </w:tc>
        <w:tc>
          <w:tcPr>
            <w:tcW w:w="508" w:type="pct"/>
          </w:tcPr>
          <w:p w14:paraId="2585C0D3" w14:textId="70DFEE4A"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75.75</w:t>
            </w:r>
          </w:p>
        </w:tc>
      </w:tr>
      <w:tr w:rsidR="00ED4588" w:rsidRPr="005977A9" w14:paraId="14F5718C"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45EDE4D9" w14:textId="23890B10" w:rsidR="00ED4588" w:rsidRPr="005977A9" w:rsidRDefault="00ED4588" w:rsidP="008B6D01">
            <w:pPr>
              <w:pStyle w:val="Tablebody"/>
              <w:rPr>
                <w:rFonts w:cs="Open Sans"/>
                <w:szCs w:val="18"/>
              </w:rPr>
            </w:pPr>
            <w:r w:rsidRPr="005977A9">
              <w:rPr>
                <w:rFonts w:cs="Open Sans"/>
                <w:szCs w:val="18"/>
              </w:rPr>
              <w:t>V5</w:t>
            </w:r>
          </w:p>
        </w:tc>
        <w:tc>
          <w:tcPr>
            <w:tcW w:w="1709" w:type="pct"/>
          </w:tcPr>
          <w:p w14:paraId="52712FF9" w14:textId="1D91AFF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Harassment via repeated emails, text messages etc.</w:t>
            </w:r>
          </w:p>
        </w:tc>
        <w:tc>
          <w:tcPr>
            <w:tcW w:w="246" w:type="pct"/>
          </w:tcPr>
          <w:p w14:paraId="5B4A46D0" w14:textId="7918104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284" w:type="pct"/>
          </w:tcPr>
          <w:p w14:paraId="4B8B6DDB" w14:textId="2B35A8E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398" w:type="pct"/>
          </w:tcPr>
          <w:p w14:paraId="3F0251A9" w14:textId="449D3414"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60.45</w:t>
            </w:r>
          </w:p>
        </w:tc>
        <w:tc>
          <w:tcPr>
            <w:tcW w:w="416" w:type="pct"/>
          </w:tcPr>
          <w:p w14:paraId="570397D6" w14:textId="5DE3C9C4"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18.88</w:t>
            </w:r>
          </w:p>
        </w:tc>
        <w:tc>
          <w:tcPr>
            <w:tcW w:w="417" w:type="pct"/>
          </w:tcPr>
          <w:p w14:paraId="3FE4C59C" w14:textId="06C050A1"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12.58</w:t>
            </w:r>
          </w:p>
        </w:tc>
        <w:tc>
          <w:tcPr>
            <w:tcW w:w="360" w:type="pct"/>
          </w:tcPr>
          <w:p w14:paraId="467DB57B" w14:textId="1AE1DD9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7.46</w:t>
            </w:r>
          </w:p>
        </w:tc>
        <w:tc>
          <w:tcPr>
            <w:tcW w:w="417" w:type="pct"/>
          </w:tcPr>
          <w:p w14:paraId="5FA81848" w14:textId="65FEF76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0.63</w:t>
            </w:r>
            <w:r w:rsidRPr="005977A9">
              <w:rPr>
                <w:rFonts w:cs="Open Sans"/>
                <w:szCs w:val="18"/>
                <w:vertAlign w:val="superscript"/>
              </w:rPr>
              <w:t>b</w:t>
            </w:r>
          </w:p>
        </w:tc>
        <w:tc>
          <w:tcPr>
            <w:tcW w:w="508" w:type="pct"/>
          </w:tcPr>
          <w:p w14:paraId="4EB871E0" w14:textId="0165BC1B"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79.32</w:t>
            </w:r>
          </w:p>
        </w:tc>
      </w:tr>
      <w:tr w:rsidR="00ED4588" w:rsidRPr="005977A9" w14:paraId="297194D2"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7B8716CD" w14:textId="77777777" w:rsidR="00ED4588" w:rsidRPr="005977A9" w:rsidRDefault="00ED4588" w:rsidP="008B6D01">
            <w:pPr>
              <w:pStyle w:val="Tablebody"/>
              <w:rPr>
                <w:rFonts w:cs="Open Sans"/>
                <w:szCs w:val="18"/>
                <w:lang w:val="en-GB"/>
              </w:rPr>
            </w:pPr>
            <w:r w:rsidRPr="005977A9">
              <w:rPr>
                <w:rFonts w:cs="Open Sans"/>
                <w:szCs w:val="18"/>
              </w:rPr>
              <w:t>V6</w:t>
            </w:r>
          </w:p>
        </w:tc>
        <w:tc>
          <w:tcPr>
            <w:tcW w:w="1709" w:type="pct"/>
          </w:tcPr>
          <w:p w14:paraId="0882C344"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Abusive messages or comments targeted at women on social media</w:t>
            </w:r>
          </w:p>
        </w:tc>
        <w:tc>
          <w:tcPr>
            <w:tcW w:w="246" w:type="pct"/>
          </w:tcPr>
          <w:p w14:paraId="1B89C6DF"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284" w:type="pct"/>
          </w:tcPr>
          <w:p w14:paraId="0F9F1136"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398" w:type="pct"/>
          </w:tcPr>
          <w:p w14:paraId="6B84B321" w14:textId="6078F31F"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61.90</w:t>
            </w:r>
          </w:p>
        </w:tc>
        <w:tc>
          <w:tcPr>
            <w:tcW w:w="416" w:type="pct"/>
          </w:tcPr>
          <w:p w14:paraId="06E8CC13" w14:textId="6D1FEC5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16.43</w:t>
            </w:r>
          </w:p>
        </w:tc>
        <w:tc>
          <w:tcPr>
            <w:tcW w:w="417" w:type="pct"/>
          </w:tcPr>
          <w:p w14:paraId="3DD38413" w14:textId="14918C81"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13.16</w:t>
            </w:r>
          </w:p>
        </w:tc>
        <w:tc>
          <w:tcPr>
            <w:tcW w:w="360" w:type="pct"/>
          </w:tcPr>
          <w:p w14:paraId="738D7BAB" w14:textId="4E90FEA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8.12</w:t>
            </w:r>
            <w:r w:rsidRPr="005977A9">
              <w:rPr>
                <w:rFonts w:cs="Open Sans"/>
                <w:szCs w:val="18"/>
                <w:vertAlign w:val="superscript"/>
              </w:rPr>
              <w:t>b</w:t>
            </w:r>
          </w:p>
        </w:tc>
        <w:tc>
          <w:tcPr>
            <w:tcW w:w="417" w:type="pct"/>
          </w:tcPr>
          <w:p w14:paraId="23AC9898" w14:textId="4AEF091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0.39</w:t>
            </w:r>
            <w:r w:rsidRPr="005977A9">
              <w:rPr>
                <w:rFonts w:cs="Open Sans"/>
                <w:szCs w:val="18"/>
                <w:vertAlign w:val="superscript"/>
              </w:rPr>
              <w:t>b</w:t>
            </w:r>
          </w:p>
        </w:tc>
        <w:tc>
          <w:tcPr>
            <w:tcW w:w="508" w:type="pct"/>
          </w:tcPr>
          <w:p w14:paraId="16969227" w14:textId="1E30D9D2"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78.33</w:t>
            </w:r>
          </w:p>
        </w:tc>
      </w:tr>
      <w:tr w:rsidR="00ED4588" w:rsidRPr="005977A9" w14:paraId="378E579E"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67D44993" w14:textId="7B2FC4EF" w:rsidR="00ED4588" w:rsidRPr="005977A9" w:rsidRDefault="00ED4588" w:rsidP="008B6D01">
            <w:pPr>
              <w:pStyle w:val="Tablebody"/>
              <w:rPr>
                <w:rFonts w:cs="Open Sans"/>
                <w:szCs w:val="18"/>
              </w:rPr>
            </w:pPr>
            <w:r w:rsidRPr="005977A9">
              <w:rPr>
                <w:rFonts w:cs="Open Sans"/>
                <w:szCs w:val="18"/>
              </w:rPr>
              <w:t>V6</w:t>
            </w:r>
          </w:p>
        </w:tc>
        <w:tc>
          <w:tcPr>
            <w:tcW w:w="1709" w:type="pct"/>
          </w:tcPr>
          <w:p w14:paraId="56176D95" w14:textId="1C564CF0"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Abusive messages or comments targeted at women on social media</w:t>
            </w:r>
          </w:p>
        </w:tc>
        <w:tc>
          <w:tcPr>
            <w:tcW w:w="246" w:type="pct"/>
          </w:tcPr>
          <w:p w14:paraId="5BD3DD85" w14:textId="35D2426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284" w:type="pct"/>
          </w:tcPr>
          <w:p w14:paraId="69E622D6" w14:textId="5E49E0C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398" w:type="pct"/>
          </w:tcPr>
          <w:p w14:paraId="3CD35EAF" w14:textId="5341F695"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59.93</w:t>
            </w:r>
          </w:p>
        </w:tc>
        <w:tc>
          <w:tcPr>
            <w:tcW w:w="416" w:type="pct"/>
          </w:tcPr>
          <w:p w14:paraId="13E42B7B" w14:textId="249D915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20.70</w:t>
            </w:r>
          </w:p>
        </w:tc>
        <w:tc>
          <w:tcPr>
            <w:tcW w:w="417" w:type="pct"/>
          </w:tcPr>
          <w:p w14:paraId="3364C13C" w14:textId="4BDE7174"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12.47</w:t>
            </w:r>
          </w:p>
        </w:tc>
        <w:tc>
          <w:tcPr>
            <w:tcW w:w="360" w:type="pct"/>
          </w:tcPr>
          <w:p w14:paraId="3B55F370" w14:textId="2FB352B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6.27</w:t>
            </w:r>
          </w:p>
        </w:tc>
        <w:tc>
          <w:tcPr>
            <w:tcW w:w="417" w:type="pct"/>
          </w:tcPr>
          <w:p w14:paraId="6B68E4F4" w14:textId="0D79460C"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0.59</w:t>
            </w:r>
            <w:r w:rsidRPr="005977A9">
              <w:rPr>
                <w:rFonts w:cs="Open Sans"/>
                <w:szCs w:val="18"/>
                <w:vertAlign w:val="superscript"/>
              </w:rPr>
              <w:t>b</w:t>
            </w:r>
          </w:p>
        </w:tc>
        <w:tc>
          <w:tcPr>
            <w:tcW w:w="508" w:type="pct"/>
          </w:tcPr>
          <w:p w14:paraId="3224599B" w14:textId="0080EEB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80.63</w:t>
            </w:r>
          </w:p>
        </w:tc>
      </w:tr>
      <w:tr w:rsidR="00ED4588" w:rsidRPr="005977A9" w14:paraId="3DB13AF7"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02201070" w14:textId="77777777" w:rsidR="00ED4588" w:rsidRPr="005977A9" w:rsidRDefault="00ED4588" w:rsidP="008B6D01">
            <w:pPr>
              <w:pStyle w:val="Tablebody"/>
              <w:rPr>
                <w:rFonts w:cs="Open Sans"/>
                <w:szCs w:val="18"/>
                <w:lang w:val="en-GB"/>
              </w:rPr>
            </w:pPr>
            <w:r w:rsidRPr="005977A9">
              <w:rPr>
                <w:rFonts w:cs="Open Sans"/>
                <w:szCs w:val="18"/>
              </w:rPr>
              <w:lastRenderedPageBreak/>
              <w:t>V7</w:t>
            </w:r>
          </w:p>
        </w:tc>
        <w:tc>
          <w:tcPr>
            <w:tcW w:w="1709" w:type="pct"/>
          </w:tcPr>
          <w:p w14:paraId="23235395"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lang w:val="en-US"/>
              </w:rPr>
              <w:t>A man sends an unwanted picture of his genitals to a woman</w:t>
            </w:r>
          </w:p>
        </w:tc>
        <w:tc>
          <w:tcPr>
            <w:tcW w:w="246" w:type="pct"/>
          </w:tcPr>
          <w:p w14:paraId="1D4A4C22"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16–17</w:t>
            </w:r>
          </w:p>
        </w:tc>
        <w:tc>
          <w:tcPr>
            <w:tcW w:w="284" w:type="pct"/>
          </w:tcPr>
          <w:p w14:paraId="46576607" w14:textId="77777777"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207</w:t>
            </w:r>
          </w:p>
        </w:tc>
        <w:tc>
          <w:tcPr>
            <w:tcW w:w="398" w:type="pct"/>
          </w:tcPr>
          <w:p w14:paraId="5CAEA8F3" w14:textId="64B4364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60.07</w:t>
            </w:r>
          </w:p>
        </w:tc>
        <w:tc>
          <w:tcPr>
            <w:tcW w:w="416" w:type="pct"/>
          </w:tcPr>
          <w:p w14:paraId="5DE22DEB" w14:textId="4FDE0BA6"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14.56</w:t>
            </w:r>
          </w:p>
        </w:tc>
        <w:tc>
          <w:tcPr>
            <w:tcW w:w="417" w:type="pct"/>
          </w:tcPr>
          <w:p w14:paraId="65EA683D" w14:textId="629B8CBE"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13.07</w:t>
            </w:r>
          </w:p>
        </w:tc>
        <w:tc>
          <w:tcPr>
            <w:tcW w:w="360" w:type="pct"/>
          </w:tcPr>
          <w:p w14:paraId="669C659A" w14:textId="59E0DA2F"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12.30</w:t>
            </w:r>
          </w:p>
        </w:tc>
        <w:tc>
          <w:tcPr>
            <w:tcW w:w="417" w:type="pct"/>
          </w:tcPr>
          <w:p w14:paraId="331DA484" w14:textId="4158EE38"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0.00</w:t>
            </w:r>
          </w:p>
        </w:tc>
        <w:tc>
          <w:tcPr>
            <w:tcW w:w="508" w:type="pct"/>
          </w:tcPr>
          <w:p w14:paraId="2A4BEC33" w14:textId="390DCD1A"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5977A9">
              <w:rPr>
                <w:rFonts w:cs="Open Sans"/>
                <w:szCs w:val="18"/>
              </w:rPr>
              <w:t>74.63</w:t>
            </w:r>
          </w:p>
        </w:tc>
      </w:tr>
      <w:tr w:rsidR="00ED4588" w:rsidRPr="005977A9" w14:paraId="359C88EC"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245" w:type="pct"/>
          </w:tcPr>
          <w:p w14:paraId="1ABAEABC" w14:textId="6FF3F2AB" w:rsidR="00ED4588" w:rsidRPr="005977A9" w:rsidRDefault="00ED4588" w:rsidP="008B6D01">
            <w:pPr>
              <w:pStyle w:val="Tablebody"/>
              <w:rPr>
                <w:rFonts w:cs="Open Sans"/>
                <w:szCs w:val="18"/>
              </w:rPr>
            </w:pPr>
            <w:r w:rsidRPr="005977A9">
              <w:rPr>
                <w:rFonts w:cs="Open Sans"/>
                <w:szCs w:val="18"/>
              </w:rPr>
              <w:t>V7</w:t>
            </w:r>
          </w:p>
        </w:tc>
        <w:tc>
          <w:tcPr>
            <w:tcW w:w="1709" w:type="pct"/>
          </w:tcPr>
          <w:p w14:paraId="0FCBF4CF" w14:textId="40079C3C"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5977A9">
              <w:rPr>
                <w:rFonts w:cs="Open Sans"/>
                <w:szCs w:val="18"/>
                <w:lang w:val="en-US"/>
              </w:rPr>
              <w:t>A man sends an unwanted picture of his genitals to a woman</w:t>
            </w:r>
          </w:p>
        </w:tc>
        <w:tc>
          <w:tcPr>
            <w:tcW w:w="246" w:type="pct"/>
          </w:tcPr>
          <w:p w14:paraId="1E7B59C1" w14:textId="7F017ADE"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18–24</w:t>
            </w:r>
          </w:p>
        </w:tc>
        <w:tc>
          <w:tcPr>
            <w:tcW w:w="284" w:type="pct"/>
          </w:tcPr>
          <w:p w14:paraId="7D2F0F8F" w14:textId="76D38504"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1,462</w:t>
            </w:r>
          </w:p>
        </w:tc>
        <w:tc>
          <w:tcPr>
            <w:tcW w:w="398" w:type="pct"/>
          </w:tcPr>
          <w:p w14:paraId="1174E7F9" w14:textId="2BA2D9B9"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61.94</w:t>
            </w:r>
          </w:p>
        </w:tc>
        <w:tc>
          <w:tcPr>
            <w:tcW w:w="416" w:type="pct"/>
          </w:tcPr>
          <w:p w14:paraId="4CF3FB38" w14:textId="21875E02"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14.17</w:t>
            </w:r>
          </w:p>
        </w:tc>
        <w:tc>
          <w:tcPr>
            <w:tcW w:w="417" w:type="pct"/>
          </w:tcPr>
          <w:p w14:paraId="46F98349" w14:textId="612E375C"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13.11</w:t>
            </w:r>
          </w:p>
        </w:tc>
        <w:tc>
          <w:tcPr>
            <w:tcW w:w="360" w:type="pct"/>
          </w:tcPr>
          <w:p w14:paraId="6D2E6F98" w14:textId="450EACF2"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9.48</w:t>
            </w:r>
          </w:p>
        </w:tc>
        <w:tc>
          <w:tcPr>
            <w:tcW w:w="417" w:type="pct"/>
          </w:tcPr>
          <w:p w14:paraId="297BFF86" w14:textId="5F0DA8AA"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1.30</w:t>
            </w:r>
            <w:r w:rsidRPr="005977A9">
              <w:rPr>
                <w:rFonts w:cs="Open Sans"/>
                <w:szCs w:val="18"/>
                <w:vertAlign w:val="superscript"/>
              </w:rPr>
              <w:t>b</w:t>
            </w:r>
          </w:p>
        </w:tc>
        <w:tc>
          <w:tcPr>
            <w:tcW w:w="508" w:type="pct"/>
          </w:tcPr>
          <w:p w14:paraId="15068156" w14:textId="2A0C590D" w:rsidR="00ED4588" w:rsidRPr="005977A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5977A9">
              <w:rPr>
                <w:rFonts w:cs="Open Sans"/>
                <w:szCs w:val="18"/>
              </w:rPr>
              <w:t>76.11</w:t>
            </w:r>
          </w:p>
        </w:tc>
      </w:tr>
    </w:tbl>
    <w:p w14:paraId="7D7E1516" w14:textId="77777777" w:rsidR="00DC0DFF" w:rsidRPr="00ED4588" w:rsidRDefault="00DC0DFF" w:rsidP="0017558F">
      <w:pPr>
        <w:pStyle w:val="datatablenote"/>
      </w:pPr>
      <w:r w:rsidRPr="00ED4588">
        <w:rPr>
          <w:b/>
        </w:rPr>
        <w:t>Note</w:t>
      </w:r>
      <w:r w:rsidRPr="00ED4588">
        <w:t xml:space="preserve">: Numbers in bold reflect the significantly higher value in the comparison. </w:t>
      </w:r>
    </w:p>
    <w:p w14:paraId="68FBEBFE" w14:textId="77777777" w:rsidR="00DC0DFF" w:rsidRPr="00ED4588" w:rsidRDefault="00DC0DFF" w:rsidP="0017558F">
      <w:pPr>
        <w:pStyle w:val="datatablenote"/>
      </w:pPr>
      <w:r w:rsidRPr="00ED4588">
        <w:t>Percentages may not add to 100 as the “unanswered” category is not shown in the table.</w:t>
      </w:r>
    </w:p>
    <w:p w14:paraId="23996AFB" w14:textId="77777777" w:rsidR="00DC0DFF" w:rsidRPr="00ED4588" w:rsidRDefault="00DC0DFF" w:rsidP="0017558F">
      <w:pPr>
        <w:pStyle w:val="datatablenote"/>
      </w:pPr>
      <w:r w:rsidRPr="00ED4588">
        <w:t>a “Strong yes” refers to answering “yes” either “always” or “usually”.</w:t>
      </w:r>
    </w:p>
    <w:p w14:paraId="4FA9F4C0" w14:textId="77777777" w:rsidR="00DC0DFF" w:rsidRPr="00ED4588" w:rsidRDefault="00DC0DFF" w:rsidP="0017558F">
      <w:pPr>
        <w:pStyle w:val="datatablenote"/>
      </w:pPr>
      <w:r w:rsidRPr="00ED4588">
        <w:t>b This result should be interpreted with caution because it has a relative standard error &gt;25%.</w:t>
      </w:r>
    </w:p>
    <w:p w14:paraId="461F5439" w14:textId="77777777" w:rsidR="00DC0DFF" w:rsidRPr="00ED4588" w:rsidRDefault="00DC0DFF" w:rsidP="0017558F">
      <w:pPr>
        <w:pStyle w:val="datatablenote"/>
      </w:pPr>
      <w:r w:rsidRPr="00ED4588">
        <w:t>* Statistically significant difference between 16- to 17-year-olds and 18- to 24-year-olds.</w:t>
      </w:r>
    </w:p>
    <w:p w14:paraId="3AEEECD1" w14:textId="77777777" w:rsidR="00DC0DFF" w:rsidRPr="00ED4588" w:rsidRDefault="00DC0DFF" w:rsidP="0017558F">
      <w:pPr>
        <w:pStyle w:val="datatablenote"/>
      </w:pPr>
      <w:r w:rsidRPr="00ED4588">
        <w:t>~ Asked of one quarter of the sample.</w:t>
      </w:r>
    </w:p>
    <w:p w14:paraId="6903975D" w14:textId="4507EB5E" w:rsidR="002D0229" w:rsidRPr="00ED4588" w:rsidRDefault="00882F81" w:rsidP="00F5214A">
      <w:pPr>
        <w:pStyle w:val="TableheadingTablesandfigures"/>
      </w:pPr>
      <w:bookmarkStart w:id="256" w:name="_Toc187402243"/>
      <w:r w:rsidRPr="00ED4588">
        <w:t xml:space="preserve">Table </w:t>
      </w:r>
      <w:r w:rsidR="004A7ED7" w:rsidRPr="00ED4588">
        <w:fldChar w:fldCharType="begin"/>
      </w:r>
      <w:r w:rsidR="004A7ED7" w:rsidRPr="00ED4588">
        <w:instrText xml:space="preserve"> STYLEREF 1 \s </w:instrText>
      </w:r>
      <w:r w:rsidR="004A7ED7" w:rsidRPr="00ED4588">
        <w:fldChar w:fldCharType="separate"/>
      </w:r>
      <w:r w:rsidR="004A7ED7" w:rsidRPr="00ED4588">
        <w:rPr>
          <w:noProof/>
        </w:rPr>
        <w:t>13</w:t>
      </w:r>
      <w:r w:rsidR="004A7ED7" w:rsidRPr="00ED4588">
        <w:fldChar w:fldCharType="end"/>
      </w:r>
      <w:r w:rsidR="003B15D6" w:rsidRPr="00ED4588">
        <w:t>-</w:t>
      </w:r>
      <w:r w:rsidR="004A7ED7" w:rsidRPr="00ED4588">
        <w:fldChar w:fldCharType="begin"/>
      </w:r>
      <w:r w:rsidR="004A7ED7" w:rsidRPr="00ED4588">
        <w:instrText xml:space="preserve"> SEQ Table \* ARABIC \s 1 </w:instrText>
      </w:r>
      <w:r w:rsidR="004A7ED7" w:rsidRPr="00ED4588">
        <w:fldChar w:fldCharType="separate"/>
      </w:r>
      <w:r w:rsidR="004A7ED7" w:rsidRPr="00ED4588">
        <w:rPr>
          <w:noProof/>
        </w:rPr>
        <w:t>2</w:t>
      </w:r>
      <w:r w:rsidR="004A7ED7" w:rsidRPr="00ED4588">
        <w:fldChar w:fldCharType="end"/>
      </w:r>
      <w:r w:rsidR="002D0229" w:rsidRPr="00ED4588">
        <w:t>:</w:t>
      </w:r>
      <w:r w:rsidR="002D0229" w:rsidRPr="00ED4588">
        <w:tab/>
      </w:r>
      <w:r w:rsidR="002D0229" w:rsidRPr="00ED4588">
        <w:tab/>
        <w:t>Understanding of gendered nature of domestic violence by age, youth groups (UVAWS subscale items), 2021</w:t>
      </w:r>
      <w:bookmarkEnd w:id="256"/>
    </w:p>
    <w:p w14:paraId="40701A5D" w14:textId="1180E741" w:rsidR="00B34528" w:rsidRPr="00B34528" w:rsidRDefault="00B34528" w:rsidP="008B6D01">
      <w:pPr>
        <w:pStyle w:val="Tablesubheading0"/>
      </w:pPr>
      <w:r>
        <w:t>Subscale: Understand Gendered Nature of Domestic Violence</w:t>
      </w:r>
    </w:p>
    <w:tbl>
      <w:tblPr>
        <w:tblStyle w:val="Table-SingleHeaderRow"/>
        <w:tblW w:w="0" w:type="auto"/>
        <w:tblLayout w:type="fixed"/>
        <w:tblLook w:val="00A0" w:firstRow="1" w:lastRow="0" w:firstColumn="1" w:lastColumn="0" w:noHBand="0" w:noVBand="0"/>
      </w:tblPr>
      <w:tblGrid>
        <w:gridCol w:w="737"/>
        <w:gridCol w:w="5102"/>
        <w:gridCol w:w="737"/>
        <w:gridCol w:w="794"/>
        <w:gridCol w:w="1191"/>
        <w:gridCol w:w="1134"/>
        <w:gridCol w:w="1134"/>
        <w:gridCol w:w="1134"/>
      </w:tblGrid>
      <w:tr w:rsidR="00CD0893" w:rsidRPr="002D0229" w14:paraId="4295B11E" w14:textId="77777777" w:rsidTr="008B6D0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35D66830" w14:textId="77777777" w:rsidR="00B34528" w:rsidRPr="002D0229" w:rsidRDefault="00B34528" w:rsidP="008B6D01">
            <w:pPr>
              <w:pStyle w:val="Tablebody"/>
              <w:rPr>
                <w:b w:val="0"/>
                <w:lang w:val="en-GB"/>
              </w:rPr>
            </w:pPr>
            <w:r w:rsidRPr="002D0229">
              <w:t>Code</w:t>
            </w:r>
          </w:p>
        </w:tc>
        <w:tc>
          <w:tcPr>
            <w:tcW w:w="5102" w:type="dxa"/>
          </w:tcPr>
          <w:p w14:paraId="7D67CB7B" w14:textId="77777777"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Abbreviated item wording</w:t>
            </w:r>
          </w:p>
        </w:tc>
        <w:tc>
          <w:tcPr>
            <w:tcW w:w="737" w:type="dxa"/>
          </w:tcPr>
          <w:p w14:paraId="11F629EB" w14:textId="77777777"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Age</w:t>
            </w:r>
          </w:p>
        </w:tc>
        <w:tc>
          <w:tcPr>
            <w:tcW w:w="794" w:type="dxa"/>
          </w:tcPr>
          <w:p w14:paraId="2BB2D624" w14:textId="77777777" w:rsidR="00B34528" w:rsidRPr="00DB512A" w:rsidRDefault="00B34528"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191" w:type="dxa"/>
          </w:tcPr>
          <w:p w14:paraId="06CDFEA5" w14:textId="4EB56222"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w:t>
            </w:r>
            <w:r w:rsidR="00CD0893">
              <w:t xml:space="preserve"> </w:t>
            </w:r>
            <w:r w:rsidRPr="002D0229">
              <w:t>Women</w:t>
            </w:r>
          </w:p>
        </w:tc>
        <w:tc>
          <w:tcPr>
            <w:tcW w:w="1134" w:type="dxa"/>
          </w:tcPr>
          <w:p w14:paraId="27AEB212" w14:textId="77777777"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Both equally</w:t>
            </w:r>
          </w:p>
        </w:tc>
        <w:tc>
          <w:tcPr>
            <w:tcW w:w="1134" w:type="dxa"/>
          </w:tcPr>
          <w:p w14:paraId="73F223DE" w14:textId="5ECAAD80"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Men (correct)</w:t>
            </w:r>
          </w:p>
        </w:tc>
        <w:tc>
          <w:tcPr>
            <w:tcW w:w="1134" w:type="dxa"/>
          </w:tcPr>
          <w:p w14:paraId="2B56F8DB" w14:textId="206EEA08" w:rsidR="00B34528" w:rsidRPr="002D0229"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Unsure</w:t>
            </w:r>
          </w:p>
        </w:tc>
      </w:tr>
      <w:tr w:rsidR="002851DA" w:rsidRPr="002D0229" w14:paraId="3FA87E74"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AAA58A3" w14:textId="77777777" w:rsidR="002851DA" w:rsidRPr="002D0229" w:rsidRDefault="002851DA" w:rsidP="008B6D01">
            <w:pPr>
              <w:pStyle w:val="Tablebody"/>
              <w:rPr>
                <w:rFonts w:cs="Open Sans"/>
                <w:szCs w:val="18"/>
                <w:lang w:val="en-GB"/>
              </w:rPr>
            </w:pPr>
            <w:r w:rsidRPr="002D0229">
              <w:rPr>
                <w:rFonts w:cs="Open Sans"/>
                <w:szCs w:val="18"/>
              </w:rPr>
              <w:t>D13</w:t>
            </w:r>
          </w:p>
        </w:tc>
        <w:tc>
          <w:tcPr>
            <w:tcW w:w="5102" w:type="dxa"/>
          </w:tcPr>
          <w:p w14:paraId="54174B1E" w14:textId="77777777"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lang w:val="en-US"/>
              </w:rPr>
              <w:t>Who is domestic violence mainly committed by?</w:t>
            </w:r>
            <w:r w:rsidRPr="002D0229">
              <w:rPr>
                <w:rFonts w:ascii="Montserrat" w:hAnsi="Montserrat" w:cs="Montserrat"/>
                <w:szCs w:val="18"/>
                <w:lang w:val="en-US"/>
              </w:rPr>
              <w:t>~</w:t>
            </w:r>
          </w:p>
        </w:tc>
        <w:tc>
          <w:tcPr>
            <w:tcW w:w="737" w:type="dxa"/>
          </w:tcPr>
          <w:p w14:paraId="1CA998F0" w14:textId="77777777"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16–17</w:t>
            </w:r>
          </w:p>
        </w:tc>
        <w:tc>
          <w:tcPr>
            <w:tcW w:w="794" w:type="dxa"/>
          </w:tcPr>
          <w:p w14:paraId="315CFD44" w14:textId="77777777"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52</w:t>
            </w:r>
          </w:p>
        </w:tc>
        <w:tc>
          <w:tcPr>
            <w:tcW w:w="1191" w:type="dxa"/>
          </w:tcPr>
          <w:p w14:paraId="0594DD8A" w14:textId="0FB44CE3"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0.00</w:t>
            </w:r>
          </w:p>
        </w:tc>
        <w:tc>
          <w:tcPr>
            <w:tcW w:w="1134" w:type="dxa"/>
          </w:tcPr>
          <w:p w14:paraId="17A6697C" w14:textId="7A4E1D64"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41.09</w:t>
            </w:r>
          </w:p>
        </w:tc>
        <w:tc>
          <w:tcPr>
            <w:tcW w:w="1134" w:type="dxa"/>
          </w:tcPr>
          <w:p w14:paraId="5E27C1AE" w14:textId="3D9B1E4A"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58.91</w:t>
            </w:r>
          </w:p>
        </w:tc>
        <w:tc>
          <w:tcPr>
            <w:tcW w:w="1134" w:type="dxa"/>
          </w:tcPr>
          <w:p w14:paraId="04A16B92" w14:textId="4B1F283B"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0.00</w:t>
            </w:r>
          </w:p>
        </w:tc>
      </w:tr>
      <w:tr w:rsidR="00ED4588" w:rsidRPr="002D0229" w14:paraId="0D1B9F31"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2298F8B" w14:textId="354D7435" w:rsidR="00ED4588" w:rsidRPr="002D0229" w:rsidRDefault="00ED4588" w:rsidP="008B6D01">
            <w:pPr>
              <w:pStyle w:val="Tablebody"/>
              <w:rPr>
                <w:rFonts w:cs="Open Sans"/>
                <w:szCs w:val="18"/>
              </w:rPr>
            </w:pPr>
            <w:r w:rsidRPr="002D0229">
              <w:rPr>
                <w:rFonts w:cs="Open Sans"/>
                <w:szCs w:val="18"/>
              </w:rPr>
              <w:t>D13</w:t>
            </w:r>
          </w:p>
        </w:tc>
        <w:tc>
          <w:tcPr>
            <w:tcW w:w="5102" w:type="dxa"/>
          </w:tcPr>
          <w:p w14:paraId="0F748B89" w14:textId="02594BDC"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2D0229">
              <w:rPr>
                <w:rFonts w:cs="Open Sans"/>
                <w:szCs w:val="18"/>
                <w:lang w:val="en-US"/>
              </w:rPr>
              <w:t>Who is domestic violence mainly committed by?</w:t>
            </w:r>
            <w:r w:rsidRPr="002D0229">
              <w:rPr>
                <w:rFonts w:ascii="Montserrat" w:hAnsi="Montserrat" w:cs="Montserrat"/>
                <w:szCs w:val="18"/>
                <w:lang w:val="en-US"/>
              </w:rPr>
              <w:t>~</w:t>
            </w:r>
          </w:p>
        </w:tc>
        <w:tc>
          <w:tcPr>
            <w:tcW w:w="737" w:type="dxa"/>
          </w:tcPr>
          <w:p w14:paraId="0519B78E" w14:textId="36BFF018"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18–24</w:t>
            </w:r>
          </w:p>
        </w:tc>
        <w:tc>
          <w:tcPr>
            <w:tcW w:w="794" w:type="dxa"/>
          </w:tcPr>
          <w:p w14:paraId="46A37038" w14:textId="7C6A92E6"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345</w:t>
            </w:r>
          </w:p>
        </w:tc>
        <w:tc>
          <w:tcPr>
            <w:tcW w:w="1191" w:type="dxa"/>
          </w:tcPr>
          <w:p w14:paraId="0714DF93" w14:textId="1F926BA8"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0.76</w:t>
            </w:r>
            <w:r w:rsidRPr="002D0229">
              <w:rPr>
                <w:rFonts w:cs="Open Sans"/>
                <w:szCs w:val="18"/>
                <w:vertAlign w:val="superscript"/>
              </w:rPr>
              <w:t>a</w:t>
            </w:r>
          </w:p>
        </w:tc>
        <w:tc>
          <w:tcPr>
            <w:tcW w:w="1134" w:type="dxa"/>
          </w:tcPr>
          <w:p w14:paraId="46D1CBF7" w14:textId="4F38C74D"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47.51</w:t>
            </w:r>
          </w:p>
        </w:tc>
        <w:tc>
          <w:tcPr>
            <w:tcW w:w="1134" w:type="dxa"/>
          </w:tcPr>
          <w:p w14:paraId="798A9A18" w14:textId="5042A273"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51.10</w:t>
            </w:r>
          </w:p>
        </w:tc>
        <w:tc>
          <w:tcPr>
            <w:tcW w:w="1134" w:type="dxa"/>
          </w:tcPr>
          <w:p w14:paraId="554682FA" w14:textId="275EE893"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0.41</w:t>
            </w:r>
            <w:r w:rsidRPr="002D0229">
              <w:rPr>
                <w:rFonts w:cs="Open Sans"/>
                <w:szCs w:val="18"/>
                <w:vertAlign w:val="superscript"/>
              </w:rPr>
              <w:t>a</w:t>
            </w:r>
          </w:p>
        </w:tc>
      </w:tr>
    </w:tbl>
    <w:p w14:paraId="14038C26" w14:textId="6C68220C" w:rsidR="00B34528" w:rsidRPr="00B34528" w:rsidRDefault="00B34528" w:rsidP="008B6D01">
      <w:pPr>
        <w:pStyle w:val="Tablesubheading0"/>
      </w:pPr>
      <w:r>
        <w:t>Subscale: Understand Gendered Nature of Domestic Violence</w:t>
      </w:r>
    </w:p>
    <w:tbl>
      <w:tblPr>
        <w:tblStyle w:val="Table-SingleHeaderRow"/>
        <w:tblW w:w="0" w:type="auto"/>
        <w:tblLayout w:type="fixed"/>
        <w:tblLook w:val="00A0" w:firstRow="1" w:lastRow="0" w:firstColumn="1" w:lastColumn="0" w:noHBand="0" w:noVBand="0"/>
      </w:tblPr>
      <w:tblGrid>
        <w:gridCol w:w="737"/>
        <w:gridCol w:w="5102"/>
        <w:gridCol w:w="737"/>
        <w:gridCol w:w="794"/>
        <w:gridCol w:w="1191"/>
        <w:gridCol w:w="1134"/>
        <w:gridCol w:w="1134"/>
        <w:gridCol w:w="1134"/>
      </w:tblGrid>
      <w:tr w:rsidR="00B34528" w:rsidRPr="002D0229" w14:paraId="3E86BB25" w14:textId="77777777" w:rsidTr="008B6D01">
        <w:trPr>
          <w:cnfStyle w:val="100000000000" w:firstRow="1" w:lastRow="0" w:firstColumn="0" w:lastColumn="0" w:oddVBand="0" w:evenVBand="0" w:oddHBand="0" w:evenHBand="0" w:firstRowFirstColumn="0" w:firstRowLastColumn="0" w:lastRowFirstColumn="0" w:lastRowLastColumn="0"/>
          <w:trHeight w:val="655"/>
          <w:tblHeader/>
        </w:trPr>
        <w:tc>
          <w:tcPr>
            <w:cnfStyle w:val="001000000000" w:firstRow="0" w:lastRow="0" w:firstColumn="1" w:lastColumn="0" w:oddVBand="0" w:evenVBand="0" w:oddHBand="0" w:evenHBand="0" w:firstRowFirstColumn="0" w:firstRowLastColumn="0" w:lastRowFirstColumn="0" w:lastRowLastColumn="0"/>
            <w:tcW w:w="737" w:type="dxa"/>
          </w:tcPr>
          <w:p w14:paraId="68EA10CB" w14:textId="4DEBF467" w:rsidR="00B34528" w:rsidRPr="008C29F3" w:rsidRDefault="006D6050" w:rsidP="008B6D01">
            <w:pPr>
              <w:pStyle w:val="Tablebody"/>
              <w:rPr>
                <w:b w:val="0"/>
              </w:rPr>
            </w:pPr>
            <w:r w:rsidRPr="008C29F3">
              <w:t>Code</w:t>
            </w:r>
          </w:p>
        </w:tc>
        <w:tc>
          <w:tcPr>
            <w:tcW w:w="5102" w:type="dxa"/>
          </w:tcPr>
          <w:p w14:paraId="769320AC" w14:textId="0AB70762" w:rsidR="00B34528" w:rsidRPr="008C29F3" w:rsidRDefault="006D6050"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8C29F3">
              <w:t>Abbreviated item wording</w:t>
            </w:r>
          </w:p>
        </w:tc>
        <w:tc>
          <w:tcPr>
            <w:tcW w:w="737" w:type="dxa"/>
          </w:tcPr>
          <w:p w14:paraId="05595A07" w14:textId="6161C2B7" w:rsidR="00B34528" w:rsidRPr="008C29F3" w:rsidRDefault="006D6050"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8C29F3">
              <w:t>Age</w:t>
            </w:r>
          </w:p>
        </w:tc>
        <w:tc>
          <w:tcPr>
            <w:tcW w:w="794" w:type="dxa"/>
          </w:tcPr>
          <w:p w14:paraId="4FDF759D" w14:textId="4FB43673" w:rsidR="00B34528" w:rsidRPr="008C29F3" w:rsidRDefault="006D6050" w:rsidP="008B6D01">
            <w:pPr>
              <w:pStyle w:val="Tablebody"/>
              <w:cnfStyle w:val="100000000000" w:firstRow="1" w:lastRow="0" w:firstColumn="0" w:lastColumn="0" w:oddVBand="0" w:evenVBand="0" w:oddHBand="0" w:evenHBand="0" w:firstRowFirstColumn="0" w:firstRowLastColumn="0" w:lastRowFirstColumn="0" w:lastRowLastColumn="0"/>
              <w:rPr>
                <w:i/>
                <w:iCs/>
              </w:rPr>
            </w:pPr>
            <w:r w:rsidRPr="008C29F3">
              <w:rPr>
                <w:i/>
                <w:iCs/>
              </w:rPr>
              <w:t>N</w:t>
            </w:r>
          </w:p>
        </w:tc>
        <w:tc>
          <w:tcPr>
            <w:tcW w:w="1191" w:type="dxa"/>
          </w:tcPr>
          <w:p w14:paraId="4AAFF548" w14:textId="713463D8" w:rsidR="00B34528" w:rsidRPr="00AC3F66"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color w:val="000000"/>
                <w:position w:val="8"/>
                <w:lang w:val="en-GB"/>
              </w:rPr>
            </w:pPr>
            <w:r w:rsidRPr="00AC3F66">
              <w:rPr>
                <w:color w:val="000000"/>
                <w:position w:val="8"/>
              </w:rPr>
              <w:t>%</w:t>
            </w:r>
            <w:r w:rsidR="00CD0893" w:rsidRPr="00AC3F66">
              <w:rPr>
                <w:color w:val="000000"/>
                <w:position w:val="8"/>
              </w:rPr>
              <w:t xml:space="preserve"> </w:t>
            </w:r>
            <w:r w:rsidRPr="00AC3F66">
              <w:rPr>
                <w:color w:val="000000"/>
                <w:position w:val="8"/>
              </w:rPr>
              <w:t>Men</w:t>
            </w:r>
          </w:p>
        </w:tc>
        <w:tc>
          <w:tcPr>
            <w:tcW w:w="1134" w:type="dxa"/>
          </w:tcPr>
          <w:p w14:paraId="5B619E8D" w14:textId="77777777" w:rsidR="00B34528" w:rsidRPr="00AC3F66"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color w:val="000000"/>
                <w:position w:val="8"/>
                <w:lang w:val="en-GB"/>
              </w:rPr>
            </w:pPr>
            <w:r w:rsidRPr="00AC3F66">
              <w:rPr>
                <w:color w:val="000000"/>
                <w:position w:val="8"/>
              </w:rPr>
              <w:t>% Both equally</w:t>
            </w:r>
          </w:p>
        </w:tc>
        <w:tc>
          <w:tcPr>
            <w:tcW w:w="1134" w:type="dxa"/>
          </w:tcPr>
          <w:p w14:paraId="4B0C676E" w14:textId="77777777" w:rsidR="00B34528" w:rsidRPr="00AC3F66"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color w:val="000000"/>
                <w:position w:val="8"/>
                <w:lang w:val="en-GB"/>
              </w:rPr>
            </w:pPr>
            <w:r w:rsidRPr="00AC3F66">
              <w:rPr>
                <w:color w:val="000000"/>
                <w:position w:val="8"/>
              </w:rPr>
              <w:t>% Women (correct)</w:t>
            </w:r>
          </w:p>
        </w:tc>
        <w:tc>
          <w:tcPr>
            <w:tcW w:w="1134" w:type="dxa"/>
          </w:tcPr>
          <w:p w14:paraId="35E8C97E" w14:textId="2324B55A" w:rsidR="00B34528" w:rsidRPr="00AC3F66" w:rsidRDefault="00B34528" w:rsidP="008B6D01">
            <w:pPr>
              <w:pStyle w:val="Tablebody"/>
              <w:cnfStyle w:val="100000000000" w:firstRow="1" w:lastRow="0" w:firstColumn="0" w:lastColumn="0" w:oddVBand="0" w:evenVBand="0" w:oddHBand="0" w:evenHBand="0" w:firstRowFirstColumn="0" w:firstRowLastColumn="0" w:lastRowFirstColumn="0" w:lastRowLastColumn="0"/>
              <w:rPr>
                <w:b w:val="0"/>
                <w:color w:val="000000"/>
                <w:position w:val="8"/>
                <w:lang w:val="en-GB"/>
              </w:rPr>
            </w:pPr>
            <w:r w:rsidRPr="00AC3F66">
              <w:rPr>
                <w:color w:val="000000"/>
                <w:position w:val="8"/>
              </w:rPr>
              <w:t>%</w:t>
            </w:r>
            <w:r w:rsidR="00CD0893" w:rsidRPr="00AC3F66">
              <w:rPr>
                <w:color w:val="000000"/>
                <w:position w:val="8"/>
              </w:rPr>
              <w:t xml:space="preserve"> </w:t>
            </w:r>
            <w:r w:rsidRPr="00AC3F66">
              <w:rPr>
                <w:color w:val="000000"/>
                <w:position w:val="8"/>
              </w:rPr>
              <w:t>Unsure</w:t>
            </w:r>
          </w:p>
        </w:tc>
      </w:tr>
      <w:tr w:rsidR="002851DA" w:rsidRPr="002D0229" w14:paraId="2D6E1AD1"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DE47F20" w14:textId="77777777" w:rsidR="002851DA" w:rsidRPr="002D0229" w:rsidRDefault="002851DA" w:rsidP="008B6D01">
            <w:pPr>
              <w:pStyle w:val="Tablebody"/>
              <w:rPr>
                <w:rFonts w:cs="Open Sans"/>
                <w:color w:val="000000"/>
                <w:szCs w:val="18"/>
                <w:lang w:val="en-GB"/>
              </w:rPr>
            </w:pPr>
            <w:r w:rsidRPr="002D0229">
              <w:rPr>
                <w:rFonts w:cs="Open Sans"/>
                <w:color w:val="000000"/>
                <w:szCs w:val="18"/>
              </w:rPr>
              <w:t>D14</w:t>
            </w:r>
          </w:p>
        </w:tc>
        <w:tc>
          <w:tcPr>
            <w:tcW w:w="5102" w:type="dxa"/>
          </w:tcPr>
          <w:p w14:paraId="01EDC7DE" w14:textId="1AF24BE1"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lang w:val="en-US"/>
              </w:rPr>
              <w:t>Who is more likely to suffer physical harm from domestic</w:t>
            </w:r>
            <w:r w:rsidR="00ED4588">
              <w:rPr>
                <w:rFonts w:cs="Open Sans"/>
                <w:color w:val="000000"/>
                <w:szCs w:val="18"/>
                <w:lang w:val="en-US"/>
              </w:rPr>
              <w:t> </w:t>
            </w:r>
            <w:r w:rsidRPr="002D0229">
              <w:rPr>
                <w:rFonts w:cs="Open Sans"/>
                <w:color w:val="000000"/>
                <w:szCs w:val="18"/>
                <w:lang w:val="en-US"/>
              </w:rPr>
              <w:t>violence?</w:t>
            </w:r>
            <w:r w:rsidRPr="002D0229">
              <w:rPr>
                <w:rFonts w:ascii="Montserrat" w:hAnsi="Montserrat" w:cs="Montserrat"/>
                <w:color w:val="000000"/>
                <w:szCs w:val="18"/>
                <w:lang w:val="en-US"/>
              </w:rPr>
              <w:t>~</w:t>
            </w:r>
          </w:p>
        </w:tc>
        <w:tc>
          <w:tcPr>
            <w:tcW w:w="737" w:type="dxa"/>
          </w:tcPr>
          <w:p w14:paraId="1A194FF1" w14:textId="77777777"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rPr>
              <w:t>16–17</w:t>
            </w:r>
          </w:p>
        </w:tc>
        <w:tc>
          <w:tcPr>
            <w:tcW w:w="794" w:type="dxa"/>
          </w:tcPr>
          <w:p w14:paraId="581C7E2F" w14:textId="77777777"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rPr>
              <w:t>52</w:t>
            </w:r>
          </w:p>
        </w:tc>
        <w:tc>
          <w:tcPr>
            <w:tcW w:w="1191" w:type="dxa"/>
          </w:tcPr>
          <w:p w14:paraId="1FE89633" w14:textId="2E1F4E2B"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rPr>
              <w:t>2.37</w:t>
            </w:r>
            <w:r w:rsidRPr="002D0229">
              <w:rPr>
                <w:rFonts w:cs="Open Sans"/>
                <w:color w:val="000000"/>
                <w:szCs w:val="18"/>
                <w:vertAlign w:val="superscript"/>
              </w:rPr>
              <w:t>a</w:t>
            </w:r>
          </w:p>
        </w:tc>
        <w:tc>
          <w:tcPr>
            <w:tcW w:w="1134" w:type="dxa"/>
          </w:tcPr>
          <w:p w14:paraId="249D78E2" w14:textId="67775B3A"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27.33</w:t>
            </w:r>
          </w:p>
        </w:tc>
        <w:tc>
          <w:tcPr>
            <w:tcW w:w="1134" w:type="dxa"/>
          </w:tcPr>
          <w:p w14:paraId="6FD44D28" w14:textId="3FED8434"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70.30</w:t>
            </w:r>
          </w:p>
        </w:tc>
        <w:tc>
          <w:tcPr>
            <w:tcW w:w="1134" w:type="dxa"/>
          </w:tcPr>
          <w:p w14:paraId="3E4D1010" w14:textId="05E59BFF" w:rsidR="002851DA" w:rsidRPr="002D0229" w:rsidRDefault="002851DA"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0.00</w:t>
            </w:r>
          </w:p>
        </w:tc>
      </w:tr>
      <w:tr w:rsidR="00ED4588" w:rsidRPr="002D0229" w14:paraId="77AE04D0"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FB06839" w14:textId="029A0A89" w:rsidR="00ED4588" w:rsidRPr="002D0229" w:rsidRDefault="00ED4588" w:rsidP="008B6D01">
            <w:pPr>
              <w:pStyle w:val="Tablebody"/>
              <w:rPr>
                <w:rFonts w:cs="Open Sans"/>
                <w:color w:val="000000"/>
                <w:szCs w:val="18"/>
              </w:rPr>
            </w:pPr>
            <w:r w:rsidRPr="002D0229">
              <w:rPr>
                <w:rFonts w:cs="Open Sans"/>
                <w:color w:val="000000"/>
                <w:szCs w:val="18"/>
              </w:rPr>
              <w:t>D14</w:t>
            </w:r>
          </w:p>
        </w:tc>
        <w:tc>
          <w:tcPr>
            <w:tcW w:w="5102" w:type="dxa"/>
          </w:tcPr>
          <w:p w14:paraId="3D9B2BA6" w14:textId="6A92ED21"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US"/>
              </w:rPr>
            </w:pPr>
            <w:r w:rsidRPr="002D0229">
              <w:rPr>
                <w:rFonts w:cs="Open Sans"/>
                <w:color w:val="000000"/>
                <w:szCs w:val="18"/>
                <w:lang w:val="en-US"/>
              </w:rPr>
              <w:t>Who is more likely to suffer physical harm from domestic</w:t>
            </w:r>
            <w:r>
              <w:rPr>
                <w:rFonts w:cs="Open Sans"/>
                <w:color w:val="000000"/>
                <w:szCs w:val="18"/>
                <w:lang w:val="en-US"/>
              </w:rPr>
              <w:t> </w:t>
            </w:r>
            <w:r w:rsidRPr="002D0229">
              <w:rPr>
                <w:rFonts w:cs="Open Sans"/>
                <w:color w:val="000000"/>
                <w:szCs w:val="18"/>
                <w:lang w:val="en-US"/>
              </w:rPr>
              <w:t>violence?</w:t>
            </w:r>
            <w:r w:rsidRPr="002D0229">
              <w:rPr>
                <w:rFonts w:ascii="Montserrat" w:hAnsi="Montserrat" w:cs="Montserrat"/>
                <w:color w:val="000000"/>
                <w:szCs w:val="18"/>
                <w:lang w:val="en-US"/>
              </w:rPr>
              <w:t>~</w:t>
            </w:r>
          </w:p>
        </w:tc>
        <w:tc>
          <w:tcPr>
            <w:tcW w:w="737" w:type="dxa"/>
          </w:tcPr>
          <w:p w14:paraId="04E64A16" w14:textId="547DC6C8"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18–24</w:t>
            </w:r>
          </w:p>
        </w:tc>
        <w:tc>
          <w:tcPr>
            <w:tcW w:w="794" w:type="dxa"/>
          </w:tcPr>
          <w:p w14:paraId="11B4EC1C" w14:textId="783FCC7B"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345</w:t>
            </w:r>
          </w:p>
        </w:tc>
        <w:tc>
          <w:tcPr>
            <w:tcW w:w="1191" w:type="dxa"/>
          </w:tcPr>
          <w:p w14:paraId="64D2B7E6" w14:textId="4294851E"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3.16</w:t>
            </w:r>
            <w:r w:rsidRPr="002D0229">
              <w:rPr>
                <w:rFonts w:cs="Open Sans"/>
                <w:color w:val="000000"/>
                <w:szCs w:val="18"/>
                <w:vertAlign w:val="superscript"/>
              </w:rPr>
              <w:t>a</w:t>
            </w:r>
          </w:p>
        </w:tc>
        <w:tc>
          <w:tcPr>
            <w:tcW w:w="1134" w:type="dxa"/>
          </w:tcPr>
          <w:p w14:paraId="02E5E892" w14:textId="56C3A23E"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25.41</w:t>
            </w:r>
          </w:p>
        </w:tc>
        <w:tc>
          <w:tcPr>
            <w:tcW w:w="1134" w:type="dxa"/>
          </w:tcPr>
          <w:p w14:paraId="4917DFBD" w14:textId="2A341644"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70.94</w:t>
            </w:r>
          </w:p>
        </w:tc>
        <w:tc>
          <w:tcPr>
            <w:tcW w:w="1134" w:type="dxa"/>
          </w:tcPr>
          <w:p w14:paraId="33EF2011" w14:textId="2B46FE34"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0.28</w:t>
            </w:r>
            <w:r w:rsidRPr="002D0229">
              <w:rPr>
                <w:rFonts w:cs="Open Sans"/>
                <w:color w:val="000000"/>
                <w:szCs w:val="18"/>
                <w:vertAlign w:val="superscript"/>
              </w:rPr>
              <w:t>a</w:t>
            </w:r>
          </w:p>
        </w:tc>
      </w:tr>
      <w:tr w:rsidR="00ED4588" w:rsidRPr="002D0229" w14:paraId="41C10226"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2FDF838" w14:textId="77777777" w:rsidR="00ED4588" w:rsidRPr="002D0229" w:rsidRDefault="00ED4588" w:rsidP="008B6D01">
            <w:pPr>
              <w:pStyle w:val="Tablebody"/>
              <w:rPr>
                <w:rFonts w:cs="Open Sans"/>
                <w:color w:val="000000"/>
                <w:szCs w:val="18"/>
                <w:lang w:val="en-GB"/>
              </w:rPr>
            </w:pPr>
            <w:r w:rsidRPr="002D0229">
              <w:rPr>
                <w:rFonts w:cs="Open Sans"/>
                <w:color w:val="000000"/>
                <w:szCs w:val="18"/>
              </w:rPr>
              <w:t>D15</w:t>
            </w:r>
          </w:p>
        </w:tc>
        <w:tc>
          <w:tcPr>
            <w:tcW w:w="5102" w:type="dxa"/>
          </w:tcPr>
          <w:p w14:paraId="74286AC9" w14:textId="5D925019"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lang w:val="en-US"/>
              </w:rPr>
              <w:t>Who is more likely to experience fear as a result of</w:t>
            </w:r>
            <w:r>
              <w:rPr>
                <w:rFonts w:cs="Open Sans"/>
                <w:color w:val="000000"/>
                <w:szCs w:val="18"/>
                <w:lang w:val="en-US"/>
              </w:rPr>
              <w:t> </w:t>
            </w:r>
            <w:r w:rsidRPr="002D0229">
              <w:rPr>
                <w:rFonts w:cs="Open Sans"/>
                <w:color w:val="000000"/>
                <w:szCs w:val="18"/>
                <w:lang w:val="en-US"/>
              </w:rPr>
              <w:t>domestic violence?</w:t>
            </w:r>
            <w:r w:rsidRPr="002D0229">
              <w:rPr>
                <w:rFonts w:ascii="Montserrat" w:hAnsi="Montserrat" w:cs="Montserrat"/>
                <w:color w:val="000000"/>
                <w:szCs w:val="18"/>
                <w:lang w:val="en-US"/>
              </w:rPr>
              <w:t>~</w:t>
            </w:r>
          </w:p>
        </w:tc>
        <w:tc>
          <w:tcPr>
            <w:tcW w:w="737" w:type="dxa"/>
          </w:tcPr>
          <w:p w14:paraId="4D95972E" w14:textId="77777777"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rPr>
              <w:t>16–17</w:t>
            </w:r>
          </w:p>
        </w:tc>
        <w:tc>
          <w:tcPr>
            <w:tcW w:w="794" w:type="dxa"/>
          </w:tcPr>
          <w:p w14:paraId="7ED5AAC8" w14:textId="77777777"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GB"/>
              </w:rPr>
            </w:pPr>
            <w:r w:rsidRPr="002D0229">
              <w:rPr>
                <w:rFonts w:cs="Open Sans"/>
                <w:color w:val="000000"/>
                <w:szCs w:val="18"/>
              </w:rPr>
              <w:t>52</w:t>
            </w:r>
          </w:p>
        </w:tc>
        <w:tc>
          <w:tcPr>
            <w:tcW w:w="1191" w:type="dxa"/>
          </w:tcPr>
          <w:p w14:paraId="025D5870" w14:textId="3346AB5E"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0.00</w:t>
            </w:r>
          </w:p>
        </w:tc>
        <w:tc>
          <w:tcPr>
            <w:tcW w:w="1134" w:type="dxa"/>
          </w:tcPr>
          <w:p w14:paraId="421FE4AF" w14:textId="0E0618B5"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48.14</w:t>
            </w:r>
          </w:p>
        </w:tc>
        <w:tc>
          <w:tcPr>
            <w:tcW w:w="1134" w:type="dxa"/>
          </w:tcPr>
          <w:p w14:paraId="55C9B2D6" w14:textId="3C1C862F"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51.86</w:t>
            </w:r>
          </w:p>
        </w:tc>
        <w:tc>
          <w:tcPr>
            <w:tcW w:w="1134" w:type="dxa"/>
          </w:tcPr>
          <w:p w14:paraId="38EEF1DA" w14:textId="09DB46DC"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color w:val="000000"/>
                <w:szCs w:val="18"/>
              </w:rPr>
              <w:t>0.00</w:t>
            </w:r>
          </w:p>
        </w:tc>
      </w:tr>
      <w:tr w:rsidR="00ED4588" w:rsidRPr="002D0229" w14:paraId="4C1E43CD"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4687C78" w14:textId="2888CC5C" w:rsidR="00ED4588" w:rsidRPr="002D0229" w:rsidRDefault="00ED4588" w:rsidP="008B6D01">
            <w:pPr>
              <w:pStyle w:val="Tablebody"/>
              <w:rPr>
                <w:rFonts w:cs="Open Sans"/>
                <w:color w:val="000000"/>
                <w:szCs w:val="18"/>
              </w:rPr>
            </w:pPr>
            <w:r w:rsidRPr="002D0229">
              <w:rPr>
                <w:rFonts w:cs="Open Sans"/>
                <w:color w:val="000000"/>
                <w:szCs w:val="18"/>
              </w:rPr>
              <w:t>D15</w:t>
            </w:r>
          </w:p>
        </w:tc>
        <w:tc>
          <w:tcPr>
            <w:tcW w:w="5102" w:type="dxa"/>
          </w:tcPr>
          <w:p w14:paraId="777BE21B" w14:textId="2314BE37"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lang w:val="en-US"/>
              </w:rPr>
            </w:pPr>
            <w:r w:rsidRPr="002D0229">
              <w:rPr>
                <w:rFonts w:cs="Open Sans"/>
                <w:color w:val="000000"/>
                <w:szCs w:val="18"/>
                <w:lang w:val="en-US"/>
              </w:rPr>
              <w:t>Who is more likely to experience fear as a result of</w:t>
            </w:r>
            <w:r>
              <w:rPr>
                <w:rFonts w:cs="Open Sans"/>
                <w:color w:val="000000"/>
                <w:szCs w:val="18"/>
                <w:lang w:val="en-US"/>
              </w:rPr>
              <w:t> </w:t>
            </w:r>
            <w:r w:rsidRPr="002D0229">
              <w:rPr>
                <w:rFonts w:cs="Open Sans"/>
                <w:color w:val="000000"/>
                <w:szCs w:val="18"/>
                <w:lang w:val="en-US"/>
              </w:rPr>
              <w:t>domestic violence?</w:t>
            </w:r>
            <w:r w:rsidRPr="002D0229">
              <w:rPr>
                <w:rFonts w:ascii="Montserrat" w:hAnsi="Montserrat" w:cs="Montserrat"/>
                <w:color w:val="000000"/>
                <w:szCs w:val="18"/>
                <w:lang w:val="en-US"/>
              </w:rPr>
              <w:t>~</w:t>
            </w:r>
          </w:p>
        </w:tc>
        <w:tc>
          <w:tcPr>
            <w:tcW w:w="737" w:type="dxa"/>
          </w:tcPr>
          <w:p w14:paraId="669E0FD5" w14:textId="5BEBC0A0"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18–24</w:t>
            </w:r>
          </w:p>
        </w:tc>
        <w:tc>
          <w:tcPr>
            <w:tcW w:w="794" w:type="dxa"/>
          </w:tcPr>
          <w:p w14:paraId="58D2391E" w14:textId="7E499456"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345</w:t>
            </w:r>
          </w:p>
        </w:tc>
        <w:tc>
          <w:tcPr>
            <w:tcW w:w="1191" w:type="dxa"/>
          </w:tcPr>
          <w:p w14:paraId="13E60C77" w14:textId="67CC9BC1"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1.53</w:t>
            </w:r>
            <w:r w:rsidRPr="002D0229">
              <w:rPr>
                <w:rFonts w:cs="Open Sans"/>
                <w:color w:val="000000"/>
                <w:szCs w:val="18"/>
                <w:vertAlign w:val="superscript"/>
              </w:rPr>
              <w:t>a</w:t>
            </w:r>
          </w:p>
        </w:tc>
        <w:tc>
          <w:tcPr>
            <w:tcW w:w="1134" w:type="dxa"/>
          </w:tcPr>
          <w:p w14:paraId="7B78FF87" w14:textId="2F802656"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43.82</w:t>
            </w:r>
          </w:p>
        </w:tc>
        <w:tc>
          <w:tcPr>
            <w:tcW w:w="1134" w:type="dxa"/>
          </w:tcPr>
          <w:p w14:paraId="6BEFD720" w14:textId="624B884F"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54.43</w:t>
            </w:r>
          </w:p>
        </w:tc>
        <w:tc>
          <w:tcPr>
            <w:tcW w:w="1134" w:type="dxa"/>
          </w:tcPr>
          <w:p w14:paraId="6B1CD4D8" w14:textId="06B91B17" w:rsidR="00ED4588" w:rsidRPr="002D0229" w:rsidRDefault="00ED4588" w:rsidP="008B6D01">
            <w:pPr>
              <w:pStyle w:val="Tablebody"/>
              <w:cnfStyle w:val="000000000000" w:firstRow="0" w:lastRow="0" w:firstColumn="0" w:lastColumn="0" w:oddVBand="0" w:evenVBand="0" w:oddHBand="0" w:evenHBand="0" w:firstRowFirstColumn="0" w:firstRowLastColumn="0" w:lastRowFirstColumn="0" w:lastRowLastColumn="0"/>
              <w:rPr>
                <w:rFonts w:cs="Open Sans"/>
                <w:color w:val="000000"/>
                <w:szCs w:val="18"/>
              </w:rPr>
            </w:pPr>
            <w:r w:rsidRPr="002D0229">
              <w:rPr>
                <w:rFonts w:cs="Open Sans"/>
                <w:color w:val="000000"/>
                <w:szCs w:val="18"/>
              </w:rPr>
              <w:t>0.00</w:t>
            </w:r>
          </w:p>
        </w:tc>
      </w:tr>
    </w:tbl>
    <w:p w14:paraId="7192C0BC" w14:textId="2E5F3C18" w:rsidR="002D0229" w:rsidRPr="00567D6D" w:rsidRDefault="002D0229" w:rsidP="0017558F">
      <w:pPr>
        <w:pStyle w:val="datatablenote"/>
      </w:pPr>
      <w:r w:rsidRPr="002851DA">
        <w:rPr>
          <w:b/>
        </w:rPr>
        <w:t>Note</w:t>
      </w:r>
      <w:r w:rsidRPr="00567D6D">
        <w:t xml:space="preserve">: Percentages may not add to 100 as the “unanswered” category is not shown in the table. </w:t>
      </w:r>
      <w:r w:rsidR="00ED4588">
        <w:br/>
      </w:r>
      <w:r w:rsidRPr="00567D6D">
        <w:t xml:space="preserve">There were no statistically significant differences between 16- to 17-year-olds </w:t>
      </w:r>
      <w:r w:rsidRPr="00567D6D">
        <w:br/>
        <w:t>and 18- to 24-year-olds on the items in this subscale.</w:t>
      </w:r>
    </w:p>
    <w:p w14:paraId="25F8DDF7" w14:textId="77777777" w:rsidR="002D0229" w:rsidRPr="00567D6D" w:rsidRDefault="002D0229" w:rsidP="0017558F">
      <w:pPr>
        <w:pStyle w:val="datatablenote"/>
      </w:pPr>
      <w:r w:rsidRPr="00567D6D">
        <w:t>a This result should be interpreted with caution because it has a relative standard error &gt;25%.</w:t>
      </w:r>
    </w:p>
    <w:p w14:paraId="7A4B06C0" w14:textId="6A75267F" w:rsidR="002D0229" w:rsidRDefault="002D0229" w:rsidP="0017558F">
      <w:pPr>
        <w:pStyle w:val="datatablenote"/>
        <w:rPr>
          <w:lang w:val="en-GB"/>
        </w:rPr>
      </w:pPr>
      <w:r w:rsidRPr="00567D6D">
        <w:rPr>
          <w:rFonts w:cs="Montserrat"/>
        </w:rPr>
        <w:t>~</w:t>
      </w:r>
      <w:r w:rsidRPr="00567D6D">
        <w:t xml:space="preserve"> Asked of one quarter of the sample.</w:t>
      </w:r>
    </w:p>
    <w:p w14:paraId="65588ED1" w14:textId="2B52CE9F" w:rsidR="002D0229" w:rsidRDefault="00B665D9" w:rsidP="00F5214A">
      <w:pPr>
        <w:pStyle w:val="TableheadingTablesandfigures"/>
      </w:pPr>
      <w:bookmarkStart w:id="257" w:name="_Toc187402244"/>
      <w:r>
        <w:lastRenderedPageBreak/>
        <w:t xml:space="preserve">Table </w:t>
      </w:r>
      <w:r w:rsidR="004A7ED7">
        <w:fldChar w:fldCharType="begin"/>
      </w:r>
      <w:r w:rsidR="004A7ED7">
        <w:instrText xml:space="preserve"> STYLEREF 1 \s </w:instrText>
      </w:r>
      <w:r w:rsidR="004A7ED7">
        <w:fldChar w:fldCharType="separate"/>
      </w:r>
      <w:r w:rsidR="004A7ED7">
        <w:rPr>
          <w:noProof/>
        </w:rPr>
        <w:t>13</w:t>
      </w:r>
      <w:r w:rsidR="004A7ED7">
        <w:fldChar w:fldCharType="end"/>
      </w:r>
      <w:r w:rsidR="003B15D6">
        <w:t>-</w:t>
      </w:r>
      <w:r w:rsidR="004A7ED7">
        <w:fldChar w:fldCharType="begin"/>
      </w:r>
      <w:r w:rsidR="004A7ED7">
        <w:instrText xml:space="preserve"> SEQ Table \* ARABIC \s 1 </w:instrText>
      </w:r>
      <w:r w:rsidR="004A7ED7">
        <w:fldChar w:fldCharType="separate"/>
      </w:r>
      <w:r w:rsidR="004A7ED7">
        <w:rPr>
          <w:noProof/>
        </w:rPr>
        <w:t>3</w:t>
      </w:r>
      <w:r w:rsidR="004A7ED7">
        <w:fldChar w:fldCharType="end"/>
      </w:r>
      <w:r w:rsidR="002D0229" w:rsidRPr="002D0229">
        <w:t xml:space="preserve">: </w:t>
      </w:r>
      <w:r w:rsidR="002D0229">
        <w:tab/>
      </w:r>
      <w:r w:rsidR="002D0229" w:rsidRPr="002D0229">
        <w:t>Additional knowledge items by age, youth groups (not part of any scale), 2021</w:t>
      </w:r>
      <w:bookmarkEnd w:id="257"/>
    </w:p>
    <w:p w14:paraId="694F701E" w14:textId="4EDA71F8" w:rsidR="005F6833" w:rsidRPr="005F6833" w:rsidRDefault="005F6833" w:rsidP="008B6D01">
      <w:pPr>
        <w:pStyle w:val="Tablesubheading0"/>
      </w:pPr>
      <w:r>
        <w:t xml:space="preserve">Area of knowledge: </w:t>
      </w:r>
      <w:r w:rsidRPr="002D0229">
        <w:t>Knowledge of domestic violence support</w:t>
      </w:r>
    </w:p>
    <w:tbl>
      <w:tblPr>
        <w:tblStyle w:val="Table-SingleHeaderRow"/>
        <w:tblW w:w="14967" w:type="dxa"/>
        <w:tblLayout w:type="fixed"/>
        <w:tblLook w:val="00A0" w:firstRow="1" w:lastRow="0" w:firstColumn="1" w:lastColumn="0" w:noHBand="0" w:noVBand="0"/>
      </w:tblPr>
      <w:tblGrid>
        <w:gridCol w:w="737"/>
        <w:gridCol w:w="4365"/>
        <w:gridCol w:w="737"/>
        <w:gridCol w:w="454"/>
        <w:gridCol w:w="1020"/>
        <w:gridCol w:w="1191"/>
        <w:gridCol w:w="1190"/>
        <w:gridCol w:w="1247"/>
        <w:gridCol w:w="1021"/>
        <w:gridCol w:w="964"/>
        <w:gridCol w:w="963"/>
        <w:gridCol w:w="1078"/>
      </w:tblGrid>
      <w:tr w:rsidR="005941FE" w:rsidRPr="002D0229" w14:paraId="02B7C9A5" w14:textId="77777777" w:rsidTr="008B6D01">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737" w:type="dxa"/>
          </w:tcPr>
          <w:p w14:paraId="70930FBD" w14:textId="77777777" w:rsidR="005F6833" w:rsidRPr="002D0229" w:rsidRDefault="005F6833" w:rsidP="008B6D01">
            <w:pPr>
              <w:pStyle w:val="Tablebody"/>
              <w:rPr>
                <w:b w:val="0"/>
              </w:rPr>
            </w:pPr>
            <w:r w:rsidRPr="002D0229">
              <w:t>Code</w:t>
            </w:r>
          </w:p>
        </w:tc>
        <w:tc>
          <w:tcPr>
            <w:tcW w:w="4365" w:type="dxa"/>
          </w:tcPr>
          <w:p w14:paraId="54CFC44A"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Abbreviated item wording</w:t>
            </w:r>
          </w:p>
        </w:tc>
        <w:tc>
          <w:tcPr>
            <w:tcW w:w="737" w:type="dxa"/>
          </w:tcPr>
          <w:p w14:paraId="41AA23D3"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Age</w:t>
            </w:r>
          </w:p>
        </w:tc>
        <w:tc>
          <w:tcPr>
            <w:tcW w:w="454" w:type="dxa"/>
          </w:tcPr>
          <w:p w14:paraId="372D206F" w14:textId="1E17E0AB" w:rsidR="005F6833" w:rsidRPr="00DB512A" w:rsidRDefault="005F6833"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020" w:type="dxa"/>
          </w:tcPr>
          <w:p w14:paraId="59420070"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Strongly agree</w:t>
            </w:r>
          </w:p>
        </w:tc>
        <w:tc>
          <w:tcPr>
            <w:tcW w:w="1191" w:type="dxa"/>
          </w:tcPr>
          <w:p w14:paraId="5417B8C8"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Somewhat agree</w:t>
            </w:r>
          </w:p>
        </w:tc>
        <w:tc>
          <w:tcPr>
            <w:tcW w:w="1190" w:type="dxa"/>
          </w:tcPr>
          <w:p w14:paraId="2D18A04E"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Neither agree nor disagree</w:t>
            </w:r>
          </w:p>
        </w:tc>
        <w:tc>
          <w:tcPr>
            <w:tcW w:w="1247" w:type="dxa"/>
          </w:tcPr>
          <w:p w14:paraId="24CAAD66"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Somewhat disagree</w:t>
            </w:r>
          </w:p>
        </w:tc>
        <w:tc>
          <w:tcPr>
            <w:tcW w:w="1021" w:type="dxa"/>
          </w:tcPr>
          <w:p w14:paraId="0E6AEC76"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Strongly disagree</w:t>
            </w:r>
          </w:p>
        </w:tc>
        <w:tc>
          <w:tcPr>
            <w:tcW w:w="964" w:type="dxa"/>
          </w:tcPr>
          <w:p w14:paraId="36FE2C81"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Unsure</w:t>
            </w:r>
          </w:p>
        </w:tc>
        <w:tc>
          <w:tcPr>
            <w:tcW w:w="963" w:type="dxa"/>
          </w:tcPr>
          <w:p w14:paraId="4FFE2F33"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Net agree</w:t>
            </w:r>
            <w:r w:rsidRPr="002D0229">
              <w:rPr>
                <w:vertAlign w:val="superscript"/>
              </w:rPr>
              <w:t>a</w:t>
            </w:r>
          </w:p>
        </w:tc>
        <w:tc>
          <w:tcPr>
            <w:tcW w:w="1078" w:type="dxa"/>
          </w:tcPr>
          <w:p w14:paraId="6565854D"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Net disagree</w:t>
            </w:r>
            <w:r w:rsidRPr="002D0229">
              <w:rPr>
                <w:vertAlign w:val="superscript"/>
              </w:rPr>
              <w:t>b</w:t>
            </w:r>
          </w:p>
        </w:tc>
      </w:tr>
      <w:tr w:rsidR="00CD0893" w:rsidRPr="002D0229" w14:paraId="31276F4C"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03611CB" w14:textId="77777777" w:rsidR="00CD0893" w:rsidRPr="002D0229" w:rsidRDefault="00CD0893" w:rsidP="008B6D01">
            <w:pPr>
              <w:pStyle w:val="Tablebody"/>
              <w:rPr>
                <w:rFonts w:cs="Open Sans"/>
                <w:szCs w:val="18"/>
              </w:rPr>
            </w:pPr>
            <w:r w:rsidRPr="002D0229">
              <w:rPr>
                <w:rFonts w:cs="Open Sans"/>
                <w:szCs w:val="18"/>
              </w:rPr>
              <w:t>D33</w:t>
            </w:r>
          </w:p>
        </w:tc>
        <w:tc>
          <w:tcPr>
            <w:tcW w:w="4365" w:type="dxa"/>
          </w:tcPr>
          <w:p w14:paraId="45557309"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Would know where to get outside advice or support for someone about domestic violence</w:t>
            </w:r>
            <w:r w:rsidRPr="002D0229">
              <w:rPr>
                <w:rFonts w:ascii="Montserrat" w:hAnsi="Montserrat" w:cs="Montserrat"/>
                <w:szCs w:val="18"/>
                <w:lang w:val="en-US"/>
              </w:rPr>
              <w:t>~</w:t>
            </w:r>
          </w:p>
        </w:tc>
        <w:tc>
          <w:tcPr>
            <w:tcW w:w="737" w:type="dxa"/>
          </w:tcPr>
          <w:p w14:paraId="7A2AF563"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16–17</w:t>
            </w:r>
          </w:p>
        </w:tc>
        <w:tc>
          <w:tcPr>
            <w:tcW w:w="454" w:type="dxa"/>
          </w:tcPr>
          <w:p w14:paraId="5D14BDFD"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52</w:t>
            </w:r>
          </w:p>
        </w:tc>
        <w:tc>
          <w:tcPr>
            <w:tcW w:w="1020" w:type="dxa"/>
          </w:tcPr>
          <w:p w14:paraId="71B9213E" w14:textId="5FD76325"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19.60</w:t>
            </w:r>
            <w:r w:rsidRPr="002D0229">
              <w:rPr>
                <w:rFonts w:cs="Open Sans"/>
                <w:szCs w:val="18"/>
                <w:vertAlign w:val="superscript"/>
              </w:rPr>
              <w:t>c</w:t>
            </w:r>
          </w:p>
        </w:tc>
        <w:tc>
          <w:tcPr>
            <w:tcW w:w="1191" w:type="dxa"/>
          </w:tcPr>
          <w:p w14:paraId="5401A9D7" w14:textId="24A782B4"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52.23</w:t>
            </w:r>
          </w:p>
        </w:tc>
        <w:tc>
          <w:tcPr>
            <w:tcW w:w="1190" w:type="dxa"/>
          </w:tcPr>
          <w:p w14:paraId="710F14BF" w14:textId="09533AD2"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0.00</w:t>
            </w:r>
          </w:p>
        </w:tc>
        <w:tc>
          <w:tcPr>
            <w:tcW w:w="1247" w:type="dxa"/>
          </w:tcPr>
          <w:p w14:paraId="7934CC80" w14:textId="4EBE3365"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22.82</w:t>
            </w:r>
            <w:r w:rsidRPr="002D0229">
              <w:rPr>
                <w:rFonts w:cs="Open Sans"/>
                <w:szCs w:val="18"/>
                <w:vertAlign w:val="superscript"/>
              </w:rPr>
              <w:t>c</w:t>
            </w:r>
          </w:p>
        </w:tc>
        <w:tc>
          <w:tcPr>
            <w:tcW w:w="1021" w:type="dxa"/>
          </w:tcPr>
          <w:p w14:paraId="12A0710A" w14:textId="71C68421"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5.36</w:t>
            </w:r>
            <w:r w:rsidRPr="002D0229">
              <w:rPr>
                <w:rFonts w:cs="Open Sans"/>
                <w:szCs w:val="18"/>
                <w:vertAlign w:val="superscript"/>
              </w:rPr>
              <w:t>c</w:t>
            </w:r>
          </w:p>
        </w:tc>
        <w:tc>
          <w:tcPr>
            <w:tcW w:w="964" w:type="dxa"/>
          </w:tcPr>
          <w:p w14:paraId="6DD23C99" w14:textId="46BFF072"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0.00</w:t>
            </w:r>
          </w:p>
        </w:tc>
        <w:tc>
          <w:tcPr>
            <w:tcW w:w="963" w:type="dxa"/>
          </w:tcPr>
          <w:p w14:paraId="009AE795" w14:textId="238BECA3"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71.82</w:t>
            </w:r>
          </w:p>
        </w:tc>
        <w:tc>
          <w:tcPr>
            <w:tcW w:w="1078" w:type="dxa"/>
          </w:tcPr>
          <w:p w14:paraId="5731EB94" w14:textId="18817DEC"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28.18</w:t>
            </w:r>
          </w:p>
        </w:tc>
      </w:tr>
      <w:tr w:rsidR="00345393" w:rsidRPr="002D0229" w14:paraId="27C28C22"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DB5338C" w14:textId="1F3C1C44" w:rsidR="00345393" w:rsidRPr="002D0229" w:rsidRDefault="00345393" w:rsidP="008B6D01">
            <w:pPr>
              <w:pStyle w:val="Tablebody"/>
              <w:rPr>
                <w:rFonts w:cs="Open Sans"/>
                <w:szCs w:val="18"/>
              </w:rPr>
            </w:pPr>
            <w:r w:rsidRPr="002D0229">
              <w:rPr>
                <w:rFonts w:cs="Open Sans"/>
                <w:szCs w:val="18"/>
              </w:rPr>
              <w:t>D33</w:t>
            </w:r>
          </w:p>
        </w:tc>
        <w:tc>
          <w:tcPr>
            <w:tcW w:w="4365" w:type="dxa"/>
          </w:tcPr>
          <w:p w14:paraId="6B87545A" w14:textId="7072DDB0"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Would know where to get outside advice or support for someone about domestic violence</w:t>
            </w:r>
            <w:r w:rsidRPr="002D0229">
              <w:rPr>
                <w:rFonts w:ascii="Montserrat" w:hAnsi="Montserrat" w:cs="Montserrat"/>
                <w:szCs w:val="18"/>
                <w:lang w:val="en-US"/>
              </w:rPr>
              <w:t>~</w:t>
            </w:r>
          </w:p>
        </w:tc>
        <w:tc>
          <w:tcPr>
            <w:tcW w:w="737" w:type="dxa"/>
          </w:tcPr>
          <w:p w14:paraId="41BC0060" w14:textId="01AFA82B"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18–24</w:t>
            </w:r>
          </w:p>
        </w:tc>
        <w:tc>
          <w:tcPr>
            <w:tcW w:w="454" w:type="dxa"/>
          </w:tcPr>
          <w:p w14:paraId="64672A21" w14:textId="4AD33D95"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395</w:t>
            </w:r>
          </w:p>
        </w:tc>
        <w:tc>
          <w:tcPr>
            <w:tcW w:w="1020" w:type="dxa"/>
          </w:tcPr>
          <w:p w14:paraId="64C82A39" w14:textId="24EE4D4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24.78</w:t>
            </w:r>
          </w:p>
        </w:tc>
        <w:tc>
          <w:tcPr>
            <w:tcW w:w="1191" w:type="dxa"/>
          </w:tcPr>
          <w:p w14:paraId="6E08BEAC" w14:textId="65188173"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38.10</w:t>
            </w:r>
          </w:p>
        </w:tc>
        <w:tc>
          <w:tcPr>
            <w:tcW w:w="1190" w:type="dxa"/>
          </w:tcPr>
          <w:p w14:paraId="6087B0E3" w14:textId="782B09F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0.59</w:t>
            </w:r>
            <w:r w:rsidRPr="002D0229">
              <w:rPr>
                <w:rFonts w:cs="Open Sans"/>
                <w:sz w:val="16"/>
                <w:szCs w:val="16"/>
                <w:vertAlign w:val="superscript"/>
              </w:rPr>
              <w:t>c</w:t>
            </w:r>
          </w:p>
        </w:tc>
        <w:tc>
          <w:tcPr>
            <w:tcW w:w="1247" w:type="dxa"/>
          </w:tcPr>
          <w:p w14:paraId="5099DD97" w14:textId="262B40B9"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26.88</w:t>
            </w:r>
          </w:p>
        </w:tc>
        <w:tc>
          <w:tcPr>
            <w:tcW w:w="1021" w:type="dxa"/>
          </w:tcPr>
          <w:p w14:paraId="39D6BDA0" w14:textId="645EBEF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8.90</w:t>
            </w:r>
          </w:p>
        </w:tc>
        <w:tc>
          <w:tcPr>
            <w:tcW w:w="964" w:type="dxa"/>
          </w:tcPr>
          <w:p w14:paraId="7E357FCF" w14:textId="21D0E7B1"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0.56</w:t>
            </w:r>
            <w:r w:rsidRPr="002D0229">
              <w:rPr>
                <w:rFonts w:cs="Open Sans"/>
                <w:szCs w:val="18"/>
                <w:vertAlign w:val="superscript"/>
              </w:rPr>
              <w:t>c</w:t>
            </w:r>
          </w:p>
        </w:tc>
        <w:tc>
          <w:tcPr>
            <w:tcW w:w="963" w:type="dxa"/>
          </w:tcPr>
          <w:p w14:paraId="65751C7C" w14:textId="66554299"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62.88</w:t>
            </w:r>
          </w:p>
        </w:tc>
        <w:tc>
          <w:tcPr>
            <w:tcW w:w="1078" w:type="dxa"/>
          </w:tcPr>
          <w:p w14:paraId="58D2BDA7" w14:textId="6FE8C47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35.78</w:t>
            </w:r>
          </w:p>
        </w:tc>
      </w:tr>
    </w:tbl>
    <w:p w14:paraId="61089A85" w14:textId="264C4624" w:rsidR="005F6833" w:rsidRDefault="005F6833" w:rsidP="008B6D01">
      <w:pPr>
        <w:pStyle w:val="Tablesubheading0"/>
      </w:pPr>
      <w:r w:rsidRPr="008C29F3">
        <w:rPr>
          <w:lang w:val="en-AU"/>
        </w:rPr>
        <w:t xml:space="preserve">Area of </w:t>
      </w:r>
      <w:r w:rsidRPr="005F6833">
        <w:rPr>
          <w:lang w:val="en-AU"/>
        </w:rPr>
        <w:t>knowledge</w:t>
      </w:r>
      <w:r w:rsidRPr="008C29F3">
        <w:rPr>
          <w:lang w:val="en-AU"/>
        </w:rPr>
        <w:t xml:space="preserve">: </w:t>
      </w:r>
      <w:r w:rsidRPr="002D0229">
        <w:t>Stranger vs. acquaintance rape</w:t>
      </w:r>
    </w:p>
    <w:tbl>
      <w:tblPr>
        <w:tblStyle w:val="Table-SingleHeaderRow"/>
        <w:tblW w:w="14967" w:type="dxa"/>
        <w:tblLayout w:type="fixed"/>
        <w:tblLook w:val="00A0" w:firstRow="1" w:lastRow="0" w:firstColumn="1" w:lastColumn="0" w:noHBand="0" w:noVBand="0"/>
      </w:tblPr>
      <w:tblGrid>
        <w:gridCol w:w="737"/>
        <w:gridCol w:w="4365"/>
        <w:gridCol w:w="737"/>
        <w:gridCol w:w="454"/>
        <w:gridCol w:w="1020"/>
        <w:gridCol w:w="1191"/>
        <w:gridCol w:w="1190"/>
        <w:gridCol w:w="1247"/>
        <w:gridCol w:w="1021"/>
        <w:gridCol w:w="964"/>
        <w:gridCol w:w="963"/>
        <w:gridCol w:w="1078"/>
      </w:tblGrid>
      <w:tr w:rsidR="005F6833" w:rsidRPr="002D0229" w14:paraId="3070A841" w14:textId="77777777" w:rsidTr="008B6D01">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737" w:type="dxa"/>
          </w:tcPr>
          <w:p w14:paraId="27BDC518" w14:textId="77777777" w:rsidR="005F6833" w:rsidRPr="002D0229" w:rsidRDefault="005F6833" w:rsidP="008B6D01">
            <w:pPr>
              <w:pStyle w:val="Tablebody"/>
              <w:rPr>
                <w:b w:val="0"/>
              </w:rPr>
            </w:pPr>
            <w:r w:rsidRPr="002D0229">
              <w:t>Code</w:t>
            </w:r>
          </w:p>
        </w:tc>
        <w:tc>
          <w:tcPr>
            <w:tcW w:w="4365" w:type="dxa"/>
          </w:tcPr>
          <w:p w14:paraId="363EEB0F"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Abbreviated item wording</w:t>
            </w:r>
          </w:p>
        </w:tc>
        <w:tc>
          <w:tcPr>
            <w:tcW w:w="737" w:type="dxa"/>
          </w:tcPr>
          <w:p w14:paraId="26CC60EA"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Age</w:t>
            </w:r>
          </w:p>
        </w:tc>
        <w:tc>
          <w:tcPr>
            <w:tcW w:w="454" w:type="dxa"/>
          </w:tcPr>
          <w:p w14:paraId="09AEA8E8" w14:textId="77777777" w:rsidR="005F6833" w:rsidRPr="00DB512A" w:rsidRDefault="005F6833"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020" w:type="dxa"/>
          </w:tcPr>
          <w:p w14:paraId="0C929318"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Strongly agree</w:t>
            </w:r>
          </w:p>
        </w:tc>
        <w:tc>
          <w:tcPr>
            <w:tcW w:w="1191" w:type="dxa"/>
          </w:tcPr>
          <w:p w14:paraId="6E21A5C8"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Somewhat agree</w:t>
            </w:r>
          </w:p>
        </w:tc>
        <w:tc>
          <w:tcPr>
            <w:tcW w:w="1190" w:type="dxa"/>
          </w:tcPr>
          <w:p w14:paraId="1BE1CDFD"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Neither agree nor disagree</w:t>
            </w:r>
          </w:p>
        </w:tc>
        <w:tc>
          <w:tcPr>
            <w:tcW w:w="1247" w:type="dxa"/>
          </w:tcPr>
          <w:p w14:paraId="40A81EC7"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Somewhat disagree</w:t>
            </w:r>
          </w:p>
        </w:tc>
        <w:tc>
          <w:tcPr>
            <w:tcW w:w="1021" w:type="dxa"/>
          </w:tcPr>
          <w:p w14:paraId="0CB19728"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Strongly disagree</w:t>
            </w:r>
          </w:p>
        </w:tc>
        <w:tc>
          <w:tcPr>
            <w:tcW w:w="964" w:type="dxa"/>
          </w:tcPr>
          <w:p w14:paraId="14008B5D"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Unsure</w:t>
            </w:r>
          </w:p>
        </w:tc>
        <w:tc>
          <w:tcPr>
            <w:tcW w:w="963" w:type="dxa"/>
          </w:tcPr>
          <w:p w14:paraId="73EF1A3E"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Net agree</w:t>
            </w:r>
            <w:r w:rsidRPr="002D0229">
              <w:rPr>
                <w:vertAlign w:val="superscript"/>
              </w:rPr>
              <w:t>a</w:t>
            </w:r>
          </w:p>
        </w:tc>
        <w:tc>
          <w:tcPr>
            <w:tcW w:w="1078" w:type="dxa"/>
          </w:tcPr>
          <w:p w14:paraId="36CEA3DA" w14:textId="77777777" w:rsidR="005F6833" w:rsidRPr="002D0229" w:rsidRDefault="005F6833"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2D0229">
              <w:t>% Net disagree</w:t>
            </w:r>
            <w:r w:rsidRPr="002D0229">
              <w:rPr>
                <w:vertAlign w:val="superscript"/>
              </w:rPr>
              <w:t>b</w:t>
            </w:r>
          </w:p>
        </w:tc>
      </w:tr>
      <w:tr w:rsidR="00CD0893" w:rsidRPr="002D0229" w14:paraId="33EAD7FB"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5052525" w14:textId="22CD869A" w:rsidR="00CD0893" w:rsidRPr="002D0229" w:rsidRDefault="00CD0893" w:rsidP="008B6D01">
            <w:pPr>
              <w:pStyle w:val="Tablebody"/>
              <w:rPr>
                <w:rFonts w:cs="Open Sans"/>
                <w:szCs w:val="18"/>
              </w:rPr>
            </w:pPr>
            <w:r w:rsidRPr="002D0229">
              <w:rPr>
                <w:rFonts w:cs="Open Sans"/>
                <w:szCs w:val="18"/>
              </w:rPr>
              <w:t>S16</w:t>
            </w:r>
          </w:p>
        </w:tc>
        <w:tc>
          <w:tcPr>
            <w:tcW w:w="4365" w:type="dxa"/>
          </w:tcPr>
          <w:p w14:paraId="116EEF3C"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Women are more likely to be raped by someone they know than by a stranger</w:t>
            </w:r>
            <w:r w:rsidRPr="002D0229">
              <w:rPr>
                <w:rFonts w:ascii="Montserrat" w:hAnsi="Montserrat" w:cs="Montserrat"/>
                <w:szCs w:val="18"/>
                <w:lang w:val="en-US"/>
              </w:rPr>
              <w:t>~</w:t>
            </w:r>
          </w:p>
        </w:tc>
        <w:tc>
          <w:tcPr>
            <w:tcW w:w="737" w:type="dxa"/>
          </w:tcPr>
          <w:p w14:paraId="67DC8EC3"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16–17</w:t>
            </w:r>
          </w:p>
        </w:tc>
        <w:tc>
          <w:tcPr>
            <w:tcW w:w="454" w:type="dxa"/>
          </w:tcPr>
          <w:p w14:paraId="135DB100" w14:textId="7777777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52</w:t>
            </w:r>
          </w:p>
        </w:tc>
        <w:tc>
          <w:tcPr>
            <w:tcW w:w="1020" w:type="dxa"/>
          </w:tcPr>
          <w:p w14:paraId="40405D5B" w14:textId="31EBF955"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36.09</w:t>
            </w:r>
          </w:p>
        </w:tc>
        <w:tc>
          <w:tcPr>
            <w:tcW w:w="1191" w:type="dxa"/>
          </w:tcPr>
          <w:p w14:paraId="3B2668B6" w14:textId="5D58C956"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28.43</w:t>
            </w:r>
          </w:p>
        </w:tc>
        <w:tc>
          <w:tcPr>
            <w:tcW w:w="1190" w:type="dxa"/>
          </w:tcPr>
          <w:p w14:paraId="516B40C5" w14:textId="68FD0F27"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1.62</w:t>
            </w:r>
            <w:r w:rsidRPr="002D0229">
              <w:rPr>
                <w:rFonts w:cs="Open Sans"/>
                <w:sz w:val="16"/>
                <w:szCs w:val="16"/>
                <w:vertAlign w:val="superscript"/>
              </w:rPr>
              <w:t>c</w:t>
            </w:r>
          </w:p>
        </w:tc>
        <w:tc>
          <w:tcPr>
            <w:tcW w:w="1247" w:type="dxa"/>
          </w:tcPr>
          <w:p w14:paraId="1DD9B86C" w14:textId="6EE2CD85"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lang w:val="en-US"/>
              </w:rPr>
              <w:t>25.81</w:t>
            </w:r>
            <w:r w:rsidRPr="002D0229">
              <w:rPr>
                <w:rFonts w:cs="Open Sans"/>
                <w:szCs w:val="18"/>
              </w:rPr>
              <w:t>*</w:t>
            </w:r>
            <w:r w:rsidRPr="002D0229">
              <w:rPr>
                <w:rFonts w:cs="Open Sans"/>
                <w:szCs w:val="18"/>
                <w:vertAlign w:val="superscript"/>
              </w:rPr>
              <w:t xml:space="preserve"> c</w:t>
            </w:r>
          </w:p>
        </w:tc>
        <w:tc>
          <w:tcPr>
            <w:tcW w:w="1021" w:type="dxa"/>
          </w:tcPr>
          <w:p w14:paraId="365FC2BC" w14:textId="6FB787D4"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4.40</w:t>
            </w:r>
            <w:r w:rsidRPr="002D0229">
              <w:rPr>
                <w:rFonts w:cs="Open Sans"/>
                <w:szCs w:val="18"/>
                <w:vertAlign w:val="superscript"/>
              </w:rPr>
              <w:t>c</w:t>
            </w:r>
          </w:p>
        </w:tc>
        <w:tc>
          <w:tcPr>
            <w:tcW w:w="964" w:type="dxa"/>
          </w:tcPr>
          <w:p w14:paraId="2EABAE64" w14:textId="2CC07E3C"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2.05</w:t>
            </w:r>
            <w:r w:rsidRPr="002D0229">
              <w:rPr>
                <w:rFonts w:cs="Open Sans"/>
                <w:szCs w:val="18"/>
                <w:vertAlign w:val="superscript"/>
              </w:rPr>
              <w:t>c</w:t>
            </w:r>
          </w:p>
        </w:tc>
        <w:tc>
          <w:tcPr>
            <w:tcW w:w="963" w:type="dxa"/>
          </w:tcPr>
          <w:p w14:paraId="4BB1653E" w14:textId="73ED1555"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64.51</w:t>
            </w:r>
          </w:p>
        </w:tc>
        <w:tc>
          <w:tcPr>
            <w:tcW w:w="1078" w:type="dxa"/>
          </w:tcPr>
          <w:p w14:paraId="7BEFA71C" w14:textId="1CE4D8FC" w:rsidR="00CD0893" w:rsidRPr="002D0229" w:rsidRDefault="00CD08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30.21</w:t>
            </w:r>
          </w:p>
        </w:tc>
      </w:tr>
      <w:tr w:rsidR="00345393" w:rsidRPr="002D0229" w14:paraId="1E1CC26A"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28A21CB" w14:textId="0A2E9727" w:rsidR="00345393" w:rsidRPr="002D0229" w:rsidRDefault="00345393" w:rsidP="008B6D01">
            <w:pPr>
              <w:pStyle w:val="Tablebody"/>
              <w:rPr>
                <w:rFonts w:cs="Open Sans"/>
                <w:szCs w:val="18"/>
              </w:rPr>
            </w:pPr>
            <w:r w:rsidRPr="002D0229">
              <w:rPr>
                <w:rFonts w:cs="Open Sans"/>
                <w:szCs w:val="18"/>
              </w:rPr>
              <w:t>S16</w:t>
            </w:r>
          </w:p>
        </w:tc>
        <w:tc>
          <w:tcPr>
            <w:tcW w:w="4365" w:type="dxa"/>
          </w:tcPr>
          <w:p w14:paraId="483F4DE7" w14:textId="740FEAC6"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Women are more likely to be raped by someone they know than by a stranger</w:t>
            </w:r>
            <w:r w:rsidRPr="002D0229">
              <w:rPr>
                <w:rFonts w:ascii="Montserrat" w:hAnsi="Montserrat" w:cs="Montserrat"/>
                <w:szCs w:val="18"/>
                <w:lang w:val="en-US"/>
              </w:rPr>
              <w:t>~</w:t>
            </w:r>
          </w:p>
        </w:tc>
        <w:tc>
          <w:tcPr>
            <w:tcW w:w="737" w:type="dxa"/>
          </w:tcPr>
          <w:p w14:paraId="3F9C69A4" w14:textId="21AE92B6"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18–24</w:t>
            </w:r>
          </w:p>
        </w:tc>
        <w:tc>
          <w:tcPr>
            <w:tcW w:w="454" w:type="dxa"/>
          </w:tcPr>
          <w:p w14:paraId="6E8D806F" w14:textId="413F0F6F"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345</w:t>
            </w:r>
          </w:p>
        </w:tc>
        <w:tc>
          <w:tcPr>
            <w:tcW w:w="1020" w:type="dxa"/>
          </w:tcPr>
          <w:p w14:paraId="45850395" w14:textId="2B3FDB75"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28.51</w:t>
            </w:r>
          </w:p>
        </w:tc>
        <w:tc>
          <w:tcPr>
            <w:tcW w:w="1191" w:type="dxa"/>
          </w:tcPr>
          <w:p w14:paraId="1AE73C47" w14:textId="4BD2F1F1"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46.60</w:t>
            </w:r>
          </w:p>
        </w:tc>
        <w:tc>
          <w:tcPr>
            <w:tcW w:w="1190" w:type="dxa"/>
          </w:tcPr>
          <w:p w14:paraId="34003EC5" w14:textId="76988D9A"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1.99</w:t>
            </w:r>
            <w:r w:rsidRPr="002D0229">
              <w:rPr>
                <w:rFonts w:cs="Open Sans"/>
                <w:sz w:val="16"/>
                <w:szCs w:val="16"/>
                <w:vertAlign w:val="superscript"/>
              </w:rPr>
              <w:t>c</w:t>
            </w:r>
          </w:p>
        </w:tc>
        <w:tc>
          <w:tcPr>
            <w:tcW w:w="1247" w:type="dxa"/>
          </w:tcPr>
          <w:p w14:paraId="0874D048" w14:textId="557D5218"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2D0229">
              <w:rPr>
                <w:rFonts w:cs="Open Sans"/>
                <w:szCs w:val="18"/>
              </w:rPr>
              <w:t>8.67*</w:t>
            </w:r>
          </w:p>
        </w:tc>
        <w:tc>
          <w:tcPr>
            <w:tcW w:w="1021" w:type="dxa"/>
          </w:tcPr>
          <w:p w14:paraId="0466FCED" w14:textId="43C33404"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6.63</w:t>
            </w:r>
          </w:p>
        </w:tc>
        <w:tc>
          <w:tcPr>
            <w:tcW w:w="964" w:type="dxa"/>
          </w:tcPr>
          <w:p w14:paraId="7E01CE5C" w14:textId="32AF5A5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7.38</w:t>
            </w:r>
          </w:p>
        </w:tc>
        <w:tc>
          <w:tcPr>
            <w:tcW w:w="963" w:type="dxa"/>
          </w:tcPr>
          <w:p w14:paraId="26569D74" w14:textId="0C2A849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75.11</w:t>
            </w:r>
          </w:p>
        </w:tc>
        <w:tc>
          <w:tcPr>
            <w:tcW w:w="1078" w:type="dxa"/>
          </w:tcPr>
          <w:p w14:paraId="63E332B2" w14:textId="562E6B4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15.29</w:t>
            </w:r>
          </w:p>
        </w:tc>
      </w:tr>
    </w:tbl>
    <w:p w14:paraId="125067B8" w14:textId="77777777" w:rsidR="002D0229" w:rsidRPr="00567D6D" w:rsidRDefault="002D0229" w:rsidP="0017558F">
      <w:pPr>
        <w:pStyle w:val="datatablenote"/>
      </w:pPr>
      <w:r w:rsidRPr="00ED4588">
        <w:rPr>
          <w:b/>
        </w:rPr>
        <w:t>Note</w:t>
      </w:r>
      <w:r w:rsidRPr="00567D6D">
        <w:t>: Numbers in bold reflect the significantly higher value in the comparison.</w:t>
      </w:r>
    </w:p>
    <w:p w14:paraId="31A7C64D" w14:textId="77777777" w:rsidR="002D0229" w:rsidRPr="00567D6D" w:rsidRDefault="002D0229" w:rsidP="0017558F">
      <w:pPr>
        <w:pStyle w:val="datatablenote"/>
      </w:pPr>
      <w:r w:rsidRPr="00567D6D">
        <w:t xml:space="preserve">Percentages may not add to 100 as the “unanswered” category is not shown in the table. </w:t>
      </w:r>
    </w:p>
    <w:p w14:paraId="0C6F4441" w14:textId="77777777" w:rsidR="002D0229" w:rsidRPr="00567D6D" w:rsidRDefault="002D0229" w:rsidP="0017558F">
      <w:pPr>
        <w:pStyle w:val="datatablenote"/>
      </w:pPr>
      <w:r w:rsidRPr="00567D6D">
        <w:t>a “Net agree” refers to answering “agree” either “strongly” or “somewhat”.</w:t>
      </w:r>
    </w:p>
    <w:p w14:paraId="239A21A5" w14:textId="77777777" w:rsidR="002D0229" w:rsidRPr="00567D6D" w:rsidRDefault="002D0229" w:rsidP="0017558F">
      <w:pPr>
        <w:pStyle w:val="datatablenote"/>
      </w:pPr>
      <w:r w:rsidRPr="00567D6D">
        <w:t>b “Net disagree” refers to answering “disagree” either “strongly” or “somewhat”.</w:t>
      </w:r>
    </w:p>
    <w:p w14:paraId="6B097AF9" w14:textId="77777777" w:rsidR="002D0229" w:rsidRPr="00567D6D" w:rsidRDefault="002D0229" w:rsidP="0017558F">
      <w:pPr>
        <w:pStyle w:val="datatablenote"/>
      </w:pPr>
      <w:r w:rsidRPr="00567D6D">
        <w:t>c This result should be interpreted with caution because it has a relative standard error &gt;25%.</w:t>
      </w:r>
    </w:p>
    <w:p w14:paraId="65BF9FF6" w14:textId="77777777" w:rsidR="002D0229" w:rsidRPr="00567D6D" w:rsidRDefault="002D0229" w:rsidP="0017558F">
      <w:pPr>
        <w:pStyle w:val="datatablenote"/>
      </w:pPr>
      <w:r w:rsidRPr="00567D6D">
        <w:t>* Statistically significant difference between 16- to 17-year-olds and 18- to 24-year-olds.</w:t>
      </w:r>
    </w:p>
    <w:p w14:paraId="036883CD" w14:textId="77777777" w:rsidR="002D0229" w:rsidRPr="00567D6D" w:rsidRDefault="002D0229" w:rsidP="0017558F">
      <w:pPr>
        <w:pStyle w:val="datatablenote"/>
      </w:pPr>
      <w:r w:rsidRPr="00567D6D">
        <w:rPr>
          <w:rFonts w:cs="Montserrat"/>
        </w:rPr>
        <w:t>~</w:t>
      </w:r>
      <w:r w:rsidRPr="00567D6D">
        <w:t xml:space="preserve"> Asked of one quarter of the sample.</w:t>
      </w:r>
    </w:p>
    <w:p w14:paraId="12B795CC" w14:textId="41B17772" w:rsidR="002D0229" w:rsidRDefault="00B665D9" w:rsidP="008B6D01">
      <w:pPr>
        <w:pStyle w:val="TableheadingTablesandfigures"/>
        <w:keepLines/>
      </w:pPr>
      <w:bookmarkStart w:id="258" w:name="_Toc187402245"/>
      <w:r>
        <w:t xml:space="preserve">Table </w:t>
      </w:r>
      <w:r w:rsidR="004A7ED7">
        <w:fldChar w:fldCharType="begin"/>
      </w:r>
      <w:r w:rsidR="004A7ED7">
        <w:instrText xml:space="preserve"> STYLEREF 1 \s </w:instrText>
      </w:r>
      <w:r w:rsidR="004A7ED7">
        <w:fldChar w:fldCharType="separate"/>
      </w:r>
      <w:r w:rsidR="004A7ED7">
        <w:rPr>
          <w:noProof/>
        </w:rPr>
        <w:t>13</w:t>
      </w:r>
      <w:r w:rsidR="004A7ED7">
        <w:fldChar w:fldCharType="end"/>
      </w:r>
      <w:r w:rsidR="003B15D6">
        <w:t>-</w:t>
      </w:r>
      <w:r w:rsidR="004A7ED7">
        <w:fldChar w:fldCharType="begin"/>
      </w:r>
      <w:r w:rsidR="004A7ED7">
        <w:instrText xml:space="preserve"> SEQ Table \* ARABIC \s 1 </w:instrText>
      </w:r>
      <w:r w:rsidR="004A7ED7">
        <w:fldChar w:fldCharType="separate"/>
      </w:r>
      <w:r w:rsidR="004A7ED7">
        <w:rPr>
          <w:noProof/>
        </w:rPr>
        <w:t>4</w:t>
      </w:r>
      <w:r w:rsidR="004A7ED7">
        <w:fldChar w:fldCharType="end"/>
      </w:r>
      <w:r w:rsidR="002D0229" w:rsidRPr="002D0229">
        <w:t xml:space="preserve">: </w:t>
      </w:r>
      <w:r w:rsidR="002D0229">
        <w:tab/>
      </w:r>
      <w:r w:rsidR="002D0229" w:rsidRPr="002D0229">
        <w:t>Criminal offence understanding items by age, youth groups (not part of any scale), 2021</w:t>
      </w:r>
      <w:bookmarkEnd w:id="258"/>
    </w:p>
    <w:p w14:paraId="6AD98751" w14:textId="5A687B04" w:rsidR="00E358DE" w:rsidRDefault="00E358DE" w:rsidP="008B6D01">
      <w:pPr>
        <w:pStyle w:val="Tablesubheading0"/>
      </w:pPr>
      <w:r w:rsidRPr="002D0229">
        <w:t>To the best of your knowledge, are the following behaviours criminal offences in Australia NOW?</w:t>
      </w:r>
      <w:r w:rsidR="001B014A">
        <w:br/>
      </w:r>
      <w:r w:rsidR="001B014A" w:rsidRPr="00E06F6D">
        <w:rPr>
          <w:lang w:val="en-AU"/>
        </w:rPr>
        <w:t xml:space="preserve">Area of </w:t>
      </w:r>
      <w:r w:rsidR="001B014A" w:rsidRPr="005F6833">
        <w:rPr>
          <w:lang w:val="en-AU"/>
        </w:rPr>
        <w:t>knowledge</w:t>
      </w:r>
      <w:r w:rsidR="001B014A" w:rsidRPr="00E06F6D">
        <w:rPr>
          <w:lang w:val="en-AU"/>
        </w:rPr>
        <w:t>:</w:t>
      </w:r>
      <w:r w:rsidR="001E74B6">
        <w:t xml:space="preserve"> </w:t>
      </w:r>
      <w:r w:rsidR="001B014A" w:rsidRPr="002D0229">
        <w:t>Knowledge of criminal offences</w:t>
      </w:r>
    </w:p>
    <w:tbl>
      <w:tblPr>
        <w:tblStyle w:val="Table-SingleHeaderRow"/>
        <w:tblW w:w="0" w:type="auto"/>
        <w:tblLayout w:type="fixed"/>
        <w:tblLook w:val="00A0" w:firstRow="1" w:lastRow="0" w:firstColumn="1" w:lastColumn="0" w:noHBand="0" w:noVBand="0"/>
      </w:tblPr>
      <w:tblGrid>
        <w:gridCol w:w="737"/>
        <w:gridCol w:w="6293"/>
        <w:gridCol w:w="737"/>
        <w:gridCol w:w="566"/>
        <w:gridCol w:w="1248"/>
        <w:gridCol w:w="1077"/>
        <w:gridCol w:w="1134"/>
      </w:tblGrid>
      <w:tr w:rsidR="001B014A" w:rsidRPr="002D0229" w14:paraId="5B4B98B6" w14:textId="77777777" w:rsidTr="008B6D01">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737" w:type="dxa"/>
          </w:tcPr>
          <w:p w14:paraId="4DEAA6E5" w14:textId="77777777" w:rsidR="001B014A" w:rsidRPr="002D0229" w:rsidRDefault="001B014A" w:rsidP="008B6D01">
            <w:pPr>
              <w:pStyle w:val="Tablebody"/>
              <w:rPr>
                <w:b w:val="0"/>
                <w:lang w:val="en-GB"/>
              </w:rPr>
            </w:pPr>
            <w:r w:rsidRPr="002D0229">
              <w:t>Code</w:t>
            </w:r>
          </w:p>
        </w:tc>
        <w:tc>
          <w:tcPr>
            <w:tcW w:w="6293" w:type="dxa"/>
          </w:tcPr>
          <w:p w14:paraId="3E11785B" w14:textId="77777777" w:rsidR="001B014A" w:rsidRPr="002D0229"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Abbreviated item wording</w:t>
            </w:r>
          </w:p>
        </w:tc>
        <w:tc>
          <w:tcPr>
            <w:tcW w:w="737" w:type="dxa"/>
          </w:tcPr>
          <w:p w14:paraId="3F431ABE" w14:textId="77777777" w:rsidR="001B014A" w:rsidRPr="002D0229"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Age</w:t>
            </w:r>
          </w:p>
        </w:tc>
        <w:tc>
          <w:tcPr>
            <w:tcW w:w="566" w:type="dxa"/>
          </w:tcPr>
          <w:p w14:paraId="0C65C325" w14:textId="77777777" w:rsidR="001B014A" w:rsidRPr="00DB512A" w:rsidRDefault="001B014A"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248" w:type="dxa"/>
          </w:tcPr>
          <w:p w14:paraId="36FC06EF" w14:textId="77777777" w:rsidR="001B014A" w:rsidRPr="002D0229"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Yes</w:t>
            </w:r>
          </w:p>
        </w:tc>
        <w:tc>
          <w:tcPr>
            <w:tcW w:w="1077" w:type="dxa"/>
          </w:tcPr>
          <w:p w14:paraId="7DA2C3E8" w14:textId="77777777" w:rsidR="001B014A" w:rsidRPr="002D0229"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No</w:t>
            </w:r>
          </w:p>
        </w:tc>
        <w:tc>
          <w:tcPr>
            <w:tcW w:w="1134" w:type="dxa"/>
          </w:tcPr>
          <w:p w14:paraId="68428740" w14:textId="77777777" w:rsidR="001B014A" w:rsidRPr="002D0229"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2D0229">
              <w:t>% Unsure</w:t>
            </w:r>
          </w:p>
        </w:tc>
      </w:tr>
      <w:tr w:rsidR="00DD2AAD" w:rsidRPr="002D0229" w14:paraId="62E00323" w14:textId="77777777" w:rsidTr="008B6D01">
        <w:trPr>
          <w:trHeight w:val="419"/>
        </w:trPr>
        <w:tc>
          <w:tcPr>
            <w:cnfStyle w:val="001000000000" w:firstRow="0" w:lastRow="0" w:firstColumn="1" w:lastColumn="0" w:oddVBand="0" w:evenVBand="0" w:oddHBand="0" w:evenHBand="0" w:firstRowFirstColumn="0" w:firstRowLastColumn="0" w:lastRowFirstColumn="0" w:lastRowLastColumn="0"/>
            <w:tcW w:w="737" w:type="dxa"/>
          </w:tcPr>
          <w:p w14:paraId="76DEFA72" w14:textId="77777777" w:rsidR="00DD2AAD" w:rsidRPr="002D0229" w:rsidRDefault="00DD2AAD" w:rsidP="008B6D01">
            <w:pPr>
              <w:pStyle w:val="Tablebody"/>
              <w:rPr>
                <w:rFonts w:cs="Open Sans"/>
                <w:szCs w:val="18"/>
                <w:lang w:val="en-GB"/>
              </w:rPr>
            </w:pPr>
            <w:r w:rsidRPr="002D0229">
              <w:rPr>
                <w:rFonts w:cs="Open Sans"/>
                <w:szCs w:val="18"/>
              </w:rPr>
              <w:t>S26</w:t>
            </w:r>
          </w:p>
        </w:tc>
        <w:tc>
          <w:tcPr>
            <w:tcW w:w="6293" w:type="dxa"/>
          </w:tcPr>
          <w:p w14:paraId="633AE1B2" w14:textId="75BB370C"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lang w:val="en-US"/>
              </w:rPr>
              <w:t>Is it a criminal offence for a man to have sex</w:t>
            </w:r>
            <w:r>
              <w:rPr>
                <w:rFonts w:cs="Open Sans"/>
                <w:szCs w:val="18"/>
                <w:lang w:val="en-US"/>
              </w:rPr>
              <w:t xml:space="preserve"> </w:t>
            </w:r>
            <w:r w:rsidRPr="002D0229">
              <w:rPr>
                <w:rFonts w:cs="Open Sans"/>
                <w:szCs w:val="18"/>
                <w:lang w:val="en-US"/>
              </w:rPr>
              <w:t>with his wife without her consent?</w:t>
            </w:r>
            <w:r w:rsidRPr="002D0229">
              <w:rPr>
                <w:rFonts w:ascii="Montserrat" w:hAnsi="Montserrat" w:cs="Montserrat"/>
                <w:szCs w:val="18"/>
                <w:lang w:val="en-US"/>
              </w:rPr>
              <w:t>~</w:t>
            </w:r>
          </w:p>
        </w:tc>
        <w:tc>
          <w:tcPr>
            <w:tcW w:w="737" w:type="dxa"/>
          </w:tcPr>
          <w:p w14:paraId="64F15449" w14:textId="77777777"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16–17</w:t>
            </w:r>
          </w:p>
        </w:tc>
        <w:tc>
          <w:tcPr>
            <w:tcW w:w="566" w:type="dxa"/>
          </w:tcPr>
          <w:p w14:paraId="193B6092" w14:textId="77777777"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60</w:t>
            </w:r>
          </w:p>
        </w:tc>
        <w:tc>
          <w:tcPr>
            <w:tcW w:w="1248" w:type="dxa"/>
          </w:tcPr>
          <w:p w14:paraId="5DB9828A" w14:textId="20C5ABE2"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85.19</w:t>
            </w:r>
          </w:p>
        </w:tc>
        <w:tc>
          <w:tcPr>
            <w:tcW w:w="1077" w:type="dxa"/>
          </w:tcPr>
          <w:p w14:paraId="7A72BA78" w14:textId="46E4C6B8"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10.42</w:t>
            </w:r>
            <w:r w:rsidRPr="002D0229">
              <w:rPr>
                <w:rFonts w:cs="Open Sans"/>
                <w:szCs w:val="18"/>
                <w:vertAlign w:val="superscript"/>
              </w:rPr>
              <w:t>a</w:t>
            </w:r>
          </w:p>
        </w:tc>
        <w:tc>
          <w:tcPr>
            <w:tcW w:w="1134" w:type="dxa"/>
          </w:tcPr>
          <w:p w14:paraId="2CC6D4D7" w14:textId="24F63D0F" w:rsidR="00DD2AAD" w:rsidRPr="002D0229"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4.39</w:t>
            </w:r>
            <w:r w:rsidRPr="002D0229">
              <w:rPr>
                <w:rFonts w:cs="Open Sans"/>
                <w:szCs w:val="18"/>
                <w:vertAlign w:val="superscript"/>
              </w:rPr>
              <w:t>a</w:t>
            </w:r>
          </w:p>
        </w:tc>
      </w:tr>
      <w:tr w:rsidR="00345393" w:rsidRPr="002D0229" w14:paraId="2FB617DB" w14:textId="77777777" w:rsidTr="008B6D01">
        <w:trPr>
          <w:trHeight w:val="419"/>
        </w:trPr>
        <w:tc>
          <w:tcPr>
            <w:cnfStyle w:val="001000000000" w:firstRow="0" w:lastRow="0" w:firstColumn="1" w:lastColumn="0" w:oddVBand="0" w:evenVBand="0" w:oddHBand="0" w:evenHBand="0" w:firstRowFirstColumn="0" w:firstRowLastColumn="0" w:lastRowFirstColumn="0" w:lastRowLastColumn="0"/>
            <w:tcW w:w="737" w:type="dxa"/>
          </w:tcPr>
          <w:p w14:paraId="5D2B2667" w14:textId="7BA20C72" w:rsidR="00345393" w:rsidRPr="002D0229" w:rsidRDefault="00345393" w:rsidP="008B6D01">
            <w:pPr>
              <w:pStyle w:val="Tablebody"/>
              <w:rPr>
                <w:rFonts w:cs="Open Sans"/>
                <w:szCs w:val="18"/>
              </w:rPr>
            </w:pPr>
            <w:r w:rsidRPr="002D0229">
              <w:rPr>
                <w:rFonts w:cs="Open Sans"/>
                <w:szCs w:val="18"/>
              </w:rPr>
              <w:t>S26</w:t>
            </w:r>
          </w:p>
        </w:tc>
        <w:tc>
          <w:tcPr>
            <w:tcW w:w="6293" w:type="dxa"/>
          </w:tcPr>
          <w:p w14:paraId="5B6D2BA3" w14:textId="0177D179"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2D0229">
              <w:rPr>
                <w:rFonts w:cs="Open Sans"/>
                <w:szCs w:val="18"/>
                <w:lang w:val="en-US"/>
              </w:rPr>
              <w:t>Is it a criminal offence for a man to have sex</w:t>
            </w:r>
            <w:r>
              <w:rPr>
                <w:rFonts w:cs="Open Sans"/>
                <w:szCs w:val="18"/>
                <w:lang w:val="en-US"/>
              </w:rPr>
              <w:t xml:space="preserve"> </w:t>
            </w:r>
            <w:r w:rsidRPr="002D0229">
              <w:rPr>
                <w:rFonts w:cs="Open Sans"/>
                <w:szCs w:val="18"/>
                <w:lang w:val="en-US"/>
              </w:rPr>
              <w:t>with his wife without her consent?</w:t>
            </w:r>
            <w:r w:rsidRPr="002D0229">
              <w:rPr>
                <w:rFonts w:ascii="Montserrat" w:hAnsi="Montserrat" w:cs="Montserrat"/>
                <w:szCs w:val="18"/>
                <w:lang w:val="en-US"/>
              </w:rPr>
              <w:t>~</w:t>
            </w:r>
          </w:p>
        </w:tc>
        <w:tc>
          <w:tcPr>
            <w:tcW w:w="737" w:type="dxa"/>
          </w:tcPr>
          <w:p w14:paraId="062FED7A" w14:textId="6CABB94A"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18–24</w:t>
            </w:r>
          </w:p>
        </w:tc>
        <w:tc>
          <w:tcPr>
            <w:tcW w:w="566" w:type="dxa"/>
          </w:tcPr>
          <w:p w14:paraId="77B60BF4" w14:textId="12F03DC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383</w:t>
            </w:r>
          </w:p>
        </w:tc>
        <w:tc>
          <w:tcPr>
            <w:tcW w:w="1248" w:type="dxa"/>
          </w:tcPr>
          <w:p w14:paraId="1DF5770B" w14:textId="257EBDE8"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83.31</w:t>
            </w:r>
          </w:p>
        </w:tc>
        <w:tc>
          <w:tcPr>
            <w:tcW w:w="1077" w:type="dxa"/>
          </w:tcPr>
          <w:p w14:paraId="6CE4ADF2" w14:textId="0A48331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10.06</w:t>
            </w:r>
          </w:p>
        </w:tc>
        <w:tc>
          <w:tcPr>
            <w:tcW w:w="1134" w:type="dxa"/>
          </w:tcPr>
          <w:p w14:paraId="1BF20BA9" w14:textId="0EDDC478"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6.63</w:t>
            </w:r>
          </w:p>
        </w:tc>
      </w:tr>
      <w:tr w:rsidR="00345393" w:rsidRPr="002D0229" w14:paraId="247E57B5"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2CFF432" w14:textId="77777777" w:rsidR="00345393" w:rsidRPr="002D0229" w:rsidRDefault="00345393" w:rsidP="008B6D01">
            <w:pPr>
              <w:pStyle w:val="Tablebody"/>
              <w:rPr>
                <w:rFonts w:cs="Open Sans"/>
                <w:szCs w:val="18"/>
                <w:lang w:val="en-GB"/>
              </w:rPr>
            </w:pPr>
            <w:r w:rsidRPr="002D0229">
              <w:rPr>
                <w:rFonts w:cs="Open Sans"/>
                <w:szCs w:val="18"/>
              </w:rPr>
              <w:lastRenderedPageBreak/>
              <w:t>S27</w:t>
            </w:r>
          </w:p>
        </w:tc>
        <w:tc>
          <w:tcPr>
            <w:tcW w:w="6293" w:type="dxa"/>
          </w:tcPr>
          <w:p w14:paraId="1ED7DA5D" w14:textId="7777777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lang w:val="en-US"/>
              </w:rPr>
              <w:t>Is it a criminal offence to post or share a sexual picture of an ex-partner on social media without their consent?</w:t>
            </w:r>
            <w:r w:rsidRPr="002D0229">
              <w:rPr>
                <w:rFonts w:ascii="Montserrat" w:hAnsi="Montserrat" w:cs="Montserrat"/>
                <w:szCs w:val="18"/>
                <w:lang w:val="en-US"/>
              </w:rPr>
              <w:t>~</w:t>
            </w:r>
          </w:p>
        </w:tc>
        <w:tc>
          <w:tcPr>
            <w:tcW w:w="737" w:type="dxa"/>
          </w:tcPr>
          <w:p w14:paraId="59E0DE1A" w14:textId="7777777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16–17</w:t>
            </w:r>
          </w:p>
        </w:tc>
        <w:tc>
          <w:tcPr>
            <w:tcW w:w="566" w:type="dxa"/>
          </w:tcPr>
          <w:p w14:paraId="22B56DC1" w14:textId="7777777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60</w:t>
            </w:r>
          </w:p>
        </w:tc>
        <w:tc>
          <w:tcPr>
            <w:tcW w:w="1248" w:type="dxa"/>
          </w:tcPr>
          <w:p w14:paraId="2D93B5D6" w14:textId="6CABDF5F"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96.11</w:t>
            </w:r>
          </w:p>
        </w:tc>
        <w:tc>
          <w:tcPr>
            <w:tcW w:w="1077" w:type="dxa"/>
          </w:tcPr>
          <w:p w14:paraId="04CB6EFF" w14:textId="51A85643"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2D0229">
              <w:rPr>
                <w:rFonts w:cs="Open Sans"/>
                <w:szCs w:val="18"/>
              </w:rPr>
              <w:t>3.89</w:t>
            </w:r>
            <w:r w:rsidRPr="002D0229">
              <w:rPr>
                <w:rFonts w:cs="Open Sans"/>
                <w:szCs w:val="18"/>
                <w:vertAlign w:val="superscript"/>
              </w:rPr>
              <w:t>a</w:t>
            </w:r>
          </w:p>
        </w:tc>
        <w:tc>
          <w:tcPr>
            <w:tcW w:w="1134" w:type="dxa"/>
          </w:tcPr>
          <w:p w14:paraId="10EB0DD5" w14:textId="479CE934"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2D0229">
              <w:rPr>
                <w:rFonts w:cs="Open Sans"/>
                <w:szCs w:val="18"/>
              </w:rPr>
              <w:t>0.00</w:t>
            </w:r>
          </w:p>
        </w:tc>
      </w:tr>
      <w:tr w:rsidR="00345393" w:rsidRPr="002D0229" w14:paraId="1BB6A485"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F7D500F" w14:textId="139E1F4A" w:rsidR="00345393" w:rsidRPr="002D0229" w:rsidRDefault="00345393" w:rsidP="008B6D01">
            <w:pPr>
              <w:pStyle w:val="Tablebody"/>
              <w:rPr>
                <w:rFonts w:cs="Open Sans"/>
                <w:szCs w:val="18"/>
              </w:rPr>
            </w:pPr>
            <w:r w:rsidRPr="002D0229">
              <w:rPr>
                <w:rFonts w:cs="Open Sans"/>
                <w:szCs w:val="18"/>
              </w:rPr>
              <w:t>S27</w:t>
            </w:r>
          </w:p>
        </w:tc>
        <w:tc>
          <w:tcPr>
            <w:tcW w:w="6293" w:type="dxa"/>
          </w:tcPr>
          <w:p w14:paraId="75750CD0" w14:textId="1D52512E"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2D0229">
              <w:rPr>
                <w:rFonts w:cs="Open Sans"/>
                <w:szCs w:val="18"/>
                <w:lang w:val="en-US"/>
              </w:rPr>
              <w:t>Is it a criminal offence to post or share a sexual picture of an ex-partner on social media without their consent?</w:t>
            </w:r>
            <w:r w:rsidRPr="002D0229">
              <w:rPr>
                <w:rFonts w:ascii="Montserrat" w:hAnsi="Montserrat" w:cs="Montserrat"/>
                <w:szCs w:val="18"/>
                <w:lang w:val="en-US"/>
              </w:rPr>
              <w:t>~</w:t>
            </w:r>
          </w:p>
        </w:tc>
        <w:tc>
          <w:tcPr>
            <w:tcW w:w="737" w:type="dxa"/>
          </w:tcPr>
          <w:p w14:paraId="26797EB3" w14:textId="7A010AA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18–24</w:t>
            </w:r>
          </w:p>
        </w:tc>
        <w:tc>
          <w:tcPr>
            <w:tcW w:w="566" w:type="dxa"/>
          </w:tcPr>
          <w:p w14:paraId="1DFE6BAD" w14:textId="1502AAAC"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383</w:t>
            </w:r>
          </w:p>
        </w:tc>
        <w:tc>
          <w:tcPr>
            <w:tcW w:w="1248" w:type="dxa"/>
          </w:tcPr>
          <w:p w14:paraId="44758CBC" w14:textId="225A41A8"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92.35</w:t>
            </w:r>
          </w:p>
        </w:tc>
        <w:tc>
          <w:tcPr>
            <w:tcW w:w="1077" w:type="dxa"/>
          </w:tcPr>
          <w:p w14:paraId="6CA4EDAC" w14:textId="7B959435"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5.44</w:t>
            </w:r>
            <w:r w:rsidRPr="002D0229">
              <w:rPr>
                <w:rFonts w:cs="Open Sans"/>
                <w:szCs w:val="18"/>
                <w:vertAlign w:val="superscript"/>
              </w:rPr>
              <w:t>a</w:t>
            </w:r>
          </w:p>
        </w:tc>
        <w:tc>
          <w:tcPr>
            <w:tcW w:w="1134" w:type="dxa"/>
          </w:tcPr>
          <w:p w14:paraId="0E3ED679" w14:textId="3463AEB7" w:rsidR="00345393" w:rsidRPr="002D0229" w:rsidRDefault="00345393"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2D0229">
              <w:rPr>
                <w:rFonts w:cs="Open Sans"/>
                <w:szCs w:val="18"/>
              </w:rPr>
              <w:t>2.21</w:t>
            </w:r>
            <w:r w:rsidRPr="002D0229">
              <w:rPr>
                <w:rFonts w:cs="Open Sans"/>
                <w:szCs w:val="18"/>
                <w:vertAlign w:val="superscript"/>
              </w:rPr>
              <w:t>a</w:t>
            </w:r>
          </w:p>
        </w:tc>
      </w:tr>
    </w:tbl>
    <w:p w14:paraId="29DDD8EF" w14:textId="77777777" w:rsidR="002D0229" w:rsidRPr="00567D6D" w:rsidRDefault="002D0229" w:rsidP="00F1395C">
      <w:pPr>
        <w:pStyle w:val="datatablenote"/>
      </w:pPr>
      <w:r w:rsidRPr="00ED4588">
        <w:rPr>
          <w:b/>
        </w:rPr>
        <w:t>Note</w:t>
      </w:r>
      <w:r w:rsidRPr="00567D6D">
        <w:t xml:space="preserve">: Percentages may not add to 100 as the “unanswered” category is not shown in the table. There were no statistically significant differences between </w:t>
      </w:r>
      <w:r w:rsidRPr="00567D6D">
        <w:br/>
        <w:t xml:space="preserve">16- to 17-year-olds and 18- to 24-year-olds on these items. </w:t>
      </w:r>
    </w:p>
    <w:p w14:paraId="3ED80A03" w14:textId="77777777" w:rsidR="002D0229" w:rsidRPr="00567D6D" w:rsidRDefault="002D0229" w:rsidP="00F1395C">
      <w:pPr>
        <w:pStyle w:val="datatablenote"/>
      </w:pPr>
      <w:r w:rsidRPr="00567D6D">
        <w:t>a This result should be interpreted with caution because it has a relative standard error &gt;25%.</w:t>
      </w:r>
    </w:p>
    <w:p w14:paraId="0104EFFB" w14:textId="77777777" w:rsidR="002D0229" w:rsidRPr="00567D6D" w:rsidRDefault="002D0229" w:rsidP="00F1395C">
      <w:pPr>
        <w:pStyle w:val="datatablenote"/>
      </w:pPr>
      <w:r w:rsidRPr="00567D6D">
        <w:rPr>
          <w:rFonts w:cs="Montserrat"/>
        </w:rPr>
        <w:t>~</w:t>
      </w:r>
      <w:r w:rsidRPr="00567D6D">
        <w:t xml:space="preserve"> Asked of one quarter of the sample.</w:t>
      </w:r>
    </w:p>
    <w:p w14:paraId="7BF4D401" w14:textId="73156F08" w:rsidR="001E4818" w:rsidRDefault="00DB512A" w:rsidP="00F5214A">
      <w:pPr>
        <w:pStyle w:val="TableheadingTablesandfigures"/>
      </w:pPr>
      <w:bookmarkStart w:id="259" w:name="_Toc187402246"/>
      <w:r>
        <w:t xml:space="preserve">Table </w:t>
      </w:r>
      <w:r w:rsidR="004A7ED7">
        <w:fldChar w:fldCharType="begin"/>
      </w:r>
      <w:r w:rsidR="004A7ED7">
        <w:instrText xml:space="preserve"> STYLEREF 1 \s </w:instrText>
      </w:r>
      <w:r w:rsidR="004A7ED7">
        <w:fldChar w:fldCharType="separate"/>
      </w:r>
      <w:r w:rsidR="004A7ED7">
        <w:rPr>
          <w:noProof/>
        </w:rPr>
        <w:t>13</w:t>
      </w:r>
      <w:r w:rsidR="004A7ED7">
        <w:fldChar w:fldCharType="end"/>
      </w:r>
      <w:r w:rsidR="003B15D6">
        <w:t>-</w:t>
      </w:r>
      <w:r w:rsidR="004A7ED7">
        <w:fldChar w:fldCharType="begin"/>
      </w:r>
      <w:r w:rsidR="004A7ED7">
        <w:instrText xml:space="preserve"> SEQ Table \* ARABIC \s 1 </w:instrText>
      </w:r>
      <w:r w:rsidR="004A7ED7">
        <w:fldChar w:fldCharType="separate"/>
      </w:r>
      <w:r w:rsidR="004A7ED7">
        <w:rPr>
          <w:noProof/>
        </w:rPr>
        <w:t>5</w:t>
      </w:r>
      <w:r w:rsidR="004A7ED7">
        <w:fldChar w:fldCharType="end"/>
      </w:r>
      <w:r w:rsidR="001E4818" w:rsidRPr="001E4818">
        <w:t>: Awareness of violence against women as a problem in Australia and locally by age, youth groups (not part of any scale), 2021</w:t>
      </w:r>
      <w:bookmarkEnd w:id="259"/>
    </w:p>
    <w:p w14:paraId="7143D584" w14:textId="13C9BCD8" w:rsidR="001B014A" w:rsidRPr="001B014A" w:rsidRDefault="001B014A" w:rsidP="008B6D01">
      <w:pPr>
        <w:pStyle w:val="Tablesubheading0"/>
      </w:pPr>
      <w:r w:rsidRPr="00E06F6D">
        <w:t xml:space="preserve">Area of </w:t>
      </w:r>
      <w:r w:rsidRPr="005F6833">
        <w:t>knowledge</w:t>
      </w:r>
      <w:r w:rsidRPr="00E06F6D">
        <w:t>:</w:t>
      </w:r>
      <w:r>
        <w:t xml:space="preserve"> </w:t>
      </w:r>
      <w:r w:rsidRPr="001E4818">
        <w:t>Violence against women is a problem</w:t>
      </w:r>
    </w:p>
    <w:tbl>
      <w:tblPr>
        <w:tblStyle w:val="Table-SingleHeaderRow"/>
        <w:tblW w:w="14967" w:type="dxa"/>
        <w:tblLayout w:type="fixed"/>
        <w:tblLook w:val="00A0" w:firstRow="1" w:lastRow="0" w:firstColumn="1" w:lastColumn="0" w:noHBand="0" w:noVBand="0"/>
      </w:tblPr>
      <w:tblGrid>
        <w:gridCol w:w="737"/>
        <w:gridCol w:w="4365"/>
        <w:gridCol w:w="737"/>
        <w:gridCol w:w="454"/>
        <w:gridCol w:w="1020"/>
        <w:gridCol w:w="1191"/>
        <w:gridCol w:w="1190"/>
        <w:gridCol w:w="1247"/>
        <w:gridCol w:w="1021"/>
        <w:gridCol w:w="964"/>
        <w:gridCol w:w="963"/>
        <w:gridCol w:w="1078"/>
      </w:tblGrid>
      <w:tr w:rsidR="005941FE" w:rsidRPr="001E4818" w14:paraId="35ED3477" w14:textId="77777777" w:rsidTr="008B6D0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1F1B7327" w14:textId="77777777" w:rsidR="001B014A" w:rsidRPr="001E4818" w:rsidRDefault="001B014A" w:rsidP="008B6D01">
            <w:pPr>
              <w:pStyle w:val="Tablebody"/>
              <w:rPr>
                <w:b w:val="0"/>
              </w:rPr>
            </w:pPr>
            <w:r w:rsidRPr="001E4818">
              <w:t>Code</w:t>
            </w:r>
          </w:p>
        </w:tc>
        <w:tc>
          <w:tcPr>
            <w:tcW w:w="4365" w:type="dxa"/>
          </w:tcPr>
          <w:p w14:paraId="7B1D6CB7"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Abbreviated item wording</w:t>
            </w:r>
          </w:p>
        </w:tc>
        <w:tc>
          <w:tcPr>
            <w:tcW w:w="737" w:type="dxa"/>
          </w:tcPr>
          <w:p w14:paraId="32E0A89C"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Age</w:t>
            </w:r>
          </w:p>
        </w:tc>
        <w:tc>
          <w:tcPr>
            <w:tcW w:w="454" w:type="dxa"/>
          </w:tcPr>
          <w:p w14:paraId="6FB13386" w14:textId="77777777" w:rsidR="001B014A" w:rsidRPr="00DB512A" w:rsidRDefault="001B014A" w:rsidP="008B6D0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020" w:type="dxa"/>
          </w:tcPr>
          <w:p w14:paraId="7C128720"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Strongly agree</w:t>
            </w:r>
          </w:p>
        </w:tc>
        <w:tc>
          <w:tcPr>
            <w:tcW w:w="1191" w:type="dxa"/>
          </w:tcPr>
          <w:p w14:paraId="6DD6C2BE"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Somewhat agree</w:t>
            </w:r>
          </w:p>
        </w:tc>
        <w:tc>
          <w:tcPr>
            <w:tcW w:w="1190" w:type="dxa"/>
          </w:tcPr>
          <w:p w14:paraId="62F9F76C"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Neither agree nor disagree</w:t>
            </w:r>
          </w:p>
        </w:tc>
        <w:tc>
          <w:tcPr>
            <w:tcW w:w="1247" w:type="dxa"/>
          </w:tcPr>
          <w:p w14:paraId="2A95C294"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Somewhat disagree</w:t>
            </w:r>
          </w:p>
        </w:tc>
        <w:tc>
          <w:tcPr>
            <w:tcW w:w="1021" w:type="dxa"/>
          </w:tcPr>
          <w:p w14:paraId="4E566129"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Strongly disagree</w:t>
            </w:r>
          </w:p>
        </w:tc>
        <w:tc>
          <w:tcPr>
            <w:tcW w:w="964" w:type="dxa"/>
          </w:tcPr>
          <w:p w14:paraId="62DA40FA"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Unsure</w:t>
            </w:r>
          </w:p>
        </w:tc>
        <w:tc>
          <w:tcPr>
            <w:tcW w:w="963" w:type="dxa"/>
          </w:tcPr>
          <w:p w14:paraId="69FBA3EA"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Net agree</w:t>
            </w:r>
            <w:r w:rsidRPr="001E4818">
              <w:rPr>
                <w:vertAlign w:val="superscript"/>
              </w:rPr>
              <w:t>a</w:t>
            </w:r>
          </w:p>
        </w:tc>
        <w:tc>
          <w:tcPr>
            <w:tcW w:w="1078" w:type="dxa"/>
          </w:tcPr>
          <w:p w14:paraId="75CC33D4" w14:textId="77777777" w:rsidR="001B014A" w:rsidRPr="001E4818" w:rsidRDefault="001B014A" w:rsidP="008B6D01">
            <w:pPr>
              <w:pStyle w:val="Tablebody"/>
              <w:cnfStyle w:val="100000000000" w:firstRow="1" w:lastRow="0" w:firstColumn="0" w:lastColumn="0" w:oddVBand="0" w:evenVBand="0" w:oddHBand="0" w:evenHBand="0" w:firstRowFirstColumn="0" w:firstRowLastColumn="0" w:lastRowFirstColumn="0" w:lastRowLastColumn="0"/>
              <w:rPr>
                <w:b w:val="0"/>
              </w:rPr>
            </w:pPr>
            <w:r w:rsidRPr="001E4818">
              <w:t>% Net disagree</w:t>
            </w:r>
            <w:r w:rsidRPr="001E4818">
              <w:rPr>
                <w:vertAlign w:val="superscript"/>
              </w:rPr>
              <w:t>b</w:t>
            </w:r>
          </w:p>
        </w:tc>
      </w:tr>
      <w:tr w:rsidR="00DD2AAD" w:rsidRPr="001E4818" w14:paraId="4B1C57ED"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7075D3E" w14:textId="77777777" w:rsidR="00DD2AAD" w:rsidRPr="001E4818" w:rsidRDefault="00DD2AAD" w:rsidP="008B6D01">
            <w:pPr>
              <w:pStyle w:val="Tablebody"/>
              <w:rPr>
                <w:rFonts w:cs="Open Sans"/>
                <w:szCs w:val="18"/>
              </w:rPr>
            </w:pPr>
            <w:r w:rsidRPr="001E4818">
              <w:rPr>
                <w:rFonts w:cs="Open Sans"/>
                <w:szCs w:val="18"/>
              </w:rPr>
              <w:t>V1</w:t>
            </w:r>
          </w:p>
        </w:tc>
        <w:tc>
          <w:tcPr>
            <w:tcW w:w="4365" w:type="dxa"/>
          </w:tcPr>
          <w:p w14:paraId="0090FC34" w14:textId="1520B634"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Violence against women is a problem in</w:t>
            </w:r>
            <w:r w:rsidR="00C901C2">
              <w:rPr>
                <w:rFonts w:cs="Open Sans"/>
                <w:szCs w:val="18"/>
              </w:rPr>
              <w:t> </w:t>
            </w:r>
            <w:r w:rsidRPr="001E4818">
              <w:rPr>
                <w:rFonts w:cs="Open Sans"/>
                <w:szCs w:val="18"/>
              </w:rPr>
              <w:t>Australia</w:t>
            </w:r>
            <w:r w:rsidRPr="001E4818">
              <w:rPr>
                <w:rFonts w:ascii="Montserrat" w:hAnsi="Montserrat" w:cs="Montserrat"/>
                <w:szCs w:val="18"/>
                <w:lang w:val="en-US"/>
              </w:rPr>
              <w:t>~</w:t>
            </w:r>
          </w:p>
        </w:tc>
        <w:tc>
          <w:tcPr>
            <w:tcW w:w="737" w:type="dxa"/>
          </w:tcPr>
          <w:p w14:paraId="552800D9" w14:textId="77777777"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16–17</w:t>
            </w:r>
          </w:p>
        </w:tc>
        <w:tc>
          <w:tcPr>
            <w:tcW w:w="454" w:type="dxa"/>
          </w:tcPr>
          <w:p w14:paraId="7AB57A3E" w14:textId="77777777"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69</w:t>
            </w:r>
          </w:p>
        </w:tc>
        <w:tc>
          <w:tcPr>
            <w:tcW w:w="1020" w:type="dxa"/>
          </w:tcPr>
          <w:p w14:paraId="1A64E1FA" w14:textId="47C299A4"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66.85</w:t>
            </w:r>
          </w:p>
        </w:tc>
        <w:tc>
          <w:tcPr>
            <w:tcW w:w="1191" w:type="dxa"/>
          </w:tcPr>
          <w:p w14:paraId="0115BDD4" w14:textId="1A3145BF"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29.78</w:t>
            </w:r>
          </w:p>
        </w:tc>
        <w:tc>
          <w:tcPr>
            <w:tcW w:w="1190" w:type="dxa"/>
          </w:tcPr>
          <w:p w14:paraId="7D6413EF" w14:textId="0DC5B233"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0.41</w:t>
            </w:r>
            <w:r w:rsidRPr="001E4818">
              <w:rPr>
                <w:rFonts w:cs="Open Sans"/>
                <w:sz w:val="16"/>
                <w:szCs w:val="16"/>
                <w:vertAlign w:val="superscript"/>
              </w:rPr>
              <w:t>c</w:t>
            </w:r>
          </w:p>
        </w:tc>
        <w:tc>
          <w:tcPr>
            <w:tcW w:w="1247" w:type="dxa"/>
          </w:tcPr>
          <w:p w14:paraId="3E7DA9E0" w14:textId="74521362"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2.96</w:t>
            </w:r>
            <w:r w:rsidRPr="001E4818">
              <w:rPr>
                <w:rFonts w:cs="Open Sans"/>
                <w:szCs w:val="18"/>
                <w:vertAlign w:val="superscript"/>
              </w:rPr>
              <w:t>c</w:t>
            </w:r>
          </w:p>
        </w:tc>
        <w:tc>
          <w:tcPr>
            <w:tcW w:w="1021" w:type="dxa"/>
          </w:tcPr>
          <w:p w14:paraId="4B70C918" w14:textId="56F06906"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0.00</w:t>
            </w:r>
          </w:p>
        </w:tc>
        <w:tc>
          <w:tcPr>
            <w:tcW w:w="964" w:type="dxa"/>
          </w:tcPr>
          <w:p w14:paraId="570345BE" w14:textId="0EAF451B"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0.00</w:t>
            </w:r>
          </w:p>
        </w:tc>
        <w:tc>
          <w:tcPr>
            <w:tcW w:w="963" w:type="dxa"/>
          </w:tcPr>
          <w:p w14:paraId="532C57F4" w14:textId="0DAE9185"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96.63</w:t>
            </w:r>
          </w:p>
        </w:tc>
        <w:tc>
          <w:tcPr>
            <w:tcW w:w="1078" w:type="dxa"/>
          </w:tcPr>
          <w:p w14:paraId="47E22E70" w14:textId="73C9E275" w:rsidR="00DD2AAD" w:rsidRPr="001E4818" w:rsidRDefault="00DD2AAD"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2.96</w:t>
            </w:r>
            <w:r w:rsidRPr="001E4818">
              <w:rPr>
                <w:rFonts w:cs="Open Sans"/>
                <w:szCs w:val="18"/>
                <w:vertAlign w:val="superscript"/>
              </w:rPr>
              <w:t>c</w:t>
            </w:r>
          </w:p>
        </w:tc>
      </w:tr>
      <w:tr w:rsidR="005B35B6" w:rsidRPr="001E4818" w14:paraId="798910DB"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2B5E0C9" w14:textId="527C3B82" w:rsidR="005B35B6" w:rsidRPr="001E4818" w:rsidRDefault="005B35B6" w:rsidP="008B6D01">
            <w:pPr>
              <w:pStyle w:val="Tablebody"/>
              <w:rPr>
                <w:rFonts w:cs="Open Sans"/>
                <w:szCs w:val="18"/>
              </w:rPr>
            </w:pPr>
            <w:r w:rsidRPr="001E4818">
              <w:rPr>
                <w:rFonts w:cs="Open Sans"/>
                <w:szCs w:val="18"/>
              </w:rPr>
              <w:t>V1</w:t>
            </w:r>
          </w:p>
        </w:tc>
        <w:tc>
          <w:tcPr>
            <w:tcW w:w="4365" w:type="dxa"/>
          </w:tcPr>
          <w:p w14:paraId="467D8657" w14:textId="2A54F06D"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Violence against women is a problem in Australia</w:t>
            </w:r>
            <w:r w:rsidRPr="001E4818">
              <w:rPr>
                <w:rFonts w:ascii="Montserrat" w:hAnsi="Montserrat" w:cs="Montserrat"/>
                <w:szCs w:val="18"/>
                <w:lang w:val="en-US"/>
              </w:rPr>
              <w:t>~</w:t>
            </w:r>
          </w:p>
        </w:tc>
        <w:tc>
          <w:tcPr>
            <w:tcW w:w="737" w:type="dxa"/>
          </w:tcPr>
          <w:p w14:paraId="5897933E" w14:textId="17985074"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18–24</w:t>
            </w:r>
          </w:p>
        </w:tc>
        <w:tc>
          <w:tcPr>
            <w:tcW w:w="454" w:type="dxa"/>
          </w:tcPr>
          <w:p w14:paraId="49F890FB" w14:textId="49533739"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418</w:t>
            </w:r>
          </w:p>
        </w:tc>
        <w:tc>
          <w:tcPr>
            <w:tcW w:w="1020" w:type="dxa"/>
          </w:tcPr>
          <w:p w14:paraId="5FDED6C2" w14:textId="187A71AE"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62.69</w:t>
            </w:r>
          </w:p>
        </w:tc>
        <w:tc>
          <w:tcPr>
            <w:tcW w:w="1191" w:type="dxa"/>
          </w:tcPr>
          <w:p w14:paraId="02E1A7B2" w14:textId="2C67F03C"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26.19</w:t>
            </w:r>
          </w:p>
        </w:tc>
        <w:tc>
          <w:tcPr>
            <w:tcW w:w="1190" w:type="dxa"/>
          </w:tcPr>
          <w:p w14:paraId="25EB1BA0" w14:textId="2A780756"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1.25</w:t>
            </w:r>
            <w:r w:rsidRPr="001E4818">
              <w:rPr>
                <w:rFonts w:cs="Open Sans"/>
                <w:sz w:val="16"/>
                <w:szCs w:val="16"/>
                <w:vertAlign w:val="superscript"/>
              </w:rPr>
              <w:t>c</w:t>
            </w:r>
          </w:p>
        </w:tc>
        <w:tc>
          <w:tcPr>
            <w:tcW w:w="1247" w:type="dxa"/>
          </w:tcPr>
          <w:p w14:paraId="478F994D" w14:textId="59BE4A6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4.63</w:t>
            </w:r>
            <w:r w:rsidRPr="001E4818">
              <w:rPr>
                <w:rFonts w:cs="Open Sans"/>
                <w:szCs w:val="18"/>
                <w:vertAlign w:val="superscript"/>
              </w:rPr>
              <w:t>c</w:t>
            </w:r>
          </w:p>
        </w:tc>
        <w:tc>
          <w:tcPr>
            <w:tcW w:w="1021" w:type="dxa"/>
          </w:tcPr>
          <w:p w14:paraId="6AF8F716" w14:textId="74393B4A"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2.47</w:t>
            </w:r>
            <w:r w:rsidRPr="001E4818">
              <w:rPr>
                <w:rFonts w:cs="Open Sans"/>
                <w:szCs w:val="18"/>
                <w:vertAlign w:val="superscript"/>
              </w:rPr>
              <w:t>c</w:t>
            </w:r>
          </w:p>
        </w:tc>
        <w:tc>
          <w:tcPr>
            <w:tcW w:w="964" w:type="dxa"/>
          </w:tcPr>
          <w:p w14:paraId="6C2BF835" w14:textId="52A478F9"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2.77</w:t>
            </w:r>
            <w:r w:rsidRPr="001E4818">
              <w:rPr>
                <w:rFonts w:cs="Open Sans"/>
                <w:szCs w:val="18"/>
                <w:vertAlign w:val="superscript"/>
              </w:rPr>
              <w:t>c</w:t>
            </w:r>
          </w:p>
        </w:tc>
        <w:tc>
          <w:tcPr>
            <w:tcW w:w="963" w:type="dxa"/>
          </w:tcPr>
          <w:p w14:paraId="6DDDF4C6" w14:textId="0AC1C24D"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88.88</w:t>
            </w:r>
          </w:p>
        </w:tc>
        <w:tc>
          <w:tcPr>
            <w:tcW w:w="1078" w:type="dxa"/>
          </w:tcPr>
          <w:p w14:paraId="770442F1" w14:textId="4647AF48"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7.10</w:t>
            </w:r>
          </w:p>
        </w:tc>
      </w:tr>
      <w:tr w:rsidR="005B35B6" w:rsidRPr="001E4818" w14:paraId="68FCF047"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17A80BD" w14:textId="77777777" w:rsidR="005B35B6" w:rsidRPr="001E4818" w:rsidRDefault="005B35B6" w:rsidP="008B6D01">
            <w:pPr>
              <w:pStyle w:val="Tablebody"/>
              <w:rPr>
                <w:rFonts w:cs="Open Sans"/>
                <w:szCs w:val="18"/>
              </w:rPr>
            </w:pPr>
            <w:r w:rsidRPr="001E4818">
              <w:rPr>
                <w:rFonts w:cs="Open Sans"/>
                <w:szCs w:val="18"/>
              </w:rPr>
              <w:t>V2</w:t>
            </w:r>
          </w:p>
        </w:tc>
        <w:tc>
          <w:tcPr>
            <w:tcW w:w="4365" w:type="dxa"/>
          </w:tcPr>
          <w:p w14:paraId="53A98623" w14:textId="7777777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Violence against women is a problem in the suburb or town where you live</w:t>
            </w:r>
            <w:r w:rsidRPr="001E4818">
              <w:rPr>
                <w:rFonts w:ascii="Montserrat" w:hAnsi="Montserrat" w:cs="Montserrat"/>
                <w:szCs w:val="18"/>
                <w:lang w:val="en-US"/>
              </w:rPr>
              <w:t>~</w:t>
            </w:r>
          </w:p>
        </w:tc>
        <w:tc>
          <w:tcPr>
            <w:tcW w:w="737" w:type="dxa"/>
          </w:tcPr>
          <w:p w14:paraId="298BBE64" w14:textId="7777777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16–17</w:t>
            </w:r>
          </w:p>
        </w:tc>
        <w:tc>
          <w:tcPr>
            <w:tcW w:w="454" w:type="dxa"/>
          </w:tcPr>
          <w:p w14:paraId="7113C0D1" w14:textId="7777777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69</w:t>
            </w:r>
          </w:p>
        </w:tc>
        <w:tc>
          <w:tcPr>
            <w:tcW w:w="1020" w:type="dxa"/>
          </w:tcPr>
          <w:p w14:paraId="28A82F9F" w14:textId="73FF5A38"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19.59</w:t>
            </w:r>
            <w:r w:rsidRPr="001E4818">
              <w:rPr>
                <w:rFonts w:cs="Open Sans"/>
                <w:szCs w:val="18"/>
                <w:vertAlign w:val="superscript"/>
              </w:rPr>
              <w:t>c</w:t>
            </w:r>
          </w:p>
        </w:tc>
        <w:tc>
          <w:tcPr>
            <w:tcW w:w="1191" w:type="dxa"/>
          </w:tcPr>
          <w:p w14:paraId="0CF3B304" w14:textId="2DA4A7BB"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41.49</w:t>
            </w:r>
          </w:p>
        </w:tc>
        <w:tc>
          <w:tcPr>
            <w:tcW w:w="1190" w:type="dxa"/>
          </w:tcPr>
          <w:p w14:paraId="0A085771" w14:textId="26351580"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7.64</w:t>
            </w:r>
            <w:r w:rsidRPr="001E4818">
              <w:rPr>
                <w:rFonts w:cs="Open Sans"/>
                <w:sz w:val="16"/>
                <w:szCs w:val="16"/>
                <w:vertAlign w:val="superscript"/>
              </w:rPr>
              <w:t>c</w:t>
            </w:r>
          </w:p>
        </w:tc>
        <w:tc>
          <w:tcPr>
            <w:tcW w:w="1247" w:type="dxa"/>
          </w:tcPr>
          <w:p w14:paraId="4BE37F49" w14:textId="2941D372"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18.37</w:t>
            </w:r>
            <w:r w:rsidRPr="001E4818">
              <w:rPr>
                <w:rFonts w:cs="Open Sans"/>
                <w:szCs w:val="18"/>
                <w:vertAlign w:val="superscript"/>
              </w:rPr>
              <w:t>c</w:t>
            </w:r>
          </w:p>
        </w:tc>
        <w:tc>
          <w:tcPr>
            <w:tcW w:w="1021" w:type="dxa"/>
          </w:tcPr>
          <w:p w14:paraId="45C0B83B" w14:textId="5D597C6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6.86</w:t>
            </w:r>
            <w:r w:rsidRPr="001E4818">
              <w:rPr>
                <w:rFonts w:cs="Open Sans"/>
                <w:szCs w:val="18"/>
                <w:vertAlign w:val="superscript"/>
              </w:rPr>
              <w:t>c</w:t>
            </w:r>
          </w:p>
        </w:tc>
        <w:tc>
          <w:tcPr>
            <w:tcW w:w="964" w:type="dxa"/>
          </w:tcPr>
          <w:p w14:paraId="00DF77A7" w14:textId="180ADCEB"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6.05</w:t>
            </w:r>
            <w:r w:rsidRPr="001E4818">
              <w:rPr>
                <w:rFonts w:cs="Open Sans"/>
                <w:szCs w:val="18"/>
                <w:vertAlign w:val="superscript"/>
              </w:rPr>
              <w:t>c</w:t>
            </w:r>
          </w:p>
        </w:tc>
        <w:tc>
          <w:tcPr>
            <w:tcW w:w="963" w:type="dxa"/>
          </w:tcPr>
          <w:p w14:paraId="06BD8695" w14:textId="524AFAE9"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61.08</w:t>
            </w:r>
          </w:p>
        </w:tc>
        <w:tc>
          <w:tcPr>
            <w:tcW w:w="1078" w:type="dxa"/>
          </w:tcPr>
          <w:p w14:paraId="59212E60" w14:textId="5809E0C8"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1E4818">
              <w:rPr>
                <w:rFonts w:cs="Open Sans"/>
                <w:szCs w:val="18"/>
              </w:rPr>
              <w:t>25.22</w:t>
            </w:r>
          </w:p>
        </w:tc>
      </w:tr>
      <w:tr w:rsidR="005B35B6" w:rsidRPr="001E4818" w14:paraId="5ED1A2D5" w14:textId="77777777" w:rsidTr="008B6D0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0349139" w14:textId="40DC24FD" w:rsidR="005B35B6" w:rsidRPr="001E4818" w:rsidRDefault="005B35B6" w:rsidP="008B6D01">
            <w:pPr>
              <w:pStyle w:val="Tablebody"/>
              <w:rPr>
                <w:rFonts w:cs="Open Sans"/>
                <w:szCs w:val="18"/>
              </w:rPr>
            </w:pPr>
            <w:r w:rsidRPr="001E4818">
              <w:rPr>
                <w:rFonts w:cs="Open Sans"/>
                <w:szCs w:val="18"/>
              </w:rPr>
              <w:t>V2</w:t>
            </w:r>
          </w:p>
        </w:tc>
        <w:tc>
          <w:tcPr>
            <w:tcW w:w="4365" w:type="dxa"/>
          </w:tcPr>
          <w:p w14:paraId="1BB3EB90" w14:textId="4A78C4A1"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Violence against women is a problem in the suburb or town where you live</w:t>
            </w:r>
            <w:r w:rsidRPr="001E4818">
              <w:rPr>
                <w:rFonts w:ascii="Montserrat" w:hAnsi="Montserrat" w:cs="Montserrat"/>
                <w:szCs w:val="18"/>
                <w:lang w:val="en-US"/>
              </w:rPr>
              <w:t>~</w:t>
            </w:r>
          </w:p>
        </w:tc>
        <w:tc>
          <w:tcPr>
            <w:tcW w:w="737" w:type="dxa"/>
          </w:tcPr>
          <w:p w14:paraId="6060A97C" w14:textId="161C42B6"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18–24</w:t>
            </w:r>
          </w:p>
        </w:tc>
        <w:tc>
          <w:tcPr>
            <w:tcW w:w="454" w:type="dxa"/>
          </w:tcPr>
          <w:p w14:paraId="7752E065" w14:textId="5537FB03"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418</w:t>
            </w:r>
          </w:p>
        </w:tc>
        <w:tc>
          <w:tcPr>
            <w:tcW w:w="1020" w:type="dxa"/>
          </w:tcPr>
          <w:p w14:paraId="4177878A" w14:textId="5FA57316"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15.84</w:t>
            </w:r>
          </w:p>
        </w:tc>
        <w:tc>
          <w:tcPr>
            <w:tcW w:w="1191" w:type="dxa"/>
          </w:tcPr>
          <w:p w14:paraId="219794EC" w14:textId="693CFA64"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34.90</w:t>
            </w:r>
          </w:p>
        </w:tc>
        <w:tc>
          <w:tcPr>
            <w:tcW w:w="1190" w:type="dxa"/>
          </w:tcPr>
          <w:p w14:paraId="4F38E8C4" w14:textId="635EC1A4"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6.45</w:t>
            </w:r>
          </w:p>
        </w:tc>
        <w:tc>
          <w:tcPr>
            <w:tcW w:w="1247" w:type="dxa"/>
          </w:tcPr>
          <w:p w14:paraId="55468889" w14:textId="45379F52"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18.52</w:t>
            </w:r>
          </w:p>
        </w:tc>
        <w:tc>
          <w:tcPr>
            <w:tcW w:w="1021" w:type="dxa"/>
          </w:tcPr>
          <w:p w14:paraId="0DF0C7BD" w14:textId="01E7F877"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8.99</w:t>
            </w:r>
          </w:p>
        </w:tc>
        <w:tc>
          <w:tcPr>
            <w:tcW w:w="964" w:type="dxa"/>
          </w:tcPr>
          <w:p w14:paraId="692B5A93" w14:textId="3B33A162"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15.30</w:t>
            </w:r>
          </w:p>
        </w:tc>
        <w:tc>
          <w:tcPr>
            <w:tcW w:w="963" w:type="dxa"/>
          </w:tcPr>
          <w:p w14:paraId="3F3EAD18" w14:textId="46C2F044"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50.74</w:t>
            </w:r>
          </w:p>
        </w:tc>
        <w:tc>
          <w:tcPr>
            <w:tcW w:w="1078" w:type="dxa"/>
          </w:tcPr>
          <w:p w14:paraId="62833693" w14:textId="3F882C02" w:rsidR="005B35B6" w:rsidRPr="001E4818" w:rsidRDefault="005B35B6" w:rsidP="008B6D0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1E4818">
              <w:rPr>
                <w:rFonts w:cs="Open Sans"/>
                <w:szCs w:val="18"/>
              </w:rPr>
              <w:t>27-51</w:t>
            </w:r>
          </w:p>
        </w:tc>
      </w:tr>
    </w:tbl>
    <w:p w14:paraId="4DA4DA4D" w14:textId="2A24B65F" w:rsidR="001E4818" w:rsidRPr="001E4818" w:rsidRDefault="001E4818" w:rsidP="00F1395C">
      <w:pPr>
        <w:pStyle w:val="datatablenote"/>
      </w:pPr>
      <w:r w:rsidRPr="001E4818">
        <w:rPr>
          <w:b/>
        </w:rPr>
        <w:t>Note:</w:t>
      </w:r>
      <w:r w:rsidRPr="001E4818">
        <w:t xml:space="preserve"> Percentages may not add to 100 as the “unanswered” category is not shown in the table. </w:t>
      </w:r>
      <w:r w:rsidR="00ED4588">
        <w:br/>
      </w:r>
      <w:r w:rsidRPr="001E4818">
        <w:t>There were no statistically significant differences between 16- to 17-year-olds and 18- to 24-year-olds on these items.</w:t>
      </w:r>
    </w:p>
    <w:p w14:paraId="485788B3" w14:textId="77777777" w:rsidR="001E4818" w:rsidRPr="001E4818" w:rsidRDefault="001E4818" w:rsidP="00F1395C">
      <w:pPr>
        <w:pStyle w:val="datatablenote"/>
      </w:pPr>
      <w:r w:rsidRPr="001E4818">
        <w:rPr>
          <w:b/>
        </w:rPr>
        <w:t>a</w:t>
      </w:r>
      <w:r w:rsidRPr="001E4818">
        <w:t xml:space="preserve"> “Net agree” refers to answering “agree” either “strongly” or “somewhat”.</w:t>
      </w:r>
    </w:p>
    <w:p w14:paraId="612414DD" w14:textId="77777777" w:rsidR="001E4818" w:rsidRPr="001E4818" w:rsidRDefault="001E4818" w:rsidP="00F1395C">
      <w:pPr>
        <w:pStyle w:val="datatablenote"/>
      </w:pPr>
      <w:r w:rsidRPr="001E4818">
        <w:rPr>
          <w:b/>
        </w:rPr>
        <w:t>b</w:t>
      </w:r>
      <w:r w:rsidRPr="001E4818">
        <w:t xml:space="preserve"> “Net disagree” refers to answering “disagree” either “strongly” or “somewhat”.</w:t>
      </w:r>
    </w:p>
    <w:p w14:paraId="40415A52" w14:textId="77777777" w:rsidR="001E4818" w:rsidRPr="001E4818" w:rsidRDefault="001E4818" w:rsidP="00F1395C">
      <w:pPr>
        <w:pStyle w:val="datatablenote"/>
      </w:pPr>
      <w:r w:rsidRPr="001E4818">
        <w:rPr>
          <w:b/>
        </w:rPr>
        <w:t>c</w:t>
      </w:r>
      <w:r w:rsidRPr="001E4818">
        <w:t xml:space="preserve"> This result should be interpreted with caution because it has a relative standard error &gt;25%.</w:t>
      </w:r>
    </w:p>
    <w:p w14:paraId="4FB1D019" w14:textId="45E7E357" w:rsidR="002D0229" w:rsidRPr="00F75563" w:rsidRDefault="001E4818" w:rsidP="00F1395C">
      <w:pPr>
        <w:pStyle w:val="datatablenote"/>
      </w:pPr>
      <w:r w:rsidRPr="001E4818">
        <w:rPr>
          <w:rFonts w:ascii="Montserrat" w:hAnsi="Montserrat" w:cs="Montserrat"/>
        </w:rPr>
        <w:t>~</w:t>
      </w:r>
      <w:r w:rsidRPr="001E4818">
        <w:t xml:space="preserve"> Asked of one quarter of the sample.</w:t>
      </w:r>
    </w:p>
    <w:p w14:paraId="1E1A7A56" w14:textId="048162B7" w:rsidR="007F4EE7" w:rsidRDefault="00B41F69" w:rsidP="00F5214A">
      <w:pPr>
        <w:pStyle w:val="TableheadingTablesandfigures"/>
      </w:pPr>
      <w:bookmarkStart w:id="260" w:name="_Toc187402247"/>
      <w:r>
        <w:lastRenderedPageBreak/>
        <w:t xml:space="preserve">Table </w:t>
      </w:r>
      <w:r w:rsidR="004A7ED7">
        <w:fldChar w:fldCharType="begin"/>
      </w:r>
      <w:r w:rsidR="004A7ED7">
        <w:instrText xml:space="preserve"> STYLEREF 1 \s </w:instrText>
      </w:r>
      <w:r w:rsidR="004A7ED7">
        <w:fldChar w:fldCharType="separate"/>
      </w:r>
      <w:r w:rsidR="004A7ED7">
        <w:rPr>
          <w:noProof/>
        </w:rPr>
        <w:t>13</w:t>
      </w:r>
      <w:r w:rsidR="004A7ED7">
        <w:fldChar w:fldCharType="end"/>
      </w:r>
      <w:r w:rsidR="003B15D6">
        <w:t>-</w:t>
      </w:r>
      <w:r w:rsidR="004A7ED7">
        <w:fldChar w:fldCharType="begin"/>
      </w:r>
      <w:r w:rsidR="004A7ED7">
        <w:instrText xml:space="preserve"> SEQ Table \* ARABIC \s 1 </w:instrText>
      </w:r>
      <w:r w:rsidR="004A7ED7">
        <w:fldChar w:fldCharType="separate"/>
      </w:r>
      <w:r w:rsidR="004A7ED7">
        <w:rPr>
          <w:noProof/>
        </w:rPr>
        <w:t>6</w:t>
      </w:r>
      <w:r w:rsidR="004A7ED7">
        <w:fldChar w:fldCharType="end"/>
      </w:r>
      <w:r w:rsidR="007F4EE7" w:rsidRPr="007F4EE7">
        <w:t xml:space="preserve">: </w:t>
      </w:r>
      <w:r w:rsidR="007F4EE7">
        <w:tab/>
      </w:r>
      <w:r w:rsidR="007F4EE7" w:rsidRPr="007F4EE7">
        <w:t>Attitudes towards Gender Inequality Scale (AGIS) items by age, youth groups, 2021</w:t>
      </w:r>
      <w:bookmarkEnd w:id="260"/>
    </w:p>
    <w:p w14:paraId="18D35C38" w14:textId="44331B04" w:rsidR="001B014A" w:rsidRPr="001B014A" w:rsidRDefault="001B014A" w:rsidP="008B6D01">
      <w:pPr>
        <w:pStyle w:val="Tablesubheading0"/>
      </w:pPr>
      <w:r>
        <w:t>Subscale:</w:t>
      </w:r>
      <w:r w:rsidRPr="001B014A">
        <w:t xml:space="preserve"> </w:t>
      </w:r>
      <w:r w:rsidRPr="007F4EE7">
        <w:t>Deny Gender Inequality</w:t>
      </w:r>
    </w:p>
    <w:tbl>
      <w:tblPr>
        <w:tblStyle w:val="Table-SingleHeaderRow"/>
        <w:tblW w:w="0" w:type="auto"/>
        <w:tblLayout w:type="fixed"/>
        <w:tblLook w:val="00A0" w:firstRow="1" w:lastRow="0" w:firstColumn="1" w:lastColumn="0" w:noHBand="0" w:noVBand="0"/>
      </w:tblPr>
      <w:tblGrid>
        <w:gridCol w:w="737"/>
        <w:gridCol w:w="3912"/>
        <w:gridCol w:w="737"/>
        <w:gridCol w:w="647"/>
        <w:gridCol w:w="1247"/>
        <w:gridCol w:w="1417"/>
        <w:gridCol w:w="1417"/>
        <w:gridCol w:w="1247"/>
        <w:gridCol w:w="1247"/>
        <w:gridCol w:w="1134"/>
        <w:gridCol w:w="1130"/>
      </w:tblGrid>
      <w:tr w:rsidR="00C901C2" w:rsidRPr="007F4EE7" w14:paraId="36F7A266" w14:textId="77777777" w:rsidTr="006B306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78DADB3D" w14:textId="77777777" w:rsidR="00913ADA" w:rsidRPr="007F4EE7" w:rsidRDefault="00913ADA" w:rsidP="00DB3E32">
            <w:pPr>
              <w:pStyle w:val="Tablebody"/>
              <w:rPr>
                <w:b w:val="0"/>
                <w:lang w:val="en-GB"/>
              </w:rPr>
            </w:pPr>
            <w:r w:rsidRPr="007F4EE7">
              <w:t>Code</w:t>
            </w:r>
          </w:p>
        </w:tc>
        <w:tc>
          <w:tcPr>
            <w:tcW w:w="3912" w:type="dxa"/>
          </w:tcPr>
          <w:p w14:paraId="7F19B5C2"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Abbreviated item wording</w:t>
            </w:r>
          </w:p>
        </w:tc>
        <w:tc>
          <w:tcPr>
            <w:tcW w:w="737" w:type="dxa"/>
          </w:tcPr>
          <w:p w14:paraId="185EC465"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Age</w:t>
            </w:r>
          </w:p>
        </w:tc>
        <w:tc>
          <w:tcPr>
            <w:tcW w:w="647" w:type="dxa"/>
          </w:tcPr>
          <w:p w14:paraId="06A12658" w14:textId="77777777" w:rsidR="00913ADA" w:rsidRPr="00DB512A" w:rsidRDefault="00913ADA" w:rsidP="00DB3E32">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247" w:type="dxa"/>
          </w:tcPr>
          <w:p w14:paraId="6F48B4AA" w14:textId="471D47F3"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agree</w:t>
            </w:r>
          </w:p>
        </w:tc>
        <w:tc>
          <w:tcPr>
            <w:tcW w:w="1417" w:type="dxa"/>
          </w:tcPr>
          <w:p w14:paraId="5347CE86"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agree</w:t>
            </w:r>
          </w:p>
        </w:tc>
        <w:tc>
          <w:tcPr>
            <w:tcW w:w="1417" w:type="dxa"/>
          </w:tcPr>
          <w:p w14:paraId="04CAD2C2"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disagree</w:t>
            </w:r>
          </w:p>
        </w:tc>
        <w:tc>
          <w:tcPr>
            <w:tcW w:w="1247" w:type="dxa"/>
          </w:tcPr>
          <w:p w14:paraId="74041B6A"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disagree</w:t>
            </w:r>
          </w:p>
        </w:tc>
        <w:tc>
          <w:tcPr>
            <w:tcW w:w="1247" w:type="dxa"/>
          </w:tcPr>
          <w:p w14:paraId="5C9CA186" w14:textId="495DFD5C"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Undecided</w:t>
            </w:r>
          </w:p>
        </w:tc>
        <w:tc>
          <w:tcPr>
            <w:tcW w:w="1134" w:type="dxa"/>
          </w:tcPr>
          <w:p w14:paraId="7FED80CB" w14:textId="35CD8239"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agree</w:t>
            </w:r>
            <w:r w:rsidRPr="007F4EE7">
              <w:rPr>
                <w:vertAlign w:val="superscript"/>
              </w:rPr>
              <w:t>a</w:t>
            </w:r>
          </w:p>
        </w:tc>
        <w:tc>
          <w:tcPr>
            <w:tcW w:w="1130" w:type="dxa"/>
          </w:tcPr>
          <w:p w14:paraId="5572FA42" w14:textId="77777777" w:rsidR="00913ADA" w:rsidRPr="007F4EE7" w:rsidRDefault="00913ADA" w:rsidP="00DB3E32">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disagree</w:t>
            </w:r>
            <w:r w:rsidRPr="007F4EE7">
              <w:rPr>
                <w:vertAlign w:val="superscript"/>
              </w:rPr>
              <w:t>b</w:t>
            </w:r>
          </w:p>
        </w:tc>
      </w:tr>
      <w:tr w:rsidR="00AC3F66" w:rsidRPr="007F4EE7" w14:paraId="49FE181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98759DA" w14:textId="77777777" w:rsidR="00AC3F66" w:rsidRPr="007F4EE7" w:rsidRDefault="00AC3F66" w:rsidP="00DB3E32">
            <w:pPr>
              <w:pStyle w:val="Tablebody"/>
              <w:rPr>
                <w:rFonts w:cs="Open Sans"/>
                <w:szCs w:val="18"/>
                <w:lang w:val="en-GB"/>
              </w:rPr>
            </w:pPr>
            <w:r w:rsidRPr="007F4EE7">
              <w:rPr>
                <w:rFonts w:cs="Open Sans"/>
                <w:szCs w:val="18"/>
              </w:rPr>
              <w:t>G1</w:t>
            </w:r>
          </w:p>
        </w:tc>
        <w:tc>
          <w:tcPr>
            <w:tcW w:w="3912" w:type="dxa"/>
          </w:tcPr>
          <w:p w14:paraId="588F04F8" w14:textId="77777777"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Many women exaggerate how unequally women are treated in Australia</w:t>
            </w:r>
          </w:p>
        </w:tc>
        <w:tc>
          <w:tcPr>
            <w:tcW w:w="737" w:type="dxa"/>
          </w:tcPr>
          <w:p w14:paraId="01BE72D7" w14:textId="77777777"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0248664B" w14:textId="77777777"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247" w:type="dxa"/>
          </w:tcPr>
          <w:p w14:paraId="5A50147A" w14:textId="4B8B12A9"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9.84</w:t>
            </w:r>
            <w:r w:rsidRPr="007F4EE7">
              <w:rPr>
                <w:rFonts w:cs="Open Sans"/>
                <w:szCs w:val="18"/>
                <w:vertAlign w:val="superscript"/>
              </w:rPr>
              <w:t>c</w:t>
            </w:r>
          </w:p>
        </w:tc>
        <w:tc>
          <w:tcPr>
            <w:tcW w:w="1417" w:type="dxa"/>
          </w:tcPr>
          <w:p w14:paraId="0A98C779" w14:textId="35AF7739"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33.61</w:t>
            </w:r>
          </w:p>
        </w:tc>
        <w:tc>
          <w:tcPr>
            <w:tcW w:w="1417" w:type="dxa"/>
          </w:tcPr>
          <w:p w14:paraId="1DC2C007" w14:textId="277D8E2A"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18.42</w:t>
            </w:r>
          </w:p>
        </w:tc>
        <w:tc>
          <w:tcPr>
            <w:tcW w:w="1247" w:type="dxa"/>
          </w:tcPr>
          <w:p w14:paraId="5F1572E9" w14:textId="16C3AD8A"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34.80</w:t>
            </w:r>
          </w:p>
        </w:tc>
        <w:tc>
          <w:tcPr>
            <w:tcW w:w="1247" w:type="dxa"/>
          </w:tcPr>
          <w:p w14:paraId="1E8C3178" w14:textId="740F66C2"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3.33</w:t>
            </w:r>
            <w:r w:rsidRPr="007F4EE7">
              <w:rPr>
                <w:rFonts w:cs="Open Sans"/>
                <w:szCs w:val="18"/>
                <w:vertAlign w:val="superscript"/>
              </w:rPr>
              <w:t>c</w:t>
            </w:r>
          </w:p>
        </w:tc>
        <w:tc>
          <w:tcPr>
            <w:tcW w:w="1134" w:type="dxa"/>
          </w:tcPr>
          <w:p w14:paraId="122045AA" w14:textId="6BE53729"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43.45</w:t>
            </w:r>
          </w:p>
        </w:tc>
        <w:tc>
          <w:tcPr>
            <w:tcW w:w="1130" w:type="dxa"/>
          </w:tcPr>
          <w:p w14:paraId="2FA0E1AB" w14:textId="53820A4B" w:rsidR="00AC3F66" w:rsidRPr="007F4EE7" w:rsidRDefault="00AC3F66"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53.21</w:t>
            </w:r>
          </w:p>
        </w:tc>
      </w:tr>
      <w:tr w:rsidR="006F0BEB" w:rsidRPr="007F4EE7" w14:paraId="7B59E60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E3B807" w14:textId="19D7B94C" w:rsidR="006F0BEB" w:rsidRPr="007F4EE7" w:rsidRDefault="006F0BEB" w:rsidP="00DB3E32">
            <w:pPr>
              <w:pStyle w:val="Tablebody"/>
              <w:rPr>
                <w:rFonts w:cs="Open Sans"/>
                <w:szCs w:val="18"/>
              </w:rPr>
            </w:pPr>
            <w:r w:rsidRPr="007F4EE7">
              <w:rPr>
                <w:rFonts w:cs="Open Sans"/>
                <w:szCs w:val="18"/>
              </w:rPr>
              <w:t>G1</w:t>
            </w:r>
          </w:p>
        </w:tc>
        <w:tc>
          <w:tcPr>
            <w:tcW w:w="3912" w:type="dxa"/>
          </w:tcPr>
          <w:p w14:paraId="5417E1F9" w14:textId="03EC4798"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Many women exaggerate how unequally women are treated in Australia</w:t>
            </w:r>
          </w:p>
        </w:tc>
        <w:tc>
          <w:tcPr>
            <w:tcW w:w="737" w:type="dxa"/>
          </w:tcPr>
          <w:p w14:paraId="3344E9FF" w14:textId="1A83416D"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75D19B9F" w14:textId="3871B6B5"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247" w:type="dxa"/>
          </w:tcPr>
          <w:p w14:paraId="054C279D" w14:textId="7D7B1BDC"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6.90</w:t>
            </w:r>
          </w:p>
        </w:tc>
        <w:tc>
          <w:tcPr>
            <w:tcW w:w="1417" w:type="dxa"/>
          </w:tcPr>
          <w:p w14:paraId="55986775" w14:textId="76E8CC8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29.45</w:t>
            </w:r>
          </w:p>
        </w:tc>
        <w:tc>
          <w:tcPr>
            <w:tcW w:w="1417" w:type="dxa"/>
          </w:tcPr>
          <w:p w14:paraId="52C5E0E6" w14:textId="5BFADF0F"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27.80</w:t>
            </w:r>
          </w:p>
        </w:tc>
        <w:tc>
          <w:tcPr>
            <w:tcW w:w="1247" w:type="dxa"/>
          </w:tcPr>
          <w:p w14:paraId="0C51B8E4" w14:textId="424C2D13"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31.00</w:t>
            </w:r>
          </w:p>
        </w:tc>
        <w:tc>
          <w:tcPr>
            <w:tcW w:w="1247" w:type="dxa"/>
          </w:tcPr>
          <w:p w14:paraId="362EB46E" w14:textId="7F69F795"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4.41</w:t>
            </w:r>
          </w:p>
        </w:tc>
        <w:tc>
          <w:tcPr>
            <w:tcW w:w="1134" w:type="dxa"/>
          </w:tcPr>
          <w:p w14:paraId="38CCC33E" w14:textId="1F4C0C7C"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36.35</w:t>
            </w:r>
          </w:p>
        </w:tc>
        <w:tc>
          <w:tcPr>
            <w:tcW w:w="1130" w:type="dxa"/>
          </w:tcPr>
          <w:p w14:paraId="226AEEDA" w14:textId="4387C68A"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58.80</w:t>
            </w:r>
          </w:p>
        </w:tc>
      </w:tr>
      <w:tr w:rsidR="006F0BEB" w:rsidRPr="007F4EE7" w14:paraId="14A5E34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9C62199" w14:textId="77777777" w:rsidR="006F0BEB" w:rsidRPr="007F4EE7" w:rsidRDefault="006F0BEB" w:rsidP="00DB3E32">
            <w:pPr>
              <w:pStyle w:val="Tablebody"/>
              <w:rPr>
                <w:rFonts w:cs="Open Sans"/>
                <w:szCs w:val="18"/>
                <w:lang w:val="en-GB"/>
              </w:rPr>
            </w:pPr>
            <w:r w:rsidRPr="007F4EE7">
              <w:rPr>
                <w:rFonts w:cs="Open Sans"/>
                <w:szCs w:val="18"/>
              </w:rPr>
              <w:t>G2</w:t>
            </w:r>
          </w:p>
        </w:tc>
        <w:tc>
          <w:tcPr>
            <w:tcW w:w="3912" w:type="dxa"/>
          </w:tcPr>
          <w:p w14:paraId="3103A6E7" w14:textId="7777777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Many women mistakenly interpret innocent remarks or acts as being sexist</w:t>
            </w:r>
            <w:r w:rsidRPr="007F4EE7">
              <w:rPr>
                <w:rFonts w:ascii="Montserrat" w:hAnsi="Montserrat" w:cs="Montserrat"/>
                <w:szCs w:val="18"/>
                <w:lang w:val="en-US"/>
              </w:rPr>
              <w:t>~</w:t>
            </w:r>
          </w:p>
        </w:tc>
        <w:tc>
          <w:tcPr>
            <w:tcW w:w="737" w:type="dxa"/>
          </w:tcPr>
          <w:p w14:paraId="7426A7DC" w14:textId="7777777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0A0288C1" w14:textId="7777777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247" w:type="dxa"/>
          </w:tcPr>
          <w:p w14:paraId="5866875B" w14:textId="5B46533B"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7.80</w:t>
            </w:r>
          </w:p>
        </w:tc>
        <w:tc>
          <w:tcPr>
            <w:tcW w:w="1417" w:type="dxa"/>
          </w:tcPr>
          <w:p w14:paraId="36418A24" w14:textId="33F3F199"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30.89</w:t>
            </w:r>
          </w:p>
        </w:tc>
        <w:tc>
          <w:tcPr>
            <w:tcW w:w="1417" w:type="dxa"/>
          </w:tcPr>
          <w:p w14:paraId="161D02E9" w14:textId="30885B6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38.30</w:t>
            </w:r>
          </w:p>
        </w:tc>
        <w:tc>
          <w:tcPr>
            <w:tcW w:w="1247" w:type="dxa"/>
          </w:tcPr>
          <w:p w14:paraId="54CA0FA3" w14:textId="7A26D8E0"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19.36</w:t>
            </w:r>
          </w:p>
        </w:tc>
        <w:tc>
          <w:tcPr>
            <w:tcW w:w="1247" w:type="dxa"/>
          </w:tcPr>
          <w:p w14:paraId="70D0FD46" w14:textId="4EABF9F6"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3.64</w:t>
            </w:r>
            <w:r w:rsidRPr="007F4EE7">
              <w:rPr>
                <w:rFonts w:cs="Open Sans"/>
                <w:szCs w:val="18"/>
                <w:vertAlign w:val="superscript"/>
              </w:rPr>
              <w:t>c</w:t>
            </w:r>
          </w:p>
        </w:tc>
        <w:tc>
          <w:tcPr>
            <w:tcW w:w="1134" w:type="dxa"/>
          </w:tcPr>
          <w:p w14:paraId="0DC28D24" w14:textId="3F5B0981"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38.69</w:t>
            </w:r>
          </w:p>
        </w:tc>
        <w:tc>
          <w:tcPr>
            <w:tcW w:w="1130" w:type="dxa"/>
          </w:tcPr>
          <w:p w14:paraId="4429DA3B" w14:textId="228864B8"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57.66</w:t>
            </w:r>
          </w:p>
        </w:tc>
      </w:tr>
      <w:tr w:rsidR="006F0BEB" w:rsidRPr="007F4EE7" w14:paraId="1AB6CAA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59C9487" w14:textId="11F6465D" w:rsidR="006F0BEB" w:rsidRPr="007F4EE7" w:rsidRDefault="006F0BEB" w:rsidP="00DB3E32">
            <w:pPr>
              <w:pStyle w:val="Tablebody"/>
              <w:rPr>
                <w:rFonts w:cs="Open Sans"/>
                <w:szCs w:val="18"/>
              </w:rPr>
            </w:pPr>
            <w:r w:rsidRPr="007F4EE7">
              <w:rPr>
                <w:rFonts w:cs="Open Sans"/>
                <w:szCs w:val="18"/>
              </w:rPr>
              <w:t>G2</w:t>
            </w:r>
          </w:p>
        </w:tc>
        <w:tc>
          <w:tcPr>
            <w:tcW w:w="3912" w:type="dxa"/>
          </w:tcPr>
          <w:p w14:paraId="02FAB91E" w14:textId="2FF6130F"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Many women mistakenly interpret innocent remarks or acts as being sexist</w:t>
            </w:r>
            <w:r w:rsidRPr="007F4EE7">
              <w:rPr>
                <w:rFonts w:ascii="Montserrat" w:hAnsi="Montserrat" w:cs="Montserrat"/>
                <w:szCs w:val="18"/>
                <w:lang w:val="en-US"/>
              </w:rPr>
              <w:t>~</w:t>
            </w:r>
          </w:p>
        </w:tc>
        <w:tc>
          <w:tcPr>
            <w:tcW w:w="737" w:type="dxa"/>
          </w:tcPr>
          <w:p w14:paraId="679C5E9B" w14:textId="0E4605E9"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74E64EAD" w14:textId="2F5D7EDB"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247" w:type="dxa"/>
          </w:tcPr>
          <w:p w14:paraId="4265490B" w14:textId="30D86EC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7.03</w:t>
            </w:r>
          </w:p>
        </w:tc>
        <w:tc>
          <w:tcPr>
            <w:tcW w:w="1417" w:type="dxa"/>
          </w:tcPr>
          <w:p w14:paraId="42B01120" w14:textId="7A1E8C40"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29.04</w:t>
            </w:r>
          </w:p>
        </w:tc>
        <w:tc>
          <w:tcPr>
            <w:tcW w:w="1417" w:type="dxa"/>
          </w:tcPr>
          <w:p w14:paraId="778DC234" w14:textId="00F769CA"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31.10</w:t>
            </w:r>
          </w:p>
        </w:tc>
        <w:tc>
          <w:tcPr>
            <w:tcW w:w="1247" w:type="dxa"/>
          </w:tcPr>
          <w:p w14:paraId="14602CF8" w14:textId="2EA22BA6"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27.45</w:t>
            </w:r>
          </w:p>
        </w:tc>
        <w:tc>
          <w:tcPr>
            <w:tcW w:w="1247" w:type="dxa"/>
          </w:tcPr>
          <w:p w14:paraId="48A9E51C" w14:textId="1E713ACD"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5.11</w:t>
            </w:r>
          </w:p>
        </w:tc>
        <w:tc>
          <w:tcPr>
            <w:tcW w:w="1134" w:type="dxa"/>
          </w:tcPr>
          <w:p w14:paraId="38C733CC" w14:textId="78E991FD"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36.07</w:t>
            </w:r>
          </w:p>
        </w:tc>
        <w:tc>
          <w:tcPr>
            <w:tcW w:w="1130" w:type="dxa"/>
          </w:tcPr>
          <w:p w14:paraId="4D1ADDAB" w14:textId="3392925B"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58.55</w:t>
            </w:r>
          </w:p>
        </w:tc>
      </w:tr>
      <w:tr w:rsidR="006F0BEB" w:rsidRPr="007F4EE7" w14:paraId="36C7846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AD1745B" w14:textId="77777777" w:rsidR="006F0BEB" w:rsidRPr="007F4EE7" w:rsidRDefault="006F0BEB" w:rsidP="00DB3E32">
            <w:pPr>
              <w:pStyle w:val="Tablebody"/>
              <w:rPr>
                <w:rFonts w:cs="Open Sans"/>
                <w:szCs w:val="18"/>
                <w:lang w:val="en-GB"/>
              </w:rPr>
            </w:pPr>
            <w:r w:rsidRPr="007F4EE7">
              <w:rPr>
                <w:rFonts w:cs="Open Sans"/>
                <w:szCs w:val="18"/>
              </w:rPr>
              <w:t>G3</w:t>
            </w:r>
          </w:p>
        </w:tc>
        <w:tc>
          <w:tcPr>
            <w:tcW w:w="3912" w:type="dxa"/>
          </w:tcPr>
          <w:p w14:paraId="3069BDAC" w14:textId="59456CE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Many women don’t fully appreciate all that men do</w:t>
            </w:r>
            <w:r>
              <w:rPr>
                <w:rFonts w:cs="Open Sans"/>
                <w:szCs w:val="18"/>
                <w:lang w:val="en-US"/>
              </w:rPr>
              <w:t> </w:t>
            </w:r>
            <w:r w:rsidRPr="007F4EE7">
              <w:rPr>
                <w:rFonts w:cs="Open Sans"/>
                <w:szCs w:val="18"/>
                <w:lang w:val="en-US"/>
              </w:rPr>
              <w:t>for them</w:t>
            </w:r>
          </w:p>
        </w:tc>
        <w:tc>
          <w:tcPr>
            <w:tcW w:w="737" w:type="dxa"/>
          </w:tcPr>
          <w:p w14:paraId="639E3790" w14:textId="7777777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47C68579" w14:textId="7777777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247" w:type="dxa"/>
          </w:tcPr>
          <w:p w14:paraId="3750422B" w14:textId="1408B643"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14.64*</w:t>
            </w:r>
          </w:p>
        </w:tc>
        <w:tc>
          <w:tcPr>
            <w:tcW w:w="1417" w:type="dxa"/>
          </w:tcPr>
          <w:p w14:paraId="377CDA05" w14:textId="447BE110"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14.49</w:t>
            </w:r>
          </w:p>
        </w:tc>
        <w:tc>
          <w:tcPr>
            <w:tcW w:w="1417" w:type="dxa"/>
          </w:tcPr>
          <w:p w14:paraId="5589B770" w14:textId="5F75F47C"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27.37</w:t>
            </w:r>
          </w:p>
        </w:tc>
        <w:tc>
          <w:tcPr>
            <w:tcW w:w="1247" w:type="dxa"/>
          </w:tcPr>
          <w:p w14:paraId="3B461D88" w14:textId="4B311270"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40.65</w:t>
            </w:r>
          </w:p>
        </w:tc>
        <w:tc>
          <w:tcPr>
            <w:tcW w:w="1247" w:type="dxa"/>
          </w:tcPr>
          <w:p w14:paraId="54CDDD27" w14:textId="6306BDF2"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2.85</w:t>
            </w:r>
            <w:r w:rsidRPr="007F4EE7">
              <w:rPr>
                <w:rFonts w:cs="Open Sans"/>
                <w:szCs w:val="18"/>
                <w:vertAlign w:val="superscript"/>
              </w:rPr>
              <w:t>c</w:t>
            </w:r>
          </w:p>
        </w:tc>
        <w:tc>
          <w:tcPr>
            <w:tcW w:w="1134" w:type="dxa"/>
          </w:tcPr>
          <w:p w14:paraId="2EBE4E7E" w14:textId="349D20EA"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29.13</w:t>
            </w:r>
          </w:p>
        </w:tc>
        <w:tc>
          <w:tcPr>
            <w:tcW w:w="1130" w:type="dxa"/>
          </w:tcPr>
          <w:p w14:paraId="0C8072F9" w14:textId="0B047CC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68.02</w:t>
            </w:r>
          </w:p>
        </w:tc>
      </w:tr>
      <w:tr w:rsidR="006F0BEB" w:rsidRPr="007F4EE7" w14:paraId="1D89BA9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91E145E" w14:textId="2AA9BA67" w:rsidR="006F0BEB" w:rsidRPr="007F4EE7" w:rsidRDefault="006F0BEB" w:rsidP="00DB3E32">
            <w:pPr>
              <w:pStyle w:val="Tablebody"/>
              <w:rPr>
                <w:rFonts w:cs="Open Sans"/>
                <w:szCs w:val="18"/>
              </w:rPr>
            </w:pPr>
            <w:r w:rsidRPr="007F4EE7">
              <w:rPr>
                <w:rFonts w:cs="Open Sans"/>
                <w:szCs w:val="18"/>
              </w:rPr>
              <w:t>G3</w:t>
            </w:r>
          </w:p>
        </w:tc>
        <w:tc>
          <w:tcPr>
            <w:tcW w:w="3912" w:type="dxa"/>
          </w:tcPr>
          <w:p w14:paraId="42003AF5" w14:textId="4C60DE5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Many women don’t fully appreciate all that men do</w:t>
            </w:r>
            <w:r>
              <w:rPr>
                <w:rFonts w:cs="Open Sans"/>
                <w:szCs w:val="18"/>
                <w:lang w:val="en-US"/>
              </w:rPr>
              <w:t> </w:t>
            </w:r>
            <w:r w:rsidRPr="007F4EE7">
              <w:rPr>
                <w:rFonts w:cs="Open Sans"/>
                <w:szCs w:val="18"/>
                <w:lang w:val="en-US"/>
              </w:rPr>
              <w:t>for them</w:t>
            </w:r>
          </w:p>
        </w:tc>
        <w:tc>
          <w:tcPr>
            <w:tcW w:w="737" w:type="dxa"/>
          </w:tcPr>
          <w:p w14:paraId="1DE2968F" w14:textId="3B3E1F59"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18B69F5A" w14:textId="59456336"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247" w:type="dxa"/>
          </w:tcPr>
          <w:p w14:paraId="310C0A66" w14:textId="55FBEC3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4.20*</w:t>
            </w:r>
          </w:p>
        </w:tc>
        <w:tc>
          <w:tcPr>
            <w:tcW w:w="1417" w:type="dxa"/>
          </w:tcPr>
          <w:p w14:paraId="35F7C891" w14:textId="3CA15BB6"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17.69</w:t>
            </w:r>
          </w:p>
        </w:tc>
        <w:tc>
          <w:tcPr>
            <w:tcW w:w="1417" w:type="dxa"/>
          </w:tcPr>
          <w:p w14:paraId="7DD63086" w14:textId="15482046"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33.31</w:t>
            </w:r>
          </w:p>
        </w:tc>
        <w:tc>
          <w:tcPr>
            <w:tcW w:w="1247" w:type="dxa"/>
          </w:tcPr>
          <w:p w14:paraId="1D107A52" w14:textId="0B0AD807"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37.67</w:t>
            </w:r>
          </w:p>
        </w:tc>
        <w:tc>
          <w:tcPr>
            <w:tcW w:w="1247" w:type="dxa"/>
          </w:tcPr>
          <w:p w14:paraId="1C315629" w14:textId="3A0E39AB"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6.90</w:t>
            </w:r>
          </w:p>
        </w:tc>
        <w:tc>
          <w:tcPr>
            <w:tcW w:w="1134" w:type="dxa"/>
          </w:tcPr>
          <w:p w14:paraId="2BC3297B" w14:textId="4EC726A4"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21.89</w:t>
            </w:r>
          </w:p>
        </w:tc>
        <w:tc>
          <w:tcPr>
            <w:tcW w:w="1130" w:type="dxa"/>
          </w:tcPr>
          <w:p w14:paraId="791B0B34" w14:textId="49225365" w:rsidR="006F0BEB" w:rsidRPr="007F4EE7" w:rsidRDefault="006F0BEB" w:rsidP="00DB3E32">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70.98</w:t>
            </w:r>
          </w:p>
        </w:tc>
      </w:tr>
    </w:tbl>
    <w:p w14:paraId="2C3C8401" w14:textId="74BAC746" w:rsidR="001B014A" w:rsidRDefault="00913ADA" w:rsidP="008B6D01">
      <w:pPr>
        <w:pStyle w:val="Tablesubheading0"/>
      </w:pPr>
      <w:r>
        <w:t>Subscale:</w:t>
      </w:r>
      <w:r w:rsidRPr="00913ADA">
        <w:t xml:space="preserve"> </w:t>
      </w:r>
      <w:r w:rsidRPr="007F4EE7">
        <w:t>Limit Autonomy</w:t>
      </w:r>
    </w:p>
    <w:tbl>
      <w:tblPr>
        <w:tblStyle w:val="Table-SingleHeaderRow"/>
        <w:tblW w:w="14872" w:type="dxa"/>
        <w:tblLayout w:type="fixed"/>
        <w:tblLook w:val="00A0" w:firstRow="1" w:lastRow="0" w:firstColumn="1" w:lastColumn="0" w:noHBand="0" w:noVBand="0"/>
      </w:tblPr>
      <w:tblGrid>
        <w:gridCol w:w="737"/>
        <w:gridCol w:w="3912"/>
        <w:gridCol w:w="737"/>
        <w:gridCol w:w="647"/>
        <w:gridCol w:w="1247"/>
        <w:gridCol w:w="1417"/>
        <w:gridCol w:w="1417"/>
        <w:gridCol w:w="1247"/>
        <w:gridCol w:w="1247"/>
        <w:gridCol w:w="1134"/>
        <w:gridCol w:w="1130"/>
      </w:tblGrid>
      <w:tr w:rsidR="00C901C2" w:rsidRPr="007F4EE7" w14:paraId="285CDC3D" w14:textId="77777777" w:rsidTr="006B306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6858D360" w14:textId="77777777" w:rsidR="006817E4" w:rsidRPr="007F4EE7" w:rsidRDefault="006817E4" w:rsidP="00F70D71">
            <w:pPr>
              <w:pStyle w:val="Tablebody"/>
              <w:rPr>
                <w:b w:val="0"/>
                <w:lang w:val="en-GB"/>
              </w:rPr>
            </w:pPr>
            <w:r w:rsidRPr="007F4EE7">
              <w:t>Code</w:t>
            </w:r>
          </w:p>
        </w:tc>
        <w:tc>
          <w:tcPr>
            <w:tcW w:w="3912" w:type="dxa"/>
          </w:tcPr>
          <w:p w14:paraId="32B1FF4A"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Abbreviated item wording</w:t>
            </w:r>
          </w:p>
        </w:tc>
        <w:tc>
          <w:tcPr>
            <w:tcW w:w="737" w:type="dxa"/>
          </w:tcPr>
          <w:p w14:paraId="719B858F"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Age</w:t>
            </w:r>
          </w:p>
        </w:tc>
        <w:tc>
          <w:tcPr>
            <w:tcW w:w="647" w:type="dxa"/>
          </w:tcPr>
          <w:p w14:paraId="765FAA52" w14:textId="77777777" w:rsidR="006817E4" w:rsidRPr="00DB512A" w:rsidRDefault="006817E4" w:rsidP="00F70D7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247" w:type="dxa"/>
          </w:tcPr>
          <w:p w14:paraId="4F15F0DE"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xml:space="preserve">% Strongly agree </w:t>
            </w:r>
          </w:p>
        </w:tc>
        <w:tc>
          <w:tcPr>
            <w:tcW w:w="1417" w:type="dxa"/>
          </w:tcPr>
          <w:p w14:paraId="17C64FD7"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agree</w:t>
            </w:r>
          </w:p>
        </w:tc>
        <w:tc>
          <w:tcPr>
            <w:tcW w:w="1417" w:type="dxa"/>
          </w:tcPr>
          <w:p w14:paraId="2DF1A0C1"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disagree</w:t>
            </w:r>
          </w:p>
        </w:tc>
        <w:tc>
          <w:tcPr>
            <w:tcW w:w="1247" w:type="dxa"/>
          </w:tcPr>
          <w:p w14:paraId="29B0E80D"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disagree</w:t>
            </w:r>
          </w:p>
        </w:tc>
        <w:tc>
          <w:tcPr>
            <w:tcW w:w="1247" w:type="dxa"/>
          </w:tcPr>
          <w:p w14:paraId="02C30FB2"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xml:space="preserve">% Undecided </w:t>
            </w:r>
          </w:p>
        </w:tc>
        <w:tc>
          <w:tcPr>
            <w:tcW w:w="1134" w:type="dxa"/>
          </w:tcPr>
          <w:p w14:paraId="103DD265"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agree</w:t>
            </w:r>
            <w:r w:rsidRPr="007F4EE7">
              <w:rPr>
                <w:vertAlign w:val="superscript"/>
              </w:rPr>
              <w:t>a</w:t>
            </w:r>
            <w:r w:rsidRPr="007F4EE7">
              <w:t xml:space="preserve"> </w:t>
            </w:r>
          </w:p>
        </w:tc>
        <w:tc>
          <w:tcPr>
            <w:tcW w:w="1130" w:type="dxa"/>
          </w:tcPr>
          <w:p w14:paraId="2EBD1F0C"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disagree</w:t>
            </w:r>
            <w:r w:rsidRPr="007F4EE7">
              <w:rPr>
                <w:vertAlign w:val="superscript"/>
              </w:rPr>
              <w:t>b</w:t>
            </w:r>
          </w:p>
        </w:tc>
      </w:tr>
      <w:tr w:rsidR="00AC3F66" w:rsidRPr="007F4EE7" w14:paraId="18348BC0"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2BD4116" w14:textId="794C4162" w:rsidR="00AC3F66" w:rsidRPr="007F4EE7" w:rsidRDefault="00AC3F66" w:rsidP="00F70D71">
            <w:pPr>
              <w:pStyle w:val="Tablebody"/>
              <w:rPr>
                <w:rFonts w:cs="Open Sans"/>
                <w:szCs w:val="18"/>
                <w:lang w:val="en-GB"/>
              </w:rPr>
            </w:pPr>
            <w:r w:rsidRPr="007F4EE7">
              <w:rPr>
                <w:rFonts w:cs="Open Sans"/>
                <w:szCs w:val="18"/>
              </w:rPr>
              <w:t>G12</w:t>
            </w:r>
          </w:p>
        </w:tc>
        <w:tc>
          <w:tcPr>
            <w:tcW w:w="3912" w:type="dxa"/>
          </w:tcPr>
          <w:p w14:paraId="2176C9F4"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Men should take control in relationships and be the head of the household</w:t>
            </w:r>
          </w:p>
        </w:tc>
        <w:tc>
          <w:tcPr>
            <w:tcW w:w="737" w:type="dxa"/>
          </w:tcPr>
          <w:p w14:paraId="652E4AC3"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3BF712BA"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247" w:type="dxa"/>
          </w:tcPr>
          <w:p w14:paraId="6D7CFDA5" w14:textId="795FCAAE"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4.55</w:t>
            </w:r>
            <w:r w:rsidRPr="007F4EE7">
              <w:rPr>
                <w:rFonts w:cs="Open Sans"/>
                <w:szCs w:val="18"/>
                <w:vertAlign w:val="superscript"/>
              </w:rPr>
              <w:t>c</w:t>
            </w:r>
          </w:p>
        </w:tc>
        <w:tc>
          <w:tcPr>
            <w:tcW w:w="1417" w:type="dxa"/>
          </w:tcPr>
          <w:p w14:paraId="10156DCC" w14:textId="4546F79E"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11.64</w:t>
            </w:r>
          </w:p>
        </w:tc>
        <w:tc>
          <w:tcPr>
            <w:tcW w:w="1417" w:type="dxa"/>
          </w:tcPr>
          <w:p w14:paraId="2DEE94F0" w14:textId="4E9630B4"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16.63</w:t>
            </w:r>
          </w:p>
        </w:tc>
        <w:tc>
          <w:tcPr>
            <w:tcW w:w="1247" w:type="dxa"/>
          </w:tcPr>
          <w:p w14:paraId="58BC925B" w14:textId="72D74E1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64.61</w:t>
            </w:r>
          </w:p>
        </w:tc>
        <w:tc>
          <w:tcPr>
            <w:tcW w:w="1247" w:type="dxa"/>
          </w:tcPr>
          <w:p w14:paraId="33683EBB" w14:textId="2177082D"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2.19</w:t>
            </w:r>
            <w:r w:rsidRPr="007F4EE7">
              <w:rPr>
                <w:rFonts w:cs="Open Sans"/>
                <w:szCs w:val="18"/>
                <w:vertAlign w:val="superscript"/>
              </w:rPr>
              <w:t>c</w:t>
            </w:r>
          </w:p>
        </w:tc>
        <w:tc>
          <w:tcPr>
            <w:tcW w:w="1134" w:type="dxa"/>
          </w:tcPr>
          <w:p w14:paraId="1A3E6256" w14:textId="48DBCD5A"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16.19</w:t>
            </w:r>
          </w:p>
        </w:tc>
        <w:tc>
          <w:tcPr>
            <w:tcW w:w="1130" w:type="dxa"/>
          </w:tcPr>
          <w:p w14:paraId="06CD975D" w14:textId="3361DF6C"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81.24</w:t>
            </w:r>
          </w:p>
        </w:tc>
      </w:tr>
      <w:tr w:rsidR="008163F3" w:rsidRPr="007F4EE7" w14:paraId="78C1834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7398D83" w14:textId="154BB913" w:rsidR="008163F3" w:rsidRPr="007F4EE7" w:rsidRDefault="008163F3" w:rsidP="00F70D71">
            <w:pPr>
              <w:pStyle w:val="Tablebody"/>
              <w:rPr>
                <w:rFonts w:cs="Open Sans"/>
                <w:szCs w:val="18"/>
              </w:rPr>
            </w:pPr>
            <w:r w:rsidRPr="007F4EE7">
              <w:rPr>
                <w:rFonts w:cs="Open Sans"/>
                <w:szCs w:val="18"/>
              </w:rPr>
              <w:t>G12</w:t>
            </w:r>
          </w:p>
        </w:tc>
        <w:tc>
          <w:tcPr>
            <w:tcW w:w="3912" w:type="dxa"/>
          </w:tcPr>
          <w:p w14:paraId="65F6940F" w14:textId="164C0D9D"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Men should take control in relationships and be the head of the household</w:t>
            </w:r>
          </w:p>
        </w:tc>
        <w:tc>
          <w:tcPr>
            <w:tcW w:w="737" w:type="dxa"/>
          </w:tcPr>
          <w:p w14:paraId="3F9AE980" w14:textId="7EB2F9B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34FCBC7A" w14:textId="33234F8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247" w:type="dxa"/>
          </w:tcPr>
          <w:p w14:paraId="5ED75A27" w14:textId="6CAECAB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2.47</w:t>
            </w:r>
          </w:p>
        </w:tc>
        <w:tc>
          <w:tcPr>
            <w:tcW w:w="1417" w:type="dxa"/>
          </w:tcPr>
          <w:p w14:paraId="06AA6F1A" w14:textId="08A435DD"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9.44</w:t>
            </w:r>
          </w:p>
        </w:tc>
        <w:tc>
          <w:tcPr>
            <w:tcW w:w="1417" w:type="dxa"/>
          </w:tcPr>
          <w:p w14:paraId="5374DF42" w14:textId="1EB30F2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18.76</w:t>
            </w:r>
          </w:p>
        </w:tc>
        <w:tc>
          <w:tcPr>
            <w:tcW w:w="1247" w:type="dxa"/>
          </w:tcPr>
          <w:p w14:paraId="45A5C443" w14:textId="56599AB8"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65.95</w:t>
            </w:r>
          </w:p>
        </w:tc>
        <w:tc>
          <w:tcPr>
            <w:tcW w:w="1247" w:type="dxa"/>
          </w:tcPr>
          <w:p w14:paraId="03671DA7" w14:textId="4691643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3.31</w:t>
            </w:r>
          </w:p>
        </w:tc>
        <w:tc>
          <w:tcPr>
            <w:tcW w:w="1134" w:type="dxa"/>
          </w:tcPr>
          <w:p w14:paraId="25E944F2" w14:textId="52BEE7AD"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11.91</w:t>
            </w:r>
          </w:p>
        </w:tc>
        <w:tc>
          <w:tcPr>
            <w:tcW w:w="1130" w:type="dxa"/>
          </w:tcPr>
          <w:p w14:paraId="0106B103" w14:textId="00CAB330"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84.72</w:t>
            </w:r>
          </w:p>
        </w:tc>
      </w:tr>
      <w:tr w:rsidR="008163F3" w:rsidRPr="007F4EE7" w14:paraId="627FC2C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467AA84" w14:textId="77777777" w:rsidR="008163F3" w:rsidRPr="007F4EE7" w:rsidRDefault="008163F3" w:rsidP="00F70D71">
            <w:pPr>
              <w:pStyle w:val="Tablebody"/>
              <w:rPr>
                <w:rFonts w:cs="Open Sans"/>
                <w:szCs w:val="18"/>
                <w:lang w:val="en-GB"/>
              </w:rPr>
            </w:pPr>
            <w:r w:rsidRPr="007F4EE7">
              <w:rPr>
                <w:rFonts w:cs="Open Sans"/>
                <w:szCs w:val="18"/>
              </w:rPr>
              <w:t>G13</w:t>
            </w:r>
          </w:p>
        </w:tc>
        <w:tc>
          <w:tcPr>
            <w:tcW w:w="3912" w:type="dxa"/>
          </w:tcPr>
          <w:p w14:paraId="28057E2B" w14:textId="0A07F90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Women prefer a man to be in charge of</w:t>
            </w:r>
            <w:r>
              <w:rPr>
                <w:rFonts w:cs="Open Sans"/>
                <w:szCs w:val="18"/>
                <w:lang w:val="en-US"/>
              </w:rPr>
              <w:t> </w:t>
            </w:r>
            <w:r w:rsidRPr="007F4EE7">
              <w:rPr>
                <w:rFonts w:cs="Open Sans"/>
                <w:szCs w:val="18"/>
                <w:lang w:val="en-US"/>
              </w:rPr>
              <w:t>the</w:t>
            </w:r>
            <w:r>
              <w:rPr>
                <w:rFonts w:cs="Open Sans"/>
                <w:szCs w:val="18"/>
                <w:lang w:val="en-US"/>
              </w:rPr>
              <w:t> </w:t>
            </w:r>
            <w:r w:rsidRPr="007F4EE7">
              <w:rPr>
                <w:rFonts w:cs="Open Sans"/>
                <w:szCs w:val="18"/>
                <w:lang w:val="en-US"/>
              </w:rPr>
              <w:t>relationship</w:t>
            </w:r>
          </w:p>
        </w:tc>
        <w:tc>
          <w:tcPr>
            <w:tcW w:w="737" w:type="dxa"/>
          </w:tcPr>
          <w:p w14:paraId="75C606E4"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49035FC6"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247" w:type="dxa"/>
          </w:tcPr>
          <w:p w14:paraId="7BEC762F" w14:textId="0E02788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4.56</w:t>
            </w:r>
            <w:r w:rsidRPr="007F4EE7">
              <w:rPr>
                <w:rFonts w:cs="Open Sans"/>
                <w:szCs w:val="18"/>
                <w:vertAlign w:val="superscript"/>
              </w:rPr>
              <w:t>c</w:t>
            </w:r>
          </w:p>
        </w:tc>
        <w:tc>
          <w:tcPr>
            <w:tcW w:w="1417" w:type="dxa"/>
          </w:tcPr>
          <w:p w14:paraId="51BA3DB7" w14:textId="21CBE8D2"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26.32</w:t>
            </w:r>
          </w:p>
        </w:tc>
        <w:tc>
          <w:tcPr>
            <w:tcW w:w="1417" w:type="dxa"/>
          </w:tcPr>
          <w:p w14:paraId="229D74BA" w14:textId="26AF7EE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33.20</w:t>
            </w:r>
          </w:p>
        </w:tc>
        <w:tc>
          <w:tcPr>
            <w:tcW w:w="1247" w:type="dxa"/>
          </w:tcPr>
          <w:p w14:paraId="7A68B06B" w14:textId="35A5449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30.05</w:t>
            </w:r>
          </w:p>
        </w:tc>
        <w:tc>
          <w:tcPr>
            <w:tcW w:w="1247" w:type="dxa"/>
          </w:tcPr>
          <w:p w14:paraId="7B8F8E93" w14:textId="44E14ABD"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5.08</w:t>
            </w:r>
            <w:r w:rsidRPr="007F4EE7">
              <w:rPr>
                <w:rFonts w:cs="Open Sans"/>
                <w:szCs w:val="18"/>
                <w:vertAlign w:val="superscript"/>
              </w:rPr>
              <w:t>c</w:t>
            </w:r>
          </w:p>
        </w:tc>
        <w:tc>
          <w:tcPr>
            <w:tcW w:w="1134" w:type="dxa"/>
          </w:tcPr>
          <w:p w14:paraId="1B65B5C8" w14:textId="2045C77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30.88</w:t>
            </w:r>
          </w:p>
        </w:tc>
        <w:tc>
          <w:tcPr>
            <w:tcW w:w="1130" w:type="dxa"/>
          </w:tcPr>
          <w:p w14:paraId="72F2AA64" w14:textId="30024CA4"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63.25</w:t>
            </w:r>
          </w:p>
        </w:tc>
      </w:tr>
      <w:tr w:rsidR="008163F3" w:rsidRPr="007F4EE7" w14:paraId="3A3D308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5E58E48" w14:textId="4943712F" w:rsidR="008163F3" w:rsidRPr="007F4EE7" w:rsidRDefault="008163F3" w:rsidP="00F70D71">
            <w:pPr>
              <w:pStyle w:val="Tablebody"/>
              <w:rPr>
                <w:rFonts w:cs="Open Sans"/>
                <w:szCs w:val="18"/>
              </w:rPr>
            </w:pPr>
            <w:r w:rsidRPr="007F4EE7">
              <w:rPr>
                <w:rFonts w:cs="Open Sans"/>
                <w:szCs w:val="18"/>
              </w:rPr>
              <w:t>G13</w:t>
            </w:r>
          </w:p>
        </w:tc>
        <w:tc>
          <w:tcPr>
            <w:tcW w:w="3912" w:type="dxa"/>
          </w:tcPr>
          <w:p w14:paraId="42902816" w14:textId="0D4BF21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Women prefer a man to be in charge of</w:t>
            </w:r>
            <w:r>
              <w:rPr>
                <w:rFonts w:cs="Open Sans"/>
                <w:szCs w:val="18"/>
                <w:lang w:val="en-US"/>
              </w:rPr>
              <w:t> </w:t>
            </w:r>
            <w:r w:rsidRPr="007F4EE7">
              <w:rPr>
                <w:rFonts w:cs="Open Sans"/>
                <w:szCs w:val="18"/>
                <w:lang w:val="en-US"/>
              </w:rPr>
              <w:t>the</w:t>
            </w:r>
            <w:r>
              <w:rPr>
                <w:rFonts w:cs="Open Sans"/>
                <w:szCs w:val="18"/>
                <w:lang w:val="en-US"/>
              </w:rPr>
              <w:t> </w:t>
            </w:r>
            <w:r w:rsidRPr="007F4EE7">
              <w:rPr>
                <w:rFonts w:cs="Open Sans"/>
                <w:szCs w:val="18"/>
                <w:lang w:val="en-US"/>
              </w:rPr>
              <w:t>relationship</w:t>
            </w:r>
          </w:p>
        </w:tc>
        <w:tc>
          <w:tcPr>
            <w:tcW w:w="737" w:type="dxa"/>
          </w:tcPr>
          <w:p w14:paraId="2F5EBC38" w14:textId="3593A53D"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60677D38" w14:textId="7C36EE2C"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247" w:type="dxa"/>
          </w:tcPr>
          <w:p w14:paraId="7D3BB51E" w14:textId="625C0618"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2.48</w:t>
            </w:r>
          </w:p>
        </w:tc>
        <w:tc>
          <w:tcPr>
            <w:tcW w:w="1417" w:type="dxa"/>
          </w:tcPr>
          <w:p w14:paraId="76A02FB0" w14:textId="7F62A72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23.25</w:t>
            </w:r>
          </w:p>
        </w:tc>
        <w:tc>
          <w:tcPr>
            <w:tcW w:w="1417" w:type="dxa"/>
          </w:tcPr>
          <w:p w14:paraId="7A527370" w14:textId="06B3543F"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26.78</w:t>
            </w:r>
          </w:p>
        </w:tc>
        <w:tc>
          <w:tcPr>
            <w:tcW w:w="1247" w:type="dxa"/>
          </w:tcPr>
          <w:p w14:paraId="48237D4F" w14:textId="28B396A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40.29</w:t>
            </w:r>
          </w:p>
        </w:tc>
        <w:tc>
          <w:tcPr>
            <w:tcW w:w="1247" w:type="dxa"/>
          </w:tcPr>
          <w:p w14:paraId="148B0FA7" w14:textId="0CA867F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7.15</w:t>
            </w:r>
          </w:p>
        </w:tc>
        <w:tc>
          <w:tcPr>
            <w:tcW w:w="1134" w:type="dxa"/>
          </w:tcPr>
          <w:p w14:paraId="35E425E0" w14:textId="33A9C8B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25.73</w:t>
            </w:r>
          </w:p>
        </w:tc>
        <w:tc>
          <w:tcPr>
            <w:tcW w:w="1130" w:type="dxa"/>
          </w:tcPr>
          <w:p w14:paraId="0C8DE2A9" w14:textId="13853D91"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67.07</w:t>
            </w:r>
          </w:p>
        </w:tc>
      </w:tr>
    </w:tbl>
    <w:p w14:paraId="56BAE8C4" w14:textId="54293AB7" w:rsidR="006817E4" w:rsidRDefault="006817E4" w:rsidP="00F70D71">
      <w:pPr>
        <w:pStyle w:val="Tablesubheading0"/>
      </w:pPr>
      <w:r>
        <w:lastRenderedPageBreak/>
        <w:t>Subscale: Normalise sexism</w:t>
      </w:r>
    </w:p>
    <w:tbl>
      <w:tblPr>
        <w:tblStyle w:val="Table-SingleHeaderRow"/>
        <w:tblW w:w="14872" w:type="dxa"/>
        <w:tblLayout w:type="fixed"/>
        <w:tblLook w:val="00A0" w:firstRow="1" w:lastRow="0" w:firstColumn="1" w:lastColumn="0" w:noHBand="0" w:noVBand="0"/>
      </w:tblPr>
      <w:tblGrid>
        <w:gridCol w:w="737"/>
        <w:gridCol w:w="3912"/>
        <w:gridCol w:w="737"/>
        <w:gridCol w:w="647"/>
        <w:gridCol w:w="1247"/>
        <w:gridCol w:w="1417"/>
        <w:gridCol w:w="1417"/>
        <w:gridCol w:w="1247"/>
        <w:gridCol w:w="1247"/>
        <w:gridCol w:w="1134"/>
        <w:gridCol w:w="1130"/>
      </w:tblGrid>
      <w:tr w:rsidR="006817E4" w:rsidRPr="007F4EE7" w14:paraId="2400BE77" w14:textId="77777777" w:rsidTr="006B3061">
        <w:trPr>
          <w:cnfStyle w:val="100000000000" w:firstRow="1" w:lastRow="0" w:firstColumn="0" w:lastColumn="0" w:oddVBand="0" w:evenVBand="0" w:oddHBand="0" w:evenHBand="0" w:firstRowFirstColumn="0" w:firstRowLastColumn="0" w:lastRowFirstColumn="0" w:lastRowLastColumn="0"/>
          <w:trHeight w:val="445"/>
          <w:tblHeader/>
        </w:trPr>
        <w:tc>
          <w:tcPr>
            <w:cnfStyle w:val="001000000000" w:firstRow="0" w:lastRow="0" w:firstColumn="1" w:lastColumn="0" w:oddVBand="0" w:evenVBand="0" w:oddHBand="0" w:evenHBand="0" w:firstRowFirstColumn="0" w:firstRowLastColumn="0" w:lastRowFirstColumn="0" w:lastRowLastColumn="0"/>
            <w:tcW w:w="737" w:type="dxa"/>
          </w:tcPr>
          <w:p w14:paraId="63501219" w14:textId="77777777" w:rsidR="006817E4" w:rsidRPr="007F4EE7" w:rsidRDefault="006817E4" w:rsidP="00F70D71">
            <w:pPr>
              <w:pStyle w:val="Tablebody"/>
              <w:rPr>
                <w:b w:val="0"/>
                <w:lang w:val="en-GB"/>
              </w:rPr>
            </w:pPr>
            <w:r w:rsidRPr="007F4EE7">
              <w:t>Code</w:t>
            </w:r>
          </w:p>
        </w:tc>
        <w:tc>
          <w:tcPr>
            <w:tcW w:w="3912" w:type="dxa"/>
          </w:tcPr>
          <w:p w14:paraId="11D323C0"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Abbreviated item wording</w:t>
            </w:r>
          </w:p>
        </w:tc>
        <w:tc>
          <w:tcPr>
            <w:tcW w:w="737" w:type="dxa"/>
          </w:tcPr>
          <w:p w14:paraId="6C0F27FB"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Age</w:t>
            </w:r>
          </w:p>
        </w:tc>
        <w:tc>
          <w:tcPr>
            <w:tcW w:w="647" w:type="dxa"/>
          </w:tcPr>
          <w:p w14:paraId="1C7DC0F8" w14:textId="77777777" w:rsidR="006817E4" w:rsidRPr="00DB512A" w:rsidRDefault="006817E4" w:rsidP="00F70D7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247" w:type="dxa"/>
          </w:tcPr>
          <w:p w14:paraId="1F60BC71" w14:textId="355DAA55"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agree</w:t>
            </w:r>
          </w:p>
        </w:tc>
        <w:tc>
          <w:tcPr>
            <w:tcW w:w="1417" w:type="dxa"/>
          </w:tcPr>
          <w:p w14:paraId="5D2A066D"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agree</w:t>
            </w:r>
          </w:p>
        </w:tc>
        <w:tc>
          <w:tcPr>
            <w:tcW w:w="1417" w:type="dxa"/>
          </w:tcPr>
          <w:p w14:paraId="30457976"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disagree</w:t>
            </w:r>
          </w:p>
        </w:tc>
        <w:tc>
          <w:tcPr>
            <w:tcW w:w="1247" w:type="dxa"/>
          </w:tcPr>
          <w:p w14:paraId="745172FD"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disagree</w:t>
            </w:r>
          </w:p>
        </w:tc>
        <w:tc>
          <w:tcPr>
            <w:tcW w:w="1247" w:type="dxa"/>
          </w:tcPr>
          <w:p w14:paraId="73B54CEB" w14:textId="655C4A68"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Undecided</w:t>
            </w:r>
          </w:p>
        </w:tc>
        <w:tc>
          <w:tcPr>
            <w:tcW w:w="1134" w:type="dxa"/>
          </w:tcPr>
          <w:p w14:paraId="0D54BAB3" w14:textId="209F5538"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agree</w:t>
            </w:r>
            <w:r w:rsidRPr="007F4EE7">
              <w:rPr>
                <w:vertAlign w:val="superscript"/>
              </w:rPr>
              <w:t>a</w:t>
            </w:r>
          </w:p>
        </w:tc>
        <w:tc>
          <w:tcPr>
            <w:tcW w:w="1130" w:type="dxa"/>
          </w:tcPr>
          <w:p w14:paraId="068B2B17" w14:textId="77777777" w:rsidR="006817E4" w:rsidRPr="007F4EE7" w:rsidRDefault="006817E4" w:rsidP="00F70D7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disagree</w:t>
            </w:r>
            <w:r w:rsidRPr="007F4EE7">
              <w:rPr>
                <w:vertAlign w:val="superscript"/>
              </w:rPr>
              <w:t>b</w:t>
            </w:r>
          </w:p>
        </w:tc>
      </w:tr>
      <w:tr w:rsidR="00AC3F66" w:rsidRPr="007F4EE7" w14:paraId="20F89C19" w14:textId="77777777" w:rsidTr="006B3061">
        <w:trPr>
          <w:trHeight w:val="495"/>
        </w:trPr>
        <w:tc>
          <w:tcPr>
            <w:cnfStyle w:val="001000000000" w:firstRow="0" w:lastRow="0" w:firstColumn="1" w:lastColumn="0" w:oddVBand="0" w:evenVBand="0" w:oddHBand="0" w:evenHBand="0" w:firstRowFirstColumn="0" w:firstRowLastColumn="0" w:lastRowFirstColumn="0" w:lastRowLastColumn="0"/>
            <w:tcW w:w="737" w:type="dxa"/>
          </w:tcPr>
          <w:p w14:paraId="73F4A216" w14:textId="77777777" w:rsidR="00AC3F66" w:rsidRPr="007F4EE7" w:rsidRDefault="00AC3F66" w:rsidP="00F70D71">
            <w:pPr>
              <w:pStyle w:val="Tablebody"/>
              <w:rPr>
                <w:rFonts w:cs="Open Sans"/>
                <w:szCs w:val="18"/>
                <w:lang w:val="en-GB"/>
              </w:rPr>
            </w:pPr>
            <w:r w:rsidRPr="007F4EE7">
              <w:rPr>
                <w:rFonts w:cs="Open Sans"/>
                <w:szCs w:val="18"/>
              </w:rPr>
              <w:t>G10</w:t>
            </w:r>
          </w:p>
        </w:tc>
        <w:tc>
          <w:tcPr>
            <w:tcW w:w="3912" w:type="dxa"/>
          </w:tcPr>
          <w:p w14:paraId="0AFB2CCB"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Discrimination against women is no longer a problem in the workplace in Australia</w:t>
            </w:r>
            <w:r w:rsidRPr="007F4EE7">
              <w:rPr>
                <w:rFonts w:ascii="Montserrat" w:hAnsi="Montserrat" w:cs="Montserrat"/>
                <w:szCs w:val="18"/>
                <w:lang w:val="en-US"/>
              </w:rPr>
              <w:t>~</w:t>
            </w:r>
          </w:p>
        </w:tc>
        <w:tc>
          <w:tcPr>
            <w:tcW w:w="737" w:type="dxa"/>
          </w:tcPr>
          <w:p w14:paraId="60F21287"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41BDBA62" w14:textId="77777777"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74</w:t>
            </w:r>
          </w:p>
        </w:tc>
        <w:tc>
          <w:tcPr>
            <w:tcW w:w="1247" w:type="dxa"/>
          </w:tcPr>
          <w:p w14:paraId="7D92F430" w14:textId="79D0EF91"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2.38</w:t>
            </w:r>
            <w:r w:rsidRPr="007F4EE7">
              <w:rPr>
                <w:rFonts w:cs="Open Sans"/>
                <w:szCs w:val="18"/>
                <w:vertAlign w:val="superscript"/>
              </w:rPr>
              <w:t>c</w:t>
            </w:r>
          </w:p>
        </w:tc>
        <w:tc>
          <w:tcPr>
            <w:tcW w:w="1417" w:type="dxa"/>
          </w:tcPr>
          <w:p w14:paraId="14E4B3B4" w14:textId="3163C6D8"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2.84</w:t>
            </w:r>
            <w:r w:rsidRPr="007F4EE7">
              <w:rPr>
                <w:rFonts w:cs="Open Sans"/>
                <w:szCs w:val="18"/>
                <w:vertAlign w:val="superscript"/>
              </w:rPr>
              <w:t>c</w:t>
            </w:r>
          </w:p>
        </w:tc>
        <w:tc>
          <w:tcPr>
            <w:tcW w:w="1417" w:type="dxa"/>
          </w:tcPr>
          <w:p w14:paraId="2CDF0EE5" w14:textId="4A69E9DE"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33.37</w:t>
            </w:r>
          </w:p>
        </w:tc>
        <w:tc>
          <w:tcPr>
            <w:tcW w:w="1247" w:type="dxa"/>
          </w:tcPr>
          <w:p w14:paraId="52BAA7BA" w14:textId="5C3DD488"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61.42</w:t>
            </w:r>
          </w:p>
        </w:tc>
        <w:tc>
          <w:tcPr>
            <w:tcW w:w="1247" w:type="dxa"/>
          </w:tcPr>
          <w:p w14:paraId="631B54F0" w14:textId="4B0F56B3"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0.00</w:t>
            </w:r>
          </w:p>
        </w:tc>
        <w:tc>
          <w:tcPr>
            <w:tcW w:w="1134" w:type="dxa"/>
          </w:tcPr>
          <w:p w14:paraId="6861F002" w14:textId="44FF0D66"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5.21</w:t>
            </w:r>
            <w:r w:rsidRPr="007F4EE7">
              <w:rPr>
                <w:rFonts w:cs="Open Sans"/>
                <w:szCs w:val="18"/>
                <w:vertAlign w:val="superscript"/>
              </w:rPr>
              <w:t>c</w:t>
            </w:r>
          </w:p>
        </w:tc>
        <w:tc>
          <w:tcPr>
            <w:tcW w:w="1130" w:type="dxa"/>
          </w:tcPr>
          <w:p w14:paraId="3A1DB6BF" w14:textId="267DDD15" w:rsidR="00AC3F66" w:rsidRPr="007F4EE7" w:rsidRDefault="00AC3F66"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94.79</w:t>
            </w:r>
          </w:p>
        </w:tc>
      </w:tr>
      <w:tr w:rsidR="008163F3" w:rsidRPr="007F4EE7" w14:paraId="7297B5C4" w14:textId="77777777" w:rsidTr="006B3061">
        <w:trPr>
          <w:trHeight w:val="495"/>
        </w:trPr>
        <w:tc>
          <w:tcPr>
            <w:cnfStyle w:val="001000000000" w:firstRow="0" w:lastRow="0" w:firstColumn="1" w:lastColumn="0" w:oddVBand="0" w:evenVBand="0" w:oddHBand="0" w:evenHBand="0" w:firstRowFirstColumn="0" w:firstRowLastColumn="0" w:lastRowFirstColumn="0" w:lastRowLastColumn="0"/>
            <w:tcW w:w="737" w:type="dxa"/>
          </w:tcPr>
          <w:p w14:paraId="472B316C" w14:textId="15EAB2DE" w:rsidR="008163F3" w:rsidRPr="007F4EE7" w:rsidRDefault="008163F3" w:rsidP="00F70D71">
            <w:pPr>
              <w:pStyle w:val="Tablebody"/>
              <w:rPr>
                <w:rFonts w:cs="Open Sans"/>
                <w:szCs w:val="18"/>
              </w:rPr>
            </w:pPr>
            <w:r w:rsidRPr="007F4EE7">
              <w:rPr>
                <w:rFonts w:cs="Open Sans"/>
                <w:szCs w:val="18"/>
              </w:rPr>
              <w:t>G10</w:t>
            </w:r>
          </w:p>
        </w:tc>
        <w:tc>
          <w:tcPr>
            <w:tcW w:w="3912" w:type="dxa"/>
          </w:tcPr>
          <w:p w14:paraId="5F13E176" w14:textId="67DCBCA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Discrimination against women is no longer a</w:t>
            </w:r>
            <w:r>
              <w:rPr>
                <w:rFonts w:cs="Open Sans"/>
                <w:szCs w:val="18"/>
                <w:lang w:val="en-US"/>
              </w:rPr>
              <w:t> </w:t>
            </w:r>
            <w:r w:rsidRPr="007F4EE7">
              <w:rPr>
                <w:rFonts w:cs="Open Sans"/>
                <w:szCs w:val="18"/>
                <w:lang w:val="en-US"/>
              </w:rPr>
              <w:t>problem in the workplace in Australia</w:t>
            </w:r>
            <w:r w:rsidRPr="007F4EE7">
              <w:rPr>
                <w:rFonts w:ascii="Montserrat" w:hAnsi="Montserrat" w:cs="Montserrat"/>
                <w:szCs w:val="18"/>
                <w:lang w:val="en-US"/>
              </w:rPr>
              <w:t>~</w:t>
            </w:r>
          </w:p>
        </w:tc>
        <w:tc>
          <w:tcPr>
            <w:tcW w:w="737" w:type="dxa"/>
          </w:tcPr>
          <w:p w14:paraId="18BD54EB" w14:textId="1A3E0985"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326F882C" w14:textId="58FFE54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477</w:t>
            </w:r>
          </w:p>
        </w:tc>
        <w:tc>
          <w:tcPr>
            <w:tcW w:w="1247" w:type="dxa"/>
          </w:tcPr>
          <w:p w14:paraId="7BC7E0CA" w14:textId="6C0C4E01"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0.81</w:t>
            </w:r>
            <w:r w:rsidRPr="007F4EE7">
              <w:rPr>
                <w:rFonts w:cs="Open Sans"/>
                <w:szCs w:val="18"/>
                <w:vertAlign w:val="superscript"/>
              </w:rPr>
              <w:t>c</w:t>
            </w:r>
          </w:p>
        </w:tc>
        <w:tc>
          <w:tcPr>
            <w:tcW w:w="1417" w:type="dxa"/>
          </w:tcPr>
          <w:p w14:paraId="3E07994C" w14:textId="2F195B7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7.53</w:t>
            </w:r>
          </w:p>
        </w:tc>
        <w:tc>
          <w:tcPr>
            <w:tcW w:w="1417" w:type="dxa"/>
          </w:tcPr>
          <w:p w14:paraId="4490D273" w14:textId="7AD61195"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25.68</w:t>
            </w:r>
          </w:p>
        </w:tc>
        <w:tc>
          <w:tcPr>
            <w:tcW w:w="1247" w:type="dxa"/>
          </w:tcPr>
          <w:p w14:paraId="02E65774" w14:textId="016D73EC"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64.24</w:t>
            </w:r>
          </w:p>
        </w:tc>
        <w:tc>
          <w:tcPr>
            <w:tcW w:w="1247" w:type="dxa"/>
          </w:tcPr>
          <w:p w14:paraId="59B5B02A" w14:textId="5F04E2B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1.74</w:t>
            </w:r>
            <w:r w:rsidRPr="007F4EE7">
              <w:rPr>
                <w:rFonts w:cs="Open Sans"/>
                <w:szCs w:val="18"/>
                <w:vertAlign w:val="superscript"/>
              </w:rPr>
              <w:t>c</w:t>
            </w:r>
          </w:p>
        </w:tc>
        <w:tc>
          <w:tcPr>
            <w:tcW w:w="1134" w:type="dxa"/>
          </w:tcPr>
          <w:p w14:paraId="2A342FDA" w14:textId="5979CF2F"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8.34</w:t>
            </w:r>
          </w:p>
        </w:tc>
        <w:tc>
          <w:tcPr>
            <w:tcW w:w="1130" w:type="dxa"/>
          </w:tcPr>
          <w:p w14:paraId="2F1C7A97" w14:textId="310E216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89.92</w:t>
            </w:r>
          </w:p>
        </w:tc>
      </w:tr>
      <w:tr w:rsidR="008163F3" w:rsidRPr="007F4EE7" w14:paraId="551F202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DC3936E" w14:textId="77777777" w:rsidR="008163F3" w:rsidRPr="007F4EE7" w:rsidRDefault="008163F3" w:rsidP="00F70D71">
            <w:pPr>
              <w:pStyle w:val="Tablebody"/>
              <w:rPr>
                <w:rFonts w:cs="Open Sans"/>
                <w:szCs w:val="18"/>
                <w:lang w:val="en-GB"/>
              </w:rPr>
            </w:pPr>
            <w:r w:rsidRPr="007F4EE7">
              <w:rPr>
                <w:rFonts w:cs="Open Sans"/>
                <w:szCs w:val="18"/>
              </w:rPr>
              <w:t>G16</w:t>
            </w:r>
          </w:p>
        </w:tc>
        <w:tc>
          <w:tcPr>
            <w:tcW w:w="3912" w:type="dxa"/>
          </w:tcPr>
          <w:p w14:paraId="22FBAD24" w14:textId="16EDF9B9"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I think there’s no harm in men making sexist jokes about women when they are among their male friends</w:t>
            </w:r>
            <w:r w:rsidRPr="007F4EE7">
              <w:rPr>
                <w:rFonts w:ascii="Montserrat" w:hAnsi="Montserrat" w:cs="Montserrat"/>
                <w:szCs w:val="18"/>
                <w:lang w:val="en-US"/>
              </w:rPr>
              <w:t>~</w:t>
            </w:r>
          </w:p>
        </w:tc>
        <w:tc>
          <w:tcPr>
            <w:tcW w:w="737" w:type="dxa"/>
          </w:tcPr>
          <w:p w14:paraId="2C2E112D"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7E55AFAE"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74</w:t>
            </w:r>
          </w:p>
        </w:tc>
        <w:tc>
          <w:tcPr>
            <w:tcW w:w="1247" w:type="dxa"/>
          </w:tcPr>
          <w:p w14:paraId="47A01904" w14:textId="210BD11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2.79</w:t>
            </w:r>
            <w:r w:rsidRPr="007F4EE7">
              <w:rPr>
                <w:rFonts w:cs="Open Sans"/>
                <w:szCs w:val="18"/>
                <w:vertAlign w:val="superscript"/>
              </w:rPr>
              <w:t>c</w:t>
            </w:r>
          </w:p>
        </w:tc>
        <w:tc>
          <w:tcPr>
            <w:tcW w:w="1417" w:type="dxa"/>
          </w:tcPr>
          <w:p w14:paraId="04A591E1" w14:textId="4E2FE85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8.62</w:t>
            </w:r>
            <w:r w:rsidRPr="007F4EE7">
              <w:rPr>
                <w:rFonts w:cs="Open Sans"/>
                <w:szCs w:val="18"/>
                <w:vertAlign w:val="superscript"/>
              </w:rPr>
              <w:t>c</w:t>
            </w:r>
          </w:p>
        </w:tc>
        <w:tc>
          <w:tcPr>
            <w:tcW w:w="1417" w:type="dxa"/>
          </w:tcPr>
          <w:p w14:paraId="6EB7B4F8" w14:textId="335F3B82"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25.77</w:t>
            </w:r>
          </w:p>
        </w:tc>
        <w:tc>
          <w:tcPr>
            <w:tcW w:w="1247" w:type="dxa"/>
          </w:tcPr>
          <w:p w14:paraId="48FB67F0" w14:textId="677AA9D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60.42</w:t>
            </w:r>
          </w:p>
        </w:tc>
        <w:tc>
          <w:tcPr>
            <w:tcW w:w="1247" w:type="dxa"/>
          </w:tcPr>
          <w:p w14:paraId="7ED6AC56" w14:textId="46E5444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1.04</w:t>
            </w:r>
            <w:r w:rsidRPr="007F4EE7">
              <w:rPr>
                <w:rFonts w:cs="Open Sans"/>
                <w:szCs w:val="18"/>
                <w:vertAlign w:val="superscript"/>
              </w:rPr>
              <w:t>c</w:t>
            </w:r>
          </w:p>
        </w:tc>
        <w:tc>
          <w:tcPr>
            <w:tcW w:w="1134" w:type="dxa"/>
          </w:tcPr>
          <w:p w14:paraId="33C31E86" w14:textId="73042D5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11.41</w:t>
            </w:r>
            <w:r w:rsidRPr="007F4EE7">
              <w:rPr>
                <w:rFonts w:cs="Open Sans"/>
                <w:szCs w:val="18"/>
                <w:vertAlign w:val="superscript"/>
              </w:rPr>
              <w:t>c</w:t>
            </w:r>
          </w:p>
        </w:tc>
        <w:tc>
          <w:tcPr>
            <w:tcW w:w="1130" w:type="dxa"/>
          </w:tcPr>
          <w:p w14:paraId="69E6C4F7" w14:textId="67D27F1C"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86.20</w:t>
            </w:r>
          </w:p>
        </w:tc>
      </w:tr>
      <w:tr w:rsidR="008163F3" w:rsidRPr="007F4EE7" w14:paraId="6D7516D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4876852" w14:textId="4F66ABBC" w:rsidR="008163F3" w:rsidRPr="007F4EE7" w:rsidRDefault="008163F3" w:rsidP="00F70D71">
            <w:pPr>
              <w:pStyle w:val="Tablebody"/>
              <w:rPr>
                <w:rFonts w:cs="Open Sans"/>
                <w:szCs w:val="18"/>
              </w:rPr>
            </w:pPr>
            <w:r w:rsidRPr="007F4EE7">
              <w:rPr>
                <w:rFonts w:cs="Open Sans"/>
                <w:szCs w:val="18"/>
              </w:rPr>
              <w:t>G16</w:t>
            </w:r>
          </w:p>
        </w:tc>
        <w:tc>
          <w:tcPr>
            <w:tcW w:w="3912" w:type="dxa"/>
          </w:tcPr>
          <w:p w14:paraId="19B9DF6B" w14:textId="184DD4C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I think there’s no harm in men making sexist jokes about women when they are among their male friends</w:t>
            </w:r>
            <w:r w:rsidRPr="007F4EE7">
              <w:rPr>
                <w:rFonts w:ascii="Montserrat" w:hAnsi="Montserrat" w:cs="Montserrat"/>
                <w:szCs w:val="18"/>
                <w:lang w:val="en-US"/>
              </w:rPr>
              <w:t>~</w:t>
            </w:r>
          </w:p>
        </w:tc>
        <w:tc>
          <w:tcPr>
            <w:tcW w:w="737" w:type="dxa"/>
          </w:tcPr>
          <w:p w14:paraId="0ABCC63E" w14:textId="7CE8F7D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070DFF1C" w14:textId="1078BE4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477</w:t>
            </w:r>
          </w:p>
        </w:tc>
        <w:tc>
          <w:tcPr>
            <w:tcW w:w="1247" w:type="dxa"/>
          </w:tcPr>
          <w:p w14:paraId="3F008CB2" w14:textId="0327CB0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1.56</w:t>
            </w:r>
            <w:r w:rsidRPr="007F4EE7">
              <w:rPr>
                <w:rFonts w:cs="Open Sans"/>
                <w:szCs w:val="18"/>
                <w:vertAlign w:val="superscript"/>
              </w:rPr>
              <w:t>c</w:t>
            </w:r>
          </w:p>
        </w:tc>
        <w:tc>
          <w:tcPr>
            <w:tcW w:w="1417" w:type="dxa"/>
          </w:tcPr>
          <w:p w14:paraId="132252FF" w14:textId="28A3EE2F"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10.40</w:t>
            </w:r>
          </w:p>
        </w:tc>
        <w:tc>
          <w:tcPr>
            <w:tcW w:w="1417" w:type="dxa"/>
          </w:tcPr>
          <w:p w14:paraId="26D6BB4F" w14:textId="33F54E7B"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23.10</w:t>
            </w:r>
          </w:p>
        </w:tc>
        <w:tc>
          <w:tcPr>
            <w:tcW w:w="1247" w:type="dxa"/>
          </w:tcPr>
          <w:p w14:paraId="16DC81CB" w14:textId="64D0812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61.50</w:t>
            </w:r>
          </w:p>
        </w:tc>
        <w:tc>
          <w:tcPr>
            <w:tcW w:w="1247" w:type="dxa"/>
          </w:tcPr>
          <w:p w14:paraId="246C1626" w14:textId="2DF77F0C"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3.44</w:t>
            </w:r>
            <w:r w:rsidRPr="007F4EE7">
              <w:rPr>
                <w:rFonts w:cs="Open Sans"/>
                <w:szCs w:val="18"/>
                <w:vertAlign w:val="superscript"/>
              </w:rPr>
              <w:t>c</w:t>
            </w:r>
          </w:p>
        </w:tc>
        <w:tc>
          <w:tcPr>
            <w:tcW w:w="1134" w:type="dxa"/>
          </w:tcPr>
          <w:p w14:paraId="619A7BA1" w14:textId="0AD1CCF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11.96</w:t>
            </w:r>
          </w:p>
        </w:tc>
        <w:tc>
          <w:tcPr>
            <w:tcW w:w="1130" w:type="dxa"/>
          </w:tcPr>
          <w:p w14:paraId="7E85C8CB" w14:textId="2DB034BC"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84.60</w:t>
            </w:r>
          </w:p>
        </w:tc>
      </w:tr>
      <w:tr w:rsidR="008163F3" w:rsidRPr="007F4EE7" w14:paraId="265BA6D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68F9A31" w14:textId="77777777" w:rsidR="008163F3" w:rsidRPr="007F4EE7" w:rsidRDefault="008163F3" w:rsidP="00F70D71">
            <w:pPr>
              <w:pStyle w:val="Tablebody"/>
              <w:rPr>
                <w:rFonts w:cs="Open Sans"/>
                <w:szCs w:val="18"/>
                <w:lang w:val="en-GB"/>
              </w:rPr>
            </w:pPr>
            <w:r w:rsidRPr="007F4EE7">
              <w:rPr>
                <w:rFonts w:cs="Open Sans"/>
                <w:szCs w:val="18"/>
              </w:rPr>
              <w:t>G17</w:t>
            </w:r>
          </w:p>
        </w:tc>
        <w:tc>
          <w:tcPr>
            <w:tcW w:w="3912" w:type="dxa"/>
          </w:tcPr>
          <w:p w14:paraId="3E1B0DB0" w14:textId="6728F6E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I think it’s OK for men to joke with their male friends about being violent towards</w:t>
            </w:r>
            <w:r>
              <w:rPr>
                <w:rFonts w:cs="Open Sans"/>
                <w:szCs w:val="18"/>
                <w:lang w:val="en-US"/>
              </w:rPr>
              <w:t> </w:t>
            </w:r>
            <w:r w:rsidRPr="007F4EE7">
              <w:rPr>
                <w:rFonts w:cs="Open Sans"/>
                <w:szCs w:val="18"/>
                <w:lang w:val="en-US"/>
              </w:rPr>
              <w:t>women</w:t>
            </w:r>
            <w:r w:rsidRPr="007F4EE7">
              <w:rPr>
                <w:rFonts w:ascii="Montserrat" w:hAnsi="Montserrat" w:cs="Montserrat"/>
                <w:szCs w:val="18"/>
                <w:lang w:val="en-US"/>
              </w:rPr>
              <w:t>~</w:t>
            </w:r>
          </w:p>
        </w:tc>
        <w:tc>
          <w:tcPr>
            <w:tcW w:w="737" w:type="dxa"/>
          </w:tcPr>
          <w:p w14:paraId="2EE8E225"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37386AAD" w14:textId="7777777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108</w:t>
            </w:r>
          </w:p>
        </w:tc>
        <w:tc>
          <w:tcPr>
            <w:tcW w:w="1247" w:type="dxa"/>
          </w:tcPr>
          <w:p w14:paraId="503CE479" w14:textId="6F1C728F"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1.94</w:t>
            </w:r>
            <w:r w:rsidRPr="007F4EE7">
              <w:rPr>
                <w:rFonts w:cs="Open Sans"/>
                <w:szCs w:val="18"/>
                <w:vertAlign w:val="superscript"/>
              </w:rPr>
              <w:t>c</w:t>
            </w:r>
          </w:p>
        </w:tc>
        <w:tc>
          <w:tcPr>
            <w:tcW w:w="1417" w:type="dxa"/>
          </w:tcPr>
          <w:p w14:paraId="1EE2D602" w14:textId="4ED065C5"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3.34</w:t>
            </w:r>
            <w:r w:rsidRPr="007F4EE7">
              <w:rPr>
                <w:rFonts w:cs="Open Sans"/>
                <w:szCs w:val="18"/>
                <w:vertAlign w:val="superscript"/>
              </w:rPr>
              <w:t>c</w:t>
            </w:r>
          </w:p>
        </w:tc>
        <w:tc>
          <w:tcPr>
            <w:tcW w:w="1417" w:type="dxa"/>
          </w:tcPr>
          <w:p w14:paraId="40DF8BCD" w14:textId="31F2A409"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6.12</w:t>
            </w:r>
            <w:r w:rsidRPr="007F4EE7">
              <w:rPr>
                <w:rFonts w:cs="Open Sans"/>
                <w:szCs w:val="18"/>
                <w:vertAlign w:val="superscript"/>
              </w:rPr>
              <w:t>c</w:t>
            </w:r>
          </w:p>
        </w:tc>
        <w:tc>
          <w:tcPr>
            <w:tcW w:w="1247" w:type="dxa"/>
          </w:tcPr>
          <w:p w14:paraId="203A760C" w14:textId="5B9516B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87.92</w:t>
            </w:r>
          </w:p>
        </w:tc>
        <w:tc>
          <w:tcPr>
            <w:tcW w:w="1247" w:type="dxa"/>
          </w:tcPr>
          <w:p w14:paraId="18D0DB16" w14:textId="01953DE1"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0.00</w:t>
            </w:r>
          </w:p>
        </w:tc>
        <w:tc>
          <w:tcPr>
            <w:tcW w:w="1134" w:type="dxa"/>
          </w:tcPr>
          <w:p w14:paraId="65DD3BF3" w14:textId="165A8DB3"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5.28</w:t>
            </w:r>
            <w:r w:rsidRPr="007F4EE7">
              <w:rPr>
                <w:rFonts w:cs="Open Sans"/>
                <w:szCs w:val="18"/>
                <w:vertAlign w:val="superscript"/>
              </w:rPr>
              <w:t>c</w:t>
            </w:r>
          </w:p>
        </w:tc>
        <w:tc>
          <w:tcPr>
            <w:tcW w:w="1130" w:type="dxa"/>
          </w:tcPr>
          <w:p w14:paraId="223A0196" w14:textId="55739A95"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94.03</w:t>
            </w:r>
          </w:p>
        </w:tc>
      </w:tr>
      <w:tr w:rsidR="008163F3" w:rsidRPr="007F4EE7" w14:paraId="134D7060"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F27FA15" w14:textId="64B3B5FD" w:rsidR="008163F3" w:rsidRPr="007F4EE7" w:rsidRDefault="008163F3" w:rsidP="00F70D71">
            <w:pPr>
              <w:pStyle w:val="Tablebody"/>
              <w:rPr>
                <w:rFonts w:cs="Open Sans"/>
                <w:szCs w:val="18"/>
              </w:rPr>
            </w:pPr>
            <w:r w:rsidRPr="007F4EE7">
              <w:rPr>
                <w:rFonts w:cs="Open Sans"/>
                <w:szCs w:val="18"/>
              </w:rPr>
              <w:t>G17</w:t>
            </w:r>
          </w:p>
        </w:tc>
        <w:tc>
          <w:tcPr>
            <w:tcW w:w="3912" w:type="dxa"/>
          </w:tcPr>
          <w:p w14:paraId="0BB1B992" w14:textId="58D2D4B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I think it’s OK for men to joke with their male friends about being violent towards</w:t>
            </w:r>
            <w:r w:rsidR="00F1395C">
              <w:rPr>
                <w:rFonts w:cs="Open Sans"/>
                <w:szCs w:val="18"/>
                <w:lang w:val="en-US"/>
              </w:rPr>
              <w:t> </w:t>
            </w:r>
            <w:r w:rsidRPr="007F4EE7">
              <w:rPr>
                <w:rFonts w:cs="Open Sans"/>
                <w:szCs w:val="18"/>
                <w:lang w:val="en-US"/>
              </w:rPr>
              <w:t>women</w:t>
            </w:r>
            <w:r w:rsidRPr="007F4EE7">
              <w:rPr>
                <w:rFonts w:ascii="Montserrat" w:hAnsi="Montserrat" w:cs="Montserrat"/>
                <w:szCs w:val="18"/>
                <w:lang w:val="en-US"/>
              </w:rPr>
              <w:t>~</w:t>
            </w:r>
          </w:p>
        </w:tc>
        <w:tc>
          <w:tcPr>
            <w:tcW w:w="737" w:type="dxa"/>
          </w:tcPr>
          <w:p w14:paraId="3C28C385" w14:textId="2DDDBAC9"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02E1A8FA" w14:textId="2E53847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717</w:t>
            </w:r>
          </w:p>
        </w:tc>
        <w:tc>
          <w:tcPr>
            <w:tcW w:w="1247" w:type="dxa"/>
          </w:tcPr>
          <w:p w14:paraId="261C2243" w14:textId="550E9696"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0.00</w:t>
            </w:r>
          </w:p>
        </w:tc>
        <w:tc>
          <w:tcPr>
            <w:tcW w:w="1417" w:type="dxa"/>
          </w:tcPr>
          <w:p w14:paraId="205B3AF6" w14:textId="2BB3D6E7"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2.58</w:t>
            </w:r>
            <w:r w:rsidRPr="007F4EE7">
              <w:rPr>
                <w:rFonts w:cs="Open Sans"/>
                <w:szCs w:val="18"/>
                <w:vertAlign w:val="superscript"/>
              </w:rPr>
              <w:t>c</w:t>
            </w:r>
          </w:p>
        </w:tc>
        <w:tc>
          <w:tcPr>
            <w:tcW w:w="1417" w:type="dxa"/>
          </w:tcPr>
          <w:p w14:paraId="66F1B8F2" w14:textId="2D4830A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8.43</w:t>
            </w:r>
          </w:p>
        </w:tc>
        <w:tc>
          <w:tcPr>
            <w:tcW w:w="1247" w:type="dxa"/>
          </w:tcPr>
          <w:p w14:paraId="625103FD" w14:textId="457FADF1"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88.44</w:t>
            </w:r>
          </w:p>
        </w:tc>
        <w:tc>
          <w:tcPr>
            <w:tcW w:w="1247" w:type="dxa"/>
          </w:tcPr>
          <w:p w14:paraId="5912E636" w14:textId="4E40DBA1"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0.55</w:t>
            </w:r>
            <w:r w:rsidRPr="007F4EE7">
              <w:rPr>
                <w:rFonts w:cs="Open Sans"/>
                <w:szCs w:val="18"/>
                <w:vertAlign w:val="superscript"/>
              </w:rPr>
              <w:t>c</w:t>
            </w:r>
          </w:p>
        </w:tc>
        <w:tc>
          <w:tcPr>
            <w:tcW w:w="1134" w:type="dxa"/>
          </w:tcPr>
          <w:p w14:paraId="451695A3" w14:textId="29368A9A"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2.58</w:t>
            </w:r>
            <w:r w:rsidRPr="007F4EE7">
              <w:rPr>
                <w:rFonts w:cs="Open Sans"/>
                <w:szCs w:val="18"/>
                <w:vertAlign w:val="superscript"/>
              </w:rPr>
              <w:t>c</w:t>
            </w:r>
          </w:p>
        </w:tc>
        <w:tc>
          <w:tcPr>
            <w:tcW w:w="1130" w:type="dxa"/>
          </w:tcPr>
          <w:p w14:paraId="0E7756E6" w14:textId="2C700AFE" w:rsidR="008163F3" w:rsidRPr="007F4EE7" w:rsidRDefault="008163F3" w:rsidP="00F70D7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96.87</w:t>
            </w:r>
          </w:p>
        </w:tc>
      </w:tr>
    </w:tbl>
    <w:p w14:paraId="3FF333F8" w14:textId="6EAEF2BD" w:rsidR="006817E4" w:rsidRDefault="006817E4" w:rsidP="008B6D01">
      <w:pPr>
        <w:pStyle w:val="Tablesubheading0"/>
      </w:pPr>
      <w:r>
        <w:t>Subscale:</w:t>
      </w:r>
      <w:r w:rsidRPr="006817E4">
        <w:t xml:space="preserve"> </w:t>
      </w:r>
      <w:r w:rsidRPr="007F4EE7">
        <w:t>Reinforce Gender Roles</w:t>
      </w:r>
    </w:p>
    <w:tbl>
      <w:tblPr>
        <w:tblStyle w:val="Table-SingleHeaderRow"/>
        <w:tblW w:w="14955" w:type="dxa"/>
        <w:tblLayout w:type="fixed"/>
        <w:tblLook w:val="00A0" w:firstRow="1" w:lastRow="0" w:firstColumn="1" w:lastColumn="0" w:noHBand="0" w:noVBand="0"/>
      </w:tblPr>
      <w:tblGrid>
        <w:gridCol w:w="737"/>
        <w:gridCol w:w="4706"/>
        <w:gridCol w:w="737"/>
        <w:gridCol w:w="647"/>
        <w:gridCol w:w="1129"/>
        <w:gridCol w:w="1192"/>
        <w:gridCol w:w="1185"/>
        <w:gridCol w:w="1111"/>
        <w:gridCol w:w="1247"/>
        <w:gridCol w:w="1134"/>
        <w:gridCol w:w="1130"/>
      </w:tblGrid>
      <w:tr w:rsidR="006817E4" w:rsidRPr="007F4EE7" w14:paraId="5AD69BA0" w14:textId="77777777" w:rsidTr="006B306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6D18A5BB" w14:textId="77777777" w:rsidR="006817E4" w:rsidRPr="007F4EE7" w:rsidRDefault="006817E4" w:rsidP="006B3061">
            <w:pPr>
              <w:pStyle w:val="Tablebody"/>
              <w:rPr>
                <w:b w:val="0"/>
                <w:lang w:val="en-GB"/>
              </w:rPr>
            </w:pPr>
            <w:r w:rsidRPr="007F4EE7">
              <w:t>Code</w:t>
            </w:r>
          </w:p>
        </w:tc>
        <w:tc>
          <w:tcPr>
            <w:tcW w:w="4706" w:type="dxa"/>
          </w:tcPr>
          <w:p w14:paraId="659ADF3B"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Abbreviated item wording</w:t>
            </w:r>
          </w:p>
        </w:tc>
        <w:tc>
          <w:tcPr>
            <w:tcW w:w="737" w:type="dxa"/>
          </w:tcPr>
          <w:p w14:paraId="0172D4A5"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Age</w:t>
            </w:r>
          </w:p>
        </w:tc>
        <w:tc>
          <w:tcPr>
            <w:tcW w:w="647" w:type="dxa"/>
          </w:tcPr>
          <w:p w14:paraId="2D547B3C" w14:textId="77777777" w:rsidR="006817E4" w:rsidRPr="00DB512A" w:rsidRDefault="006817E4" w:rsidP="006B306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129" w:type="dxa"/>
          </w:tcPr>
          <w:p w14:paraId="1D08769B" w14:textId="0076299F"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agree</w:t>
            </w:r>
          </w:p>
        </w:tc>
        <w:tc>
          <w:tcPr>
            <w:tcW w:w="1192" w:type="dxa"/>
          </w:tcPr>
          <w:p w14:paraId="68BAD410"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agree</w:t>
            </w:r>
          </w:p>
        </w:tc>
        <w:tc>
          <w:tcPr>
            <w:tcW w:w="1185" w:type="dxa"/>
          </w:tcPr>
          <w:p w14:paraId="62665166"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disagree</w:t>
            </w:r>
          </w:p>
        </w:tc>
        <w:tc>
          <w:tcPr>
            <w:tcW w:w="1111" w:type="dxa"/>
          </w:tcPr>
          <w:p w14:paraId="0A4DA7A6"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disagree</w:t>
            </w:r>
          </w:p>
        </w:tc>
        <w:tc>
          <w:tcPr>
            <w:tcW w:w="1247" w:type="dxa"/>
          </w:tcPr>
          <w:p w14:paraId="60254CDE" w14:textId="50276019"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Undecided</w:t>
            </w:r>
          </w:p>
        </w:tc>
        <w:tc>
          <w:tcPr>
            <w:tcW w:w="1134" w:type="dxa"/>
          </w:tcPr>
          <w:p w14:paraId="1202B805" w14:textId="119E86CA"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agree</w:t>
            </w:r>
            <w:r w:rsidRPr="007F4EE7">
              <w:rPr>
                <w:vertAlign w:val="superscript"/>
              </w:rPr>
              <w:t>a</w:t>
            </w:r>
          </w:p>
        </w:tc>
        <w:tc>
          <w:tcPr>
            <w:tcW w:w="1130" w:type="dxa"/>
          </w:tcPr>
          <w:p w14:paraId="0D5A435A" w14:textId="77777777" w:rsidR="006817E4" w:rsidRPr="007F4EE7" w:rsidRDefault="006817E4"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disagree</w:t>
            </w:r>
            <w:r w:rsidRPr="007F4EE7">
              <w:rPr>
                <w:vertAlign w:val="superscript"/>
              </w:rPr>
              <w:t>b</w:t>
            </w:r>
          </w:p>
        </w:tc>
      </w:tr>
      <w:tr w:rsidR="00DF70E0" w:rsidRPr="007F4EE7" w14:paraId="3B4DEB6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74CA210" w14:textId="77777777" w:rsidR="00DF70E0" w:rsidRPr="007F4EE7" w:rsidRDefault="00DF70E0" w:rsidP="006B3061">
            <w:pPr>
              <w:pStyle w:val="Tablebody"/>
              <w:rPr>
                <w:rFonts w:cs="Open Sans"/>
                <w:szCs w:val="18"/>
                <w:lang w:val="en-GB"/>
              </w:rPr>
            </w:pPr>
            <w:r w:rsidRPr="007F4EE7">
              <w:rPr>
                <w:rFonts w:cs="Open Sans"/>
                <w:szCs w:val="18"/>
              </w:rPr>
              <w:t>G7</w:t>
            </w:r>
          </w:p>
        </w:tc>
        <w:tc>
          <w:tcPr>
            <w:tcW w:w="4706" w:type="dxa"/>
          </w:tcPr>
          <w:p w14:paraId="21F1EC66" w14:textId="77777777"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I think it is embarrassing for a man to have a job that is usually held by a woman</w:t>
            </w:r>
          </w:p>
        </w:tc>
        <w:tc>
          <w:tcPr>
            <w:tcW w:w="737" w:type="dxa"/>
          </w:tcPr>
          <w:p w14:paraId="5906BB74" w14:textId="77777777"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72522608" w14:textId="77777777"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129" w:type="dxa"/>
          </w:tcPr>
          <w:p w14:paraId="4C314E2A" w14:textId="561656DD"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0.89</w:t>
            </w:r>
            <w:r w:rsidRPr="007F4EE7">
              <w:rPr>
                <w:rFonts w:cs="Open Sans"/>
                <w:szCs w:val="18"/>
                <w:vertAlign w:val="superscript"/>
              </w:rPr>
              <w:t>c</w:t>
            </w:r>
          </w:p>
        </w:tc>
        <w:tc>
          <w:tcPr>
            <w:tcW w:w="1192" w:type="dxa"/>
          </w:tcPr>
          <w:p w14:paraId="341CDC43" w14:textId="1775B3FB"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2.88</w:t>
            </w:r>
            <w:r w:rsidRPr="007F4EE7">
              <w:rPr>
                <w:rFonts w:cs="Open Sans"/>
                <w:szCs w:val="18"/>
                <w:vertAlign w:val="superscript"/>
              </w:rPr>
              <w:t>c</w:t>
            </w:r>
          </w:p>
        </w:tc>
        <w:tc>
          <w:tcPr>
            <w:tcW w:w="1185" w:type="dxa"/>
          </w:tcPr>
          <w:p w14:paraId="35D2A090" w14:textId="7BE90B80"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14.21</w:t>
            </w:r>
          </w:p>
        </w:tc>
        <w:tc>
          <w:tcPr>
            <w:tcW w:w="1111" w:type="dxa"/>
          </w:tcPr>
          <w:p w14:paraId="364B55A0" w14:textId="366B284F"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80.27</w:t>
            </w:r>
          </w:p>
        </w:tc>
        <w:tc>
          <w:tcPr>
            <w:tcW w:w="1247" w:type="dxa"/>
          </w:tcPr>
          <w:p w14:paraId="15F11A41" w14:textId="3CD63393"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1.38</w:t>
            </w:r>
            <w:r w:rsidRPr="007F4EE7">
              <w:rPr>
                <w:rFonts w:cs="Open Sans"/>
                <w:szCs w:val="18"/>
                <w:vertAlign w:val="superscript"/>
              </w:rPr>
              <w:t>c</w:t>
            </w:r>
          </w:p>
        </w:tc>
        <w:tc>
          <w:tcPr>
            <w:tcW w:w="1134" w:type="dxa"/>
          </w:tcPr>
          <w:p w14:paraId="690F3FEC" w14:textId="04BBA6EC"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3.77</w:t>
            </w:r>
            <w:r w:rsidRPr="007F4EE7">
              <w:rPr>
                <w:rFonts w:cs="Open Sans"/>
                <w:szCs w:val="18"/>
                <w:vertAlign w:val="superscript"/>
              </w:rPr>
              <w:t>c</w:t>
            </w:r>
          </w:p>
        </w:tc>
        <w:tc>
          <w:tcPr>
            <w:tcW w:w="1130" w:type="dxa"/>
          </w:tcPr>
          <w:p w14:paraId="67657BDE" w14:textId="47F62D73" w:rsidR="00DF70E0" w:rsidRPr="007F4EE7" w:rsidRDefault="00DF70E0"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94.48</w:t>
            </w:r>
          </w:p>
        </w:tc>
      </w:tr>
      <w:tr w:rsidR="008163F3" w:rsidRPr="007F4EE7" w14:paraId="08A4672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71819DD" w14:textId="6D5BC3A3" w:rsidR="008163F3" w:rsidRPr="007F4EE7" w:rsidRDefault="008163F3" w:rsidP="006B3061">
            <w:pPr>
              <w:pStyle w:val="Tablebody"/>
              <w:rPr>
                <w:rFonts w:cs="Open Sans"/>
                <w:szCs w:val="18"/>
              </w:rPr>
            </w:pPr>
            <w:r w:rsidRPr="007F4EE7">
              <w:rPr>
                <w:rFonts w:cs="Open Sans"/>
                <w:szCs w:val="18"/>
              </w:rPr>
              <w:t>G7</w:t>
            </w:r>
          </w:p>
        </w:tc>
        <w:tc>
          <w:tcPr>
            <w:tcW w:w="4706" w:type="dxa"/>
          </w:tcPr>
          <w:p w14:paraId="42A4D873" w14:textId="7F0424E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I think it is embarrassing for a man to have a job that is usually held by a woman</w:t>
            </w:r>
          </w:p>
        </w:tc>
        <w:tc>
          <w:tcPr>
            <w:tcW w:w="737" w:type="dxa"/>
          </w:tcPr>
          <w:p w14:paraId="49109136" w14:textId="5D08B9C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1B9FB1DD" w14:textId="32CB53D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129" w:type="dxa"/>
          </w:tcPr>
          <w:p w14:paraId="58773EAE" w14:textId="3D5B5AEF"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1.09</w:t>
            </w:r>
            <w:r w:rsidRPr="007F4EE7">
              <w:rPr>
                <w:rFonts w:cs="Open Sans"/>
                <w:szCs w:val="18"/>
                <w:vertAlign w:val="superscript"/>
              </w:rPr>
              <w:t>c</w:t>
            </w:r>
          </w:p>
        </w:tc>
        <w:tc>
          <w:tcPr>
            <w:tcW w:w="1192" w:type="dxa"/>
          </w:tcPr>
          <w:p w14:paraId="71AC796B" w14:textId="74BC4CC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2.49</w:t>
            </w:r>
          </w:p>
        </w:tc>
        <w:tc>
          <w:tcPr>
            <w:tcW w:w="1185" w:type="dxa"/>
          </w:tcPr>
          <w:p w14:paraId="00BAE068" w14:textId="76DA52D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10.31</w:t>
            </w:r>
          </w:p>
        </w:tc>
        <w:tc>
          <w:tcPr>
            <w:tcW w:w="1111" w:type="dxa"/>
          </w:tcPr>
          <w:p w14:paraId="1C3FA3DD" w14:textId="30A91FA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84.91</w:t>
            </w:r>
          </w:p>
        </w:tc>
        <w:tc>
          <w:tcPr>
            <w:tcW w:w="1247" w:type="dxa"/>
          </w:tcPr>
          <w:p w14:paraId="507E23F6" w14:textId="63312FC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1.14</w:t>
            </w:r>
            <w:r w:rsidRPr="007F4EE7">
              <w:rPr>
                <w:rFonts w:cs="Open Sans"/>
                <w:szCs w:val="18"/>
                <w:vertAlign w:val="superscript"/>
              </w:rPr>
              <w:t>c</w:t>
            </w:r>
          </w:p>
        </w:tc>
        <w:tc>
          <w:tcPr>
            <w:tcW w:w="1134" w:type="dxa"/>
          </w:tcPr>
          <w:p w14:paraId="12366F12" w14:textId="7101B4E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3.58</w:t>
            </w:r>
          </w:p>
        </w:tc>
        <w:tc>
          <w:tcPr>
            <w:tcW w:w="1130" w:type="dxa"/>
          </w:tcPr>
          <w:p w14:paraId="4D4FC77A" w14:textId="6986388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95.22</w:t>
            </w:r>
          </w:p>
        </w:tc>
      </w:tr>
      <w:tr w:rsidR="008163F3" w:rsidRPr="007F4EE7" w14:paraId="5B0E19A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25EA3B3" w14:textId="77777777" w:rsidR="008163F3" w:rsidRPr="007F4EE7" w:rsidRDefault="008163F3" w:rsidP="006B3061">
            <w:pPr>
              <w:pStyle w:val="Tablebody"/>
              <w:rPr>
                <w:rFonts w:cs="Open Sans"/>
                <w:szCs w:val="18"/>
                <w:lang w:val="en-GB"/>
              </w:rPr>
            </w:pPr>
            <w:r w:rsidRPr="007F4EE7">
              <w:rPr>
                <w:rFonts w:cs="Open Sans"/>
                <w:szCs w:val="18"/>
              </w:rPr>
              <w:t>G8</w:t>
            </w:r>
          </w:p>
        </w:tc>
        <w:tc>
          <w:tcPr>
            <w:tcW w:w="4706" w:type="dxa"/>
          </w:tcPr>
          <w:p w14:paraId="43BAD063" w14:textId="0F15A1C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A man should never admit when others have hurt his</w:t>
            </w:r>
            <w:r>
              <w:rPr>
                <w:rFonts w:cs="Open Sans"/>
                <w:szCs w:val="18"/>
                <w:lang w:val="en-US"/>
              </w:rPr>
              <w:t> </w:t>
            </w:r>
            <w:r w:rsidRPr="007F4EE7">
              <w:rPr>
                <w:rFonts w:cs="Open Sans"/>
                <w:szCs w:val="18"/>
                <w:lang w:val="en-US"/>
              </w:rPr>
              <w:t>feelings</w:t>
            </w:r>
          </w:p>
        </w:tc>
        <w:tc>
          <w:tcPr>
            <w:tcW w:w="737" w:type="dxa"/>
          </w:tcPr>
          <w:p w14:paraId="70D92EF1"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56EAD09B"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129" w:type="dxa"/>
          </w:tcPr>
          <w:p w14:paraId="1CFECCE0" w14:textId="10BB2BD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0.95</w:t>
            </w:r>
            <w:r w:rsidRPr="007F4EE7">
              <w:rPr>
                <w:rFonts w:cs="Open Sans"/>
                <w:szCs w:val="18"/>
                <w:vertAlign w:val="superscript"/>
              </w:rPr>
              <w:t>c</w:t>
            </w:r>
          </w:p>
        </w:tc>
        <w:tc>
          <w:tcPr>
            <w:tcW w:w="1192" w:type="dxa"/>
          </w:tcPr>
          <w:p w14:paraId="6EC6D0F7" w14:textId="52F6CD41"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2.01</w:t>
            </w:r>
            <w:r w:rsidRPr="007F4EE7">
              <w:rPr>
                <w:rFonts w:cs="Open Sans"/>
                <w:szCs w:val="18"/>
                <w:vertAlign w:val="superscript"/>
              </w:rPr>
              <w:t>c</w:t>
            </w:r>
          </w:p>
        </w:tc>
        <w:tc>
          <w:tcPr>
            <w:tcW w:w="1185" w:type="dxa"/>
          </w:tcPr>
          <w:p w14:paraId="5B180254" w14:textId="708196D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14.58</w:t>
            </w:r>
          </w:p>
        </w:tc>
        <w:tc>
          <w:tcPr>
            <w:tcW w:w="1111" w:type="dxa"/>
          </w:tcPr>
          <w:p w14:paraId="782ECC83" w14:textId="36856E1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80.30</w:t>
            </w:r>
          </w:p>
        </w:tc>
        <w:tc>
          <w:tcPr>
            <w:tcW w:w="1247" w:type="dxa"/>
          </w:tcPr>
          <w:p w14:paraId="6868E765" w14:textId="746748B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1.36</w:t>
            </w:r>
            <w:r w:rsidRPr="007F4EE7">
              <w:rPr>
                <w:rFonts w:cs="Open Sans"/>
                <w:szCs w:val="18"/>
                <w:vertAlign w:val="superscript"/>
              </w:rPr>
              <w:t>c</w:t>
            </w:r>
          </w:p>
        </w:tc>
        <w:tc>
          <w:tcPr>
            <w:tcW w:w="1134" w:type="dxa"/>
          </w:tcPr>
          <w:p w14:paraId="63CCA4DC" w14:textId="7407471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2.96</w:t>
            </w:r>
            <w:r w:rsidRPr="007F4EE7">
              <w:rPr>
                <w:rFonts w:cs="Open Sans"/>
                <w:szCs w:val="18"/>
                <w:vertAlign w:val="superscript"/>
              </w:rPr>
              <w:t>c</w:t>
            </w:r>
          </w:p>
        </w:tc>
        <w:tc>
          <w:tcPr>
            <w:tcW w:w="1130" w:type="dxa"/>
          </w:tcPr>
          <w:p w14:paraId="14D218CC" w14:textId="37DDE92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94.89</w:t>
            </w:r>
          </w:p>
        </w:tc>
      </w:tr>
      <w:tr w:rsidR="008163F3" w:rsidRPr="007F4EE7" w14:paraId="318D96B4"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1251FFE" w14:textId="1B09BB1C" w:rsidR="008163F3" w:rsidRPr="007F4EE7" w:rsidRDefault="008163F3" w:rsidP="006B3061">
            <w:pPr>
              <w:pStyle w:val="Tablebody"/>
              <w:rPr>
                <w:rFonts w:cs="Open Sans"/>
                <w:szCs w:val="18"/>
              </w:rPr>
            </w:pPr>
            <w:r w:rsidRPr="007F4EE7">
              <w:rPr>
                <w:rFonts w:cs="Open Sans"/>
                <w:szCs w:val="18"/>
              </w:rPr>
              <w:t>G8</w:t>
            </w:r>
          </w:p>
        </w:tc>
        <w:tc>
          <w:tcPr>
            <w:tcW w:w="4706" w:type="dxa"/>
          </w:tcPr>
          <w:p w14:paraId="7849326E" w14:textId="5CF03C7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A man should never admit when others have hurt his feelings</w:t>
            </w:r>
          </w:p>
        </w:tc>
        <w:tc>
          <w:tcPr>
            <w:tcW w:w="737" w:type="dxa"/>
          </w:tcPr>
          <w:p w14:paraId="2B209A07" w14:textId="074CCB6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1CC1BFF5" w14:textId="2823A89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129" w:type="dxa"/>
          </w:tcPr>
          <w:p w14:paraId="4FEDE36F" w14:textId="7B06E2C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0.93</w:t>
            </w:r>
            <w:r w:rsidRPr="007F4EE7">
              <w:rPr>
                <w:rFonts w:cs="Open Sans"/>
                <w:szCs w:val="18"/>
                <w:vertAlign w:val="superscript"/>
              </w:rPr>
              <w:t>c</w:t>
            </w:r>
          </w:p>
        </w:tc>
        <w:tc>
          <w:tcPr>
            <w:tcW w:w="1192" w:type="dxa"/>
          </w:tcPr>
          <w:p w14:paraId="743AF376" w14:textId="52378C51"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3.51</w:t>
            </w:r>
          </w:p>
        </w:tc>
        <w:tc>
          <w:tcPr>
            <w:tcW w:w="1185" w:type="dxa"/>
          </w:tcPr>
          <w:p w14:paraId="149AE36A" w14:textId="380EE1F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9.76</w:t>
            </w:r>
          </w:p>
        </w:tc>
        <w:tc>
          <w:tcPr>
            <w:tcW w:w="1111" w:type="dxa"/>
          </w:tcPr>
          <w:p w14:paraId="15132291" w14:textId="2DFF486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84.97</w:t>
            </w:r>
          </w:p>
        </w:tc>
        <w:tc>
          <w:tcPr>
            <w:tcW w:w="1247" w:type="dxa"/>
          </w:tcPr>
          <w:p w14:paraId="1A21CBFA" w14:textId="3588529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0.77</w:t>
            </w:r>
            <w:r w:rsidRPr="007F4EE7">
              <w:rPr>
                <w:rFonts w:cs="Open Sans"/>
                <w:szCs w:val="18"/>
                <w:vertAlign w:val="superscript"/>
              </w:rPr>
              <w:t>c</w:t>
            </w:r>
          </w:p>
        </w:tc>
        <w:tc>
          <w:tcPr>
            <w:tcW w:w="1134" w:type="dxa"/>
          </w:tcPr>
          <w:p w14:paraId="1D9AEB3F" w14:textId="49D4F17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4.43</w:t>
            </w:r>
          </w:p>
        </w:tc>
        <w:tc>
          <w:tcPr>
            <w:tcW w:w="1130" w:type="dxa"/>
          </w:tcPr>
          <w:p w14:paraId="5B3F96EB" w14:textId="093FA20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94.73</w:t>
            </w:r>
          </w:p>
        </w:tc>
      </w:tr>
      <w:tr w:rsidR="008163F3" w:rsidRPr="007F4EE7" w14:paraId="58BFB61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BA5CC23" w14:textId="77777777" w:rsidR="008163F3" w:rsidRPr="007F4EE7" w:rsidRDefault="008163F3" w:rsidP="006B3061">
            <w:pPr>
              <w:pStyle w:val="Tablebody"/>
              <w:rPr>
                <w:rFonts w:cs="Open Sans"/>
                <w:szCs w:val="18"/>
                <w:lang w:val="en-GB"/>
              </w:rPr>
            </w:pPr>
            <w:r w:rsidRPr="007F4EE7">
              <w:rPr>
                <w:rFonts w:cs="Open Sans"/>
                <w:szCs w:val="18"/>
              </w:rPr>
              <w:t>G9</w:t>
            </w:r>
          </w:p>
        </w:tc>
        <w:tc>
          <w:tcPr>
            <w:tcW w:w="4706" w:type="dxa"/>
          </w:tcPr>
          <w:p w14:paraId="22954B7C"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Women need to have children to be fulfilled^</w:t>
            </w:r>
          </w:p>
        </w:tc>
        <w:tc>
          <w:tcPr>
            <w:tcW w:w="737" w:type="dxa"/>
          </w:tcPr>
          <w:p w14:paraId="547D95C2"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70E718C7"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129" w:type="dxa"/>
          </w:tcPr>
          <w:p w14:paraId="7C9717D1" w14:textId="098944A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1.34</w:t>
            </w:r>
            <w:r w:rsidRPr="007F4EE7">
              <w:rPr>
                <w:rFonts w:cs="Open Sans"/>
                <w:szCs w:val="18"/>
                <w:vertAlign w:val="superscript"/>
              </w:rPr>
              <w:t>c</w:t>
            </w:r>
          </w:p>
        </w:tc>
        <w:tc>
          <w:tcPr>
            <w:tcW w:w="1192" w:type="dxa"/>
          </w:tcPr>
          <w:p w14:paraId="125BC61F" w14:textId="050E6DB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1.63</w:t>
            </w:r>
            <w:r w:rsidRPr="007F4EE7">
              <w:rPr>
                <w:rFonts w:cs="Open Sans"/>
                <w:szCs w:val="18"/>
                <w:vertAlign w:val="superscript"/>
              </w:rPr>
              <w:t>c</w:t>
            </w:r>
          </w:p>
        </w:tc>
        <w:tc>
          <w:tcPr>
            <w:tcW w:w="1185" w:type="dxa"/>
          </w:tcPr>
          <w:p w14:paraId="6BE48E3F" w14:textId="52C9774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16.58</w:t>
            </w:r>
          </w:p>
        </w:tc>
        <w:tc>
          <w:tcPr>
            <w:tcW w:w="1111" w:type="dxa"/>
          </w:tcPr>
          <w:p w14:paraId="2C60ADDD" w14:textId="15F10DA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78.77</w:t>
            </w:r>
          </w:p>
        </w:tc>
        <w:tc>
          <w:tcPr>
            <w:tcW w:w="1247" w:type="dxa"/>
          </w:tcPr>
          <w:p w14:paraId="185528E1" w14:textId="6EF3501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1.67</w:t>
            </w:r>
            <w:r w:rsidRPr="007F4EE7">
              <w:rPr>
                <w:rFonts w:cs="Open Sans"/>
                <w:szCs w:val="18"/>
                <w:vertAlign w:val="superscript"/>
              </w:rPr>
              <w:t>c</w:t>
            </w:r>
          </w:p>
        </w:tc>
        <w:tc>
          <w:tcPr>
            <w:tcW w:w="1134" w:type="dxa"/>
          </w:tcPr>
          <w:p w14:paraId="2F1BC375" w14:textId="20B4547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2.98</w:t>
            </w:r>
            <w:r w:rsidRPr="007F4EE7">
              <w:rPr>
                <w:rFonts w:cs="Open Sans"/>
                <w:szCs w:val="18"/>
                <w:vertAlign w:val="superscript"/>
              </w:rPr>
              <w:t>c</w:t>
            </w:r>
          </w:p>
        </w:tc>
        <w:tc>
          <w:tcPr>
            <w:tcW w:w="1130" w:type="dxa"/>
          </w:tcPr>
          <w:p w14:paraId="6E47EF99" w14:textId="5BA557A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95.35</w:t>
            </w:r>
          </w:p>
        </w:tc>
      </w:tr>
      <w:tr w:rsidR="008163F3" w:rsidRPr="007F4EE7" w14:paraId="3B05B16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20EE11D" w14:textId="2089AB5F" w:rsidR="008163F3" w:rsidRPr="007F4EE7" w:rsidRDefault="008163F3" w:rsidP="006B3061">
            <w:pPr>
              <w:pStyle w:val="Tablebody"/>
              <w:rPr>
                <w:rFonts w:cs="Open Sans"/>
                <w:szCs w:val="18"/>
              </w:rPr>
            </w:pPr>
            <w:r w:rsidRPr="007F4EE7">
              <w:rPr>
                <w:rFonts w:cs="Open Sans"/>
                <w:szCs w:val="18"/>
              </w:rPr>
              <w:t>G9</w:t>
            </w:r>
          </w:p>
        </w:tc>
        <w:tc>
          <w:tcPr>
            <w:tcW w:w="4706" w:type="dxa"/>
          </w:tcPr>
          <w:p w14:paraId="5FDEE375" w14:textId="1ECC662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Women need to have children to be fulfilled^</w:t>
            </w:r>
          </w:p>
        </w:tc>
        <w:tc>
          <w:tcPr>
            <w:tcW w:w="737" w:type="dxa"/>
          </w:tcPr>
          <w:p w14:paraId="04C8FC1D" w14:textId="22777D7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2D7C9AA3" w14:textId="5D15513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129" w:type="dxa"/>
          </w:tcPr>
          <w:p w14:paraId="2045183D" w14:textId="15DA798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0.98</w:t>
            </w:r>
            <w:r w:rsidRPr="007F4EE7">
              <w:rPr>
                <w:rFonts w:cs="Open Sans"/>
                <w:szCs w:val="18"/>
                <w:vertAlign w:val="superscript"/>
              </w:rPr>
              <w:t>c</w:t>
            </w:r>
          </w:p>
        </w:tc>
        <w:tc>
          <w:tcPr>
            <w:tcW w:w="1192" w:type="dxa"/>
          </w:tcPr>
          <w:p w14:paraId="15BF9868" w14:textId="7975579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2.91</w:t>
            </w:r>
          </w:p>
        </w:tc>
        <w:tc>
          <w:tcPr>
            <w:tcW w:w="1185" w:type="dxa"/>
          </w:tcPr>
          <w:p w14:paraId="724682C1" w14:textId="25ADCEA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12.94</w:t>
            </w:r>
          </w:p>
        </w:tc>
        <w:tc>
          <w:tcPr>
            <w:tcW w:w="1111" w:type="dxa"/>
          </w:tcPr>
          <w:p w14:paraId="16131011" w14:textId="17DE1A0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81.32</w:t>
            </w:r>
          </w:p>
        </w:tc>
        <w:tc>
          <w:tcPr>
            <w:tcW w:w="1247" w:type="dxa"/>
          </w:tcPr>
          <w:p w14:paraId="745C09A8" w14:textId="3E98BF2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1.72</w:t>
            </w:r>
            <w:r w:rsidRPr="007F4EE7">
              <w:rPr>
                <w:rFonts w:cs="Open Sans"/>
                <w:szCs w:val="18"/>
                <w:vertAlign w:val="superscript"/>
              </w:rPr>
              <w:t>c</w:t>
            </w:r>
          </w:p>
        </w:tc>
        <w:tc>
          <w:tcPr>
            <w:tcW w:w="1134" w:type="dxa"/>
          </w:tcPr>
          <w:p w14:paraId="09EB55B1" w14:textId="04EA21C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3.89</w:t>
            </w:r>
          </w:p>
        </w:tc>
        <w:tc>
          <w:tcPr>
            <w:tcW w:w="1130" w:type="dxa"/>
          </w:tcPr>
          <w:p w14:paraId="24430AE5" w14:textId="251D696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94.26</w:t>
            </w:r>
          </w:p>
        </w:tc>
      </w:tr>
      <w:tr w:rsidR="008163F3" w:rsidRPr="007F4EE7" w14:paraId="18DEEC9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A13A2E5" w14:textId="77777777" w:rsidR="008163F3" w:rsidRPr="007F4EE7" w:rsidRDefault="008163F3" w:rsidP="006B3061">
            <w:pPr>
              <w:pStyle w:val="Tablebody"/>
              <w:rPr>
                <w:rFonts w:cs="Open Sans"/>
                <w:szCs w:val="18"/>
                <w:lang w:val="en-GB"/>
              </w:rPr>
            </w:pPr>
            <w:r w:rsidRPr="007F4EE7">
              <w:rPr>
                <w:rFonts w:cs="Open Sans"/>
                <w:szCs w:val="18"/>
              </w:rPr>
              <w:t>G14</w:t>
            </w:r>
          </w:p>
        </w:tc>
        <w:tc>
          <w:tcPr>
            <w:tcW w:w="4706" w:type="dxa"/>
          </w:tcPr>
          <w:p w14:paraId="3E5D185D" w14:textId="3418EC6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If a woman earns more than her male partner, it</w:t>
            </w:r>
            <w:r>
              <w:rPr>
                <w:rFonts w:cs="Open Sans"/>
                <w:szCs w:val="18"/>
                <w:lang w:val="en-US"/>
              </w:rPr>
              <w:t> </w:t>
            </w:r>
            <w:r w:rsidRPr="007F4EE7">
              <w:rPr>
                <w:rFonts w:cs="Open Sans"/>
                <w:szCs w:val="18"/>
                <w:lang w:val="en-US"/>
              </w:rPr>
              <w:t>is</w:t>
            </w:r>
            <w:r>
              <w:rPr>
                <w:rFonts w:cs="Open Sans"/>
                <w:szCs w:val="18"/>
                <w:lang w:val="en-US"/>
              </w:rPr>
              <w:t> </w:t>
            </w:r>
            <w:r w:rsidRPr="007F4EE7">
              <w:rPr>
                <w:rFonts w:cs="Open Sans"/>
                <w:szCs w:val="18"/>
                <w:lang w:val="en-US"/>
              </w:rPr>
              <w:t>not good for the relationship^</w:t>
            </w:r>
          </w:p>
        </w:tc>
        <w:tc>
          <w:tcPr>
            <w:tcW w:w="737" w:type="dxa"/>
          </w:tcPr>
          <w:p w14:paraId="147C7437"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05831FF3"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129" w:type="dxa"/>
          </w:tcPr>
          <w:p w14:paraId="0A64AF6F" w14:textId="158D5B2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0.67</w:t>
            </w:r>
            <w:r w:rsidRPr="007F4EE7">
              <w:rPr>
                <w:rFonts w:cs="Open Sans"/>
                <w:szCs w:val="18"/>
                <w:vertAlign w:val="superscript"/>
              </w:rPr>
              <w:t>c</w:t>
            </w:r>
          </w:p>
        </w:tc>
        <w:tc>
          <w:tcPr>
            <w:tcW w:w="1192" w:type="dxa"/>
          </w:tcPr>
          <w:p w14:paraId="5F10ADE0" w14:textId="6FC399C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4.21</w:t>
            </w:r>
            <w:r w:rsidRPr="007F4EE7">
              <w:rPr>
                <w:rFonts w:cs="Open Sans"/>
                <w:szCs w:val="18"/>
                <w:vertAlign w:val="superscript"/>
              </w:rPr>
              <w:t>c</w:t>
            </w:r>
          </w:p>
        </w:tc>
        <w:tc>
          <w:tcPr>
            <w:tcW w:w="1185" w:type="dxa"/>
          </w:tcPr>
          <w:p w14:paraId="6831464B" w14:textId="5CE1E89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15.72</w:t>
            </w:r>
          </w:p>
        </w:tc>
        <w:tc>
          <w:tcPr>
            <w:tcW w:w="1111" w:type="dxa"/>
          </w:tcPr>
          <w:p w14:paraId="7310A6B3" w14:textId="61A5E26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78.65</w:t>
            </w:r>
          </w:p>
        </w:tc>
        <w:tc>
          <w:tcPr>
            <w:tcW w:w="1247" w:type="dxa"/>
          </w:tcPr>
          <w:p w14:paraId="5D51D3D5" w14:textId="4AFCF4E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0.75</w:t>
            </w:r>
            <w:r w:rsidRPr="007F4EE7">
              <w:rPr>
                <w:rFonts w:cs="Open Sans"/>
                <w:szCs w:val="18"/>
                <w:vertAlign w:val="superscript"/>
              </w:rPr>
              <w:t>c</w:t>
            </w:r>
          </w:p>
        </w:tc>
        <w:tc>
          <w:tcPr>
            <w:tcW w:w="1134" w:type="dxa"/>
          </w:tcPr>
          <w:p w14:paraId="3E3CE83E" w14:textId="55D5D07F"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4.88</w:t>
            </w:r>
            <w:r w:rsidRPr="007F4EE7">
              <w:rPr>
                <w:rFonts w:cs="Open Sans"/>
                <w:szCs w:val="18"/>
                <w:vertAlign w:val="superscript"/>
              </w:rPr>
              <w:t>c</w:t>
            </w:r>
          </w:p>
        </w:tc>
        <w:tc>
          <w:tcPr>
            <w:tcW w:w="1130" w:type="dxa"/>
          </w:tcPr>
          <w:p w14:paraId="2A444A30" w14:textId="33EC07B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94.37</w:t>
            </w:r>
          </w:p>
        </w:tc>
      </w:tr>
      <w:tr w:rsidR="008163F3" w:rsidRPr="007F4EE7" w14:paraId="45E050C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2F133FC" w14:textId="5FFE3EB8" w:rsidR="008163F3" w:rsidRPr="007F4EE7" w:rsidRDefault="008163F3" w:rsidP="006B3061">
            <w:pPr>
              <w:pStyle w:val="Tablebody"/>
              <w:rPr>
                <w:rFonts w:cs="Open Sans"/>
                <w:szCs w:val="18"/>
              </w:rPr>
            </w:pPr>
            <w:r w:rsidRPr="007F4EE7">
              <w:rPr>
                <w:rFonts w:cs="Open Sans"/>
                <w:szCs w:val="18"/>
              </w:rPr>
              <w:lastRenderedPageBreak/>
              <w:t>G14</w:t>
            </w:r>
          </w:p>
        </w:tc>
        <w:tc>
          <w:tcPr>
            <w:tcW w:w="4706" w:type="dxa"/>
          </w:tcPr>
          <w:p w14:paraId="1A641028" w14:textId="09D0A04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If a woman earns more than her male partner, it</w:t>
            </w:r>
            <w:r>
              <w:rPr>
                <w:rFonts w:cs="Open Sans"/>
                <w:szCs w:val="18"/>
                <w:lang w:val="en-US"/>
              </w:rPr>
              <w:t> </w:t>
            </w:r>
            <w:r w:rsidRPr="007F4EE7">
              <w:rPr>
                <w:rFonts w:cs="Open Sans"/>
                <w:szCs w:val="18"/>
                <w:lang w:val="en-US"/>
              </w:rPr>
              <w:t>is</w:t>
            </w:r>
            <w:r>
              <w:rPr>
                <w:rFonts w:cs="Open Sans"/>
                <w:szCs w:val="18"/>
                <w:lang w:val="en-US"/>
              </w:rPr>
              <w:t> </w:t>
            </w:r>
            <w:r w:rsidRPr="007F4EE7">
              <w:rPr>
                <w:rFonts w:cs="Open Sans"/>
                <w:szCs w:val="18"/>
                <w:lang w:val="en-US"/>
              </w:rPr>
              <w:t>not</w:t>
            </w:r>
            <w:r>
              <w:rPr>
                <w:rFonts w:cs="Open Sans"/>
                <w:szCs w:val="18"/>
                <w:lang w:val="en-US"/>
              </w:rPr>
              <w:t xml:space="preserve"> </w:t>
            </w:r>
            <w:r w:rsidRPr="007F4EE7">
              <w:rPr>
                <w:rFonts w:cs="Open Sans"/>
                <w:szCs w:val="18"/>
                <w:lang w:val="en-US"/>
              </w:rPr>
              <w:t>good for the relationship^</w:t>
            </w:r>
          </w:p>
        </w:tc>
        <w:tc>
          <w:tcPr>
            <w:tcW w:w="737" w:type="dxa"/>
          </w:tcPr>
          <w:p w14:paraId="0BCC9E8F" w14:textId="23A14E8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43EB8720" w14:textId="7E4DAA1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129" w:type="dxa"/>
          </w:tcPr>
          <w:p w14:paraId="3DABB2CA" w14:textId="04831E8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1.35</w:t>
            </w:r>
            <w:r w:rsidRPr="007F4EE7">
              <w:rPr>
                <w:rFonts w:cs="Open Sans"/>
                <w:szCs w:val="18"/>
                <w:vertAlign w:val="superscript"/>
              </w:rPr>
              <w:t>c</w:t>
            </w:r>
          </w:p>
        </w:tc>
        <w:tc>
          <w:tcPr>
            <w:tcW w:w="1192" w:type="dxa"/>
          </w:tcPr>
          <w:p w14:paraId="7EF6B2E4" w14:textId="353709B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2.36</w:t>
            </w:r>
            <w:r w:rsidRPr="007F4EE7">
              <w:rPr>
                <w:rFonts w:cs="Open Sans"/>
                <w:szCs w:val="18"/>
                <w:vertAlign w:val="superscript"/>
              </w:rPr>
              <w:t>c</w:t>
            </w:r>
          </w:p>
        </w:tc>
        <w:tc>
          <w:tcPr>
            <w:tcW w:w="1185" w:type="dxa"/>
          </w:tcPr>
          <w:p w14:paraId="5939C7EB" w14:textId="1B7CA82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14.90</w:t>
            </w:r>
          </w:p>
        </w:tc>
        <w:tc>
          <w:tcPr>
            <w:tcW w:w="1111" w:type="dxa"/>
          </w:tcPr>
          <w:p w14:paraId="18B75C36" w14:textId="184C48A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80.35</w:t>
            </w:r>
          </w:p>
        </w:tc>
        <w:tc>
          <w:tcPr>
            <w:tcW w:w="1247" w:type="dxa"/>
          </w:tcPr>
          <w:p w14:paraId="4D59554A" w14:textId="418CBA2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0.92</w:t>
            </w:r>
            <w:r w:rsidRPr="007F4EE7">
              <w:rPr>
                <w:rFonts w:cs="Open Sans"/>
                <w:szCs w:val="18"/>
                <w:vertAlign w:val="superscript"/>
              </w:rPr>
              <w:t>c</w:t>
            </w:r>
          </w:p>
        </w:tc>
        <w:tc>
          <w:tcPr>
            <w:tcW w:w="1134" w:type="dxa"/>
          </w:tcPr>
          <w:p w14:paraId="7729D145" w14:textId="4ECEA24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3.71</w:t>
            </w:r>
          </w:p>
        </w:tc>
        <w:tc>
          <w:tcPr>
            <w:tcW w:w="1130" w:type="dxa"/>
          </w:tcPr>
          <w:p w14:paraId="1A4E38A8" w14:textId="6833EFB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95.26</w:t>
            </w:r>
          </w:p>
        </w:tc>
      </w:tr>
      <w:tr w:rsidR="008163F3" w:rsidRPr="007F4EE7" w14:paraId="0BF6E64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05E0D6B" w14:textId="77777777" w:rsidR="008163F3" w:rsidRPr="007F4EE7" w:rsidRDefault="008163F3" w:rsidP="006B3061">
            <w:pPr>
              <w:pStyle w:val="Tablebody"/>
              <w:rPr>
                <w:rFonts w:cs="Open Sans"/>
                <w:szCs w:val="18"/>
                <w:lang w:val="en-GB"/>
              </w:rPr>
            </w:pPr>
            <w:r w:rsidRPr="007F4EE7">
              <w:rPr>
                <w:rFonts w:cs="Open Sans"/>
                <w:szCs w:val="18"/>
              </w:rPr>
              <w:t>G15</w:t>
            </w:r>
          </w:p>
        </w:tc>
        <w:tc>
          <w:tcPr>
            <w:tcW w:w="4706" w:type="dxa"/>
          </w:tcPr>
          <w:p w14:paraId="0335884F"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When a couple start dating, the woman should not be the one to initiate sex^</w:t>
            </w:r>
          </w:p>
        </w:tc>
        <w:tc>
          <w:tcPr>
            <w:tcW w:w="737" w:type="dxa"/>
          </w:tcPr>
          <w:p w14:paraId="37BAE849"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186E0B18"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129" w:type="dxa"/>
          </w:tcPr>
          <w:p w14:paraId="01373C04" w14:textId="75AE74C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4.84</w:t>
            </w:r>
            <w:r w:rsidRPr="007F4EE7">
              <w:rPr>
                <w:rFonts w:cs="Open Sans"/>
                <w:szCs w:val="18"/>
                <w:vertAlign w:val="superscript"/>
              </w:rPr>
              <w:t>c</w:t>
            </w:r>
          </w:p>
        </w:tc>
        <w:tc>
          <w:tcPr>
            <w:tcW w:w="1192" w:type="dxa"/>
          </w:tcPr>
          <w:p w14:paraId="66A6E343" w14:textId="40C1E9A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5.88</w:t>
            </w:r>
            <w:r w:rsidRPr="007F4EE7">
              <w:rPr>
                <w:rFonts w:cs="Open Sans"/>
                <w:szCs w:val="18"/>
                <w:vertAlign w:val="superscript"/>
              </w:rPr>
              <w:t>c</w:t>
            </w:r>
          </w:p>
        </w:tc>
        <w:tc>
          <w:tcPr>
            <w:tcW w:w="1185" w:type="dxa"/>
          </w:tcPr>
          <w:p w14:paraId="08C6CCBE" w14:textId="4A8EC90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22.78</w:t>
            </w:r>
          </w:p>
        </w:tc>
        <w:tc>
          <w:tcPr>
            <w:tcW w:w="1111" w:type="dxa"/>
          </w:tcPr>
          <w:p w14:paraId="71F32C4F" w14:textId="62C315D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57.38</w:t>
            </w:r>
          </w:p>
        </w:tc>
        <w:tc>
          <w:tcPr>
            <w:tcW w:w="1247" w:type="dxa"/>
          </w:tcPr>
          <w:p w14:paraId="73159FAF" w14:textId="586F6D6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7.43</w:t>
            </w:r>
            <w:r w:rsidRPr="007F4EE7">
              <w:rPr>
                <w:rFonts w:cs="Open Sans"/>
                <w:szCs w:val="18"/>
                <w:vertAlign w:val="superscript"/>
              </w:rPr>
              <w:t>c</w:t>
            </w:r>
          </w:p>
        </w:tc>
        <w:tc>
          <w:tcPr>
            <w:tcW w:w="1134" w:type="dxa"/>
          </w:tcPr>
          <w:p w14:paraId="3CD02064" w14:textId="29789C7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10.72*</w:t>
            </w:r>
            <w:r w:rsidRPr="007F4EE7">
              <w:rPr>
                <w:rFonts w:cs="Open Sans"/>
                <w:szCs w:val="18"/>
                <w:vertAlign w:val="superscript"/>
              </w:rPr>
              <w:t xml:space="preserve"> c</w:t>
            </w:r>
          </w:p>
        </w:tc>
        <w:tc>
          <w:tcPr>
            <w:tcW w:w="1130" w:type="dxa"/>
          </w:tcPr>
          <w:p w14:paraId="5ADDD9BC" w14:textId="712AB6F1"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80.16</w:t>
            </w:r>
          </w:p>
        </w:tc>
      </w:tr>
      <w:tr w:rsidR="008163F3" w:rsidRPr="007F4EE7" w14:paraId="6B5EE66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26EDA97" w14:textId="156E80B1" w:rsidR="008163F3" w:rsidRPr="007F4EE7" w:rsidRDefault="008163F3" w:rsidP="006B3061">
            <w:pPr>
              <w:pStyle w:val="Tablebody"/>
              <w:rPr>
                <w:rFonts w:cs="Open Sans"/>
                <w:szCs w:val="18"/>
              </w:rPr>
            </w:pPr>
            <w:r w:rsidRPr="007F4EE7">
              <w:rPr>
                <w:rFonts w:cs="Open Sans"/>
                <w:szCs w:val="18"/>
              </w:rPr>
              <w:t>G15</w:t>
            </w:r>
          </w:p>
        </w:tc>
        <w:tc>
          <w:tcPr>
            <w:tcW w:w="4706" w:type="dxa"/>
          </w:tcPr>
          <w:p w14:paraId="51C4C4AC" w14:textId="65ABA7D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When a couple start dating, the woman should not be the one to initiate sex^</w:t>
            </w:r>
          </w:p>
        </w:tc>
        <w:tc>
          <w:tcPr>
            <w:tcW w:w="737" w:type="dxa"/>
          </w:tcPr>
          <w:p w14:paraId="04B9D0F5" w14:textId="0552702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6791EBA4" w14:textId="46A5062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129" w:type="dxa"/>
          </w:tcPr>
          <w:p w14:paraId="6409EBF6" w14:textId="43E996F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0.51</w:t>
            </w:r>
            <w:r w:rsidRPr="007F4EE7">
              <w:rPr>
                <w:rFonts w:cs="Open Sans"/>
                <w:szCs w:val="18"/>
                <w:vertAlign w:val="superscript"/>
              </w:rPr>
              <w:t>c</w:t>
            </w:r>
          </w:p>
        </w:tc>
        <w:tc>
          <w:tcPr>
            <w:tcW w:w="1192" w:type="dxa"/>
          </w:tcPr>
          <w:p w14:paraId="6BAE2018" w14:textId="7350DC7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3.39</w:t>
            </w:r>
          </w:p>
        </w:tc>
        <w:tc>
          <w:tcPr>
            <w:tcW w:w="1185" w:type="dxa"/>
          </w:tcPr>
          <w:p w14:paraId="12122FDC" w14:textId="00279D0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25.37</w:t>
            </w:r>
          </w:p>
        </w:tc>
        <w:tc>
          <w:tcPr>
            <w:tcW w:w="1111" w:type="dxa"/>
          </w:tcPr>
          <w:p w14:paraId="5EC2B734" w14:textId="0AC0B61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60.85</w:t>
            </w:r>
          </w:p>
        </w:tc>
        <w:tc>
          <w:tcPr>
            <w:tcW w:w="1247" w:type="dxa"/>
          </w:tcPr>
          <w:p w14:paraId="6EFB2D24" w14:textId="1E167D4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9.37</w:t>
            </w:r>
          </w:p>
        </w:tc>
        <w:tc>
          <w:tcPr>
            <w:tcW w:w="1134" w:type="dxa"/>
          </w:tcPr>
          <w:p w14:paraId="34FFA375" w14:textId="5FD1DF3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3.9*</w:t>
            </w:r>
          </w:p>
        </w:tc>
        <w:tc>
          <w:tcPr>
            <w:tcW w:w="1130" w:type="dxa"/>
          </w:tcPr>
          <w:p w14:paraId="4E2E9033" w14:textId="116DDD7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86.22</w:t>
            </w:r>
          </w:p>
        </w:tc>
      </w:tr>
    </w:tbl>
    <w:p w14:paraId="2EECAF4C" w14:textId="33098797" w:rsidR="006817E4" w:rsidRDefault="00AF3DCB" w:rsidP="008B6D01">
      <w:pPr>
        <w:pStyle w:val="Tablesubheading0"/>
      </w:pPr>
      <w:r>
        <w:t xml:space="preserve">Subscale: </w:t>
      </w:r>
      <w:r w:rsidRPr="007F4EE7">
        <w:t>Undermine Leadership</w:t>
      </w:r>
    </w:p>
    <w:tbl>
      <w:tblPr>
        <w:tblStyle w:val="Table-SingleHeaderRow"/>
        <w:tblW w:w="14955" w:type="dxa"/>
        <w:tblLayout w:type="fixed"/>
        <w:tblLook w:val="00A0" w:firstRow="1" w:lastRow="0" w:firstColumn="1" w:lastColumn="0" w:noHBand="0" w:noVBand="0"/>
      </w:tblPr>
      <w:tblGrid>
        <w:gridCol w:w="737"/>
        <w:gridCol w:w="4706"/>
        <w:gridCol w:w="737"/>
        <w:gridCol w:w="647"/>
        <w:gridCol w:w="1129"/>
        <w:gridCol w:w="1192"/>
        <w:gridCol w:w="1185"/>
        <w:gridCol w:w="1111"/>
        <w:gridCol w:w="1247"/>
        <w:gridCol w:w="1134"/>
        <w:gridCol w:w="1130"/>
      </w:tblGrid>
      <w:tr w:rsidR="00617758" w:rsidRPr="007F4EE7" w14:paraId="20ABA395" w14:textId="77777777" w:rsidTr="006B306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399B0CE0" w14:textId="77777777" w:rsidR="00617758" w:rsidRPr="007F4EE7" w:rsidRDefault="00617758" w:rsidP="006B3061">
            <w:pPr>
              <w:pStyle w:val="Tablebody"/>
              <w:rPr>
                <w:b w:val="0"/>
                <w:lang w:val="en-GB"/>
              </w:rPr>
            </w:pPr>
            <w:r w:rsidRPr="007F4EE7">
              <w:t>Code</w:t>
            </w:r>
          </w:p>
        </w:tc>
        <w:tc>
          <w:tcPr>
            <w:tcW w:w="4706" w:type="dxa"/>
          </w:tcPr>
          <w:p w14:paraId="0C49C977"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Abbreviated item wording</w:t>
            </w:r>
          </w:p>
        </w:tc>
        <w:tc>
          <w:tcPr>
            <w:tcW w:w="737" w:type="dxa"/>
          </w:tcPr>
          <w:p w14:paraId="05C296C7"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Age</w:t>
            </w:r>
          </w:p>
        </w:tc>
        <w:tc>
          <w:tcPr>
            <w:tcW w:w="647" w:type="dxa"/>
          </w:tcPr>
          <w:p w14:paraId="151EFAC8" w14:textId="77777777" w:rsidR="00617758" w:rsidRPr="00DB512A" w:rsidRDefault="00617758" w:rsidP="006B306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DB512A">
              <w:rPr>
                <w:rStyle w:val="Emphasis"/>
              </w:rPr>
              <w:t>N</w:t>
            </w:r>
          </w:p>
        </w:tc>
        <w:tc>
          <w:tcPr>
            <w:tcW w:w="1129" w:type="dxa"/>
          </w:tcPr>
          <w:p w14:paraId="60877DC1" w14:textId="1767F1C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agree</w:t>
            </w:r>
          </w:p>
        </w:tc>
        <w:tc>
          <w:tcPr>
            <w:tcW w:w="1192" w:type="dxa"/>
          </w:tcPr>
          <w:p w14:paraId="48F050AB"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agree</w:t>
            </w:r>
          </w:p>
        </w:tc>
        <w:tc>
          <w:tcPr>
            <w:tcW w:w="1185" w:type="dxa"/>
          </w:tcPr>
          <w:p w14:paraId="46539E1E"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Somewhat disagree</w:t>
            </w:r>
          </w:p>
        </w:tc>
        <w:tc>
          <w:tcPr>
            <w:tcW w:w="1111" w:type="dxa"/>
          </w:tcPr>
          <w:p w14:paraId="10E5B141"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Strongly disagree</w:t>
            </w:r>
          </w:p>
        </w:tc>
        <w:tc>
          <w:tcPr>
            <w:tcW w:w="1247" w:type="dxa"/>
          </w:tcPr>
          <w:p w14:paraId="56CDC19C" w14:textId="09B32069"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Undecided</w:t>
            </w:r>
          </w:p>
        </w:tc>
        <w:tc>
          <w:tcPr>
            <w:tcW w:w="1134" w:type="dxa"/>
          </w:tcPr>
          <w:p w14:paraId="2E8963F3" w14:textId="37EF09B4"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agree</w:t>
            </w:r>
            <w:r w:rsidRPr="007F4EE7">
              <w:rPr>
                <w:vertAlign w:val="superscript"/>
              </w:rPr>
              <w:t>a</w:t>
            </w:r>
          </w:p>
        </w:tc>
        <w:tc>
          <w:tcPr>
            <w:tcW w:w="1130" w:type="dxa"/>
          </w:tcPr>
          <w:p w14:paraId="67CC38CB" w14:textId="77777777" w:rsidR="00617758" w:rsidRPr="007F4EE7" w:rsidRDefault="00617758"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7F4EE7">
              <w:t>% Net disagree</w:t>
            </w:r>
            <w:r w:rsidRPr="007F4EE7">
              <w:rPr>
                <w:vertAlign w:val="superscript"/>
              </w:rPr>
              <w:t>b</w:t>
            </w:r>
          </w:p>
        </w:tc>
      </w:tr>
      <w:tr w:rsidR="00144D8F" w:rsidRPr="007F4EE7" w14:paraId="2C1C8F0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589D909" w14:textId="77777777" w:rsidR="00144D8F" w:rsidRPr="007F4EE7" w:rsidRDefault="00144D8F" w:rsidP="006B3061">
            <w:pPr>
              <w:pStyle w:val="Tablebody"/>
              <w:rPr>
                <w:rFonts w:cs="Open Sans"/>
                <w:szCs w:val="18"/>
                <w:lang w:val="en-GB"/>
              </w:rPr>
            </w:pPr>
            <w:r w:rsidRPr="007F4EE7">
              <w:rPr>
                <w:rFonts w:cs="Open Sans"/>
                <w:szCs w:val="18"/>
              </w:rPr>
              <w:t>G4</w:t>
            </w:r>
          </w:p>
        </w:tc>
        <w:tc>
          <w:tcPr>
            <w:tcW w:w="4706" w:type="dxa"/>
          </w:tcPr>
          <w:p w14:paraId="7458119F" w14:textId="79F68659"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On the whole, men make better political leaders than</w:t>
            </w:r>
            <w:r w:rsidR="00F1395C">
              <w:rPr>
                <w:rFonts w:cs="Open Sans"/>
                <w:szCs w:val="18"/>
                <w:lang w:val="en-US"/>
              </w:rPr>
              <w:t> </w:t>
            </w:r>
            <w:r w:rsidRPr="007F4EE7">
              <w:rPr>
                <w:rFonts w:cs="Open Sans"/>
                <w:szCs w:val="18"/>
                <w:lang w:val="en-US"/>
              </w:rPr>
              <w:t>women</w:t>
            </w:r>
          </w:p>
        </w:tc>
        <w:tc>
          <w:tcPr>
            <w:tcW w:w="737" w:type="dxa"/>
          </w:tcPr>
          <w:p w14:paraId="71A8FB6B" w14:textId="77777777"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7AC21F0B" w14:textId="77777777"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129" w:type="dxa"/>
          </w:tcPr>
          <w:p w14:paraId="710A5341" w14:textId="2C2D4528"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2.29</w:t>
            </w:r>
            <w:r w:rsidRPr="007F4EE7">
              <w:rPr>
                <w:rFonts w:cs="Open Sans"/>
                <w:szCs w:val="18"/>
                <w:vertAlign w:val="superscript"/>
              </w:rPr>
              <w:t>c</w:t>
            </w:r>
          </w:p>
        </w:tc>
        <w:tc>
          <w:tcPr>
            <w:tcW w:w="1192" w:type="dxa"/>
          </w:tcPr>
          <w:p w14:paraId="1D0D7810" w14:textId="50757A77"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8.32</w:t>
            </w:r>
          </w:p>
        </w:tc>
        <w:tc>
          <w:tcPr>
            <w:tcW w:w="1185" w:type="dxa"/>
          </w:tcPr>
          <w:p w14:paraId="762D58C9" w14:textId="45E81261"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20.94</w:t>
            </w:r>
          </w:p>
        </w:tc>
        <w:tc>
          <w:tcPr>
            <w:tcW w:w="1111" w:type="dxa"/>
          </w:tcPr>
          <w:p w14:paraId="4A0BACFA" w14:textId="7315E355"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63.42</w:t>
            </w:r>
          </w:p>
        </w:tc>
        <w:tc>
          <w:tcPr>
            <w:tcW w:w="1247" w:type="dxa"/>
          </w:tcPr>
          <w:p w14:paraId="0908E5DB" w14:textId="02A8B4EB"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5.03</w:t>
            </w:r>
            <w:r w:rsidRPr="007F4EE7">
              <w:rPr>
                <w:rFonts w:cs="Open Sans"/>
                <w:szCs w:val="18"/>
                <w:vertAlign w:val="superscript"/>
              </w:rPr>
              <w:t>c</w:t>
            </w:r>
          </w:p>
        </w:tc>
        <w:tc>
          <w:tcPr>
            <w:tcW w:w="1134" w:type="dxa"/>
          </w:tcPr>
          <w:p w14:paraId="402BAB66" w14:textId="29BF3AC0"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10.61</w:t>
            </w:r>
          </w:p>
        </w:tc>
        <w:tc>
          <w:tcPr>
            <w:tcW w:w="1130" w:type="dxa"/>
          </w:tcPr>
          <w:p w14:paraId="5626DDEC" w14:textId="283DAFCB" w:rsidR="00144D8F" w:rsidRPr="007F4EE7" w:rsidRDefault="00144D8F"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84.36</w:t>
            </w:r>
          </w:p>
        </w:tc>
      </w:tr>
      <w:tr w:rsidR="008163F3" w:rsidRPr="007F4EE7" w14:paraId="748FC2B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21FC0D6" w14:textId="1FFEFC90" w:rsidR="008163F3" w:rsidRPr="007F4EE7" w:rsidRDefault="008163F3" w:rsidP="006B3061">
            <w:pPr>
              <w:pStyle w:val="Tablebody"/>
              <w:rPr>
                <w:rFonts w:cs="Open Sans"/>
                <w:szCs w:val="18"/>
              </w:rPr>
            </w:pPr>
            <w:r w:rsidRPr="007F4EE7">
              <w:rPr>
                <w:rFonts w:cs="Open Sans"/>
                <w:szCs w:val="18"/>
              </w:rPr>
              <w:t>G4</w:t>
            </w:r>
          </w:p>
        </w:tc>
        <w:tc>
          <w:tcPr>
            <w:tcW w:w="4706" w:type="dxa"/>
          </w:tcPr>
          <w:p w14:paraId="0735A810" w14:textId="1986926F"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On the whole, men make better political leaders than</w:t>
            </w:r>
            <w:r w:rsidR="00F1395C">
              <w:rPr>
                <w:rFonts w:cs="Open Sans"/>
                <w:szCs w:val="18"/>
                <w:lang w:val="en-US"/>
              </w:rPr>
              <w:t> </w:t>
            </w:r>
            <w:r w:rsidRPr="007F4EE7">
              <w:rPr>
                <w:rFonts w:cs="Open Sans"/>
                <w:szCs w:val="18"/>
                <w:lang w:val="en-US"/>
              </w:rPr>
              <w:t>women</w:t>
            </w:r>
          </w:p>
        </w:tc>
        <w:tc>
          <w:tcPr>
            <w:tcW w:w="737" w:type="dxa"/>
          </w:tcPr>
          <w:p w14:paraId="307D2AE1" w14:textId="786C3411"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4CE2D500" w14:textId="6A1672C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129" w:type="dxa"/>
          </w:tcPr>
          <w:p w14:paraId="351243FB" w14:textId="7A3E06D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2.16</w:t>
            </w:r>
          </w:p>
        </w:tc>
        <w:tc>
          <w:tcPr>
            <w:tcW w:w="1192" w:type="dxa"/>
          </w:tcPr>
          <w:p w14:paraId="18C6CC01" w14:textId="3899826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6.55</w:t>
            </w:r>
          </w:p>
        </w:tc>
        <w:tc>
          <w:tcPr>
            <w:tcW w:w="1185" w:type="dxa"/>
          </w:tcPr>
          <w:p w14:paraId="1D8CF159" w14:textId="742CA60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18.36</w:t>
            </w:r>
          </w:p>
        </w:tc>
        <w:tc>
          <w:tcPr>
            <w:tcW w:w="1111" w:type="dxa"/>
          </w:tcPr>
          <w:p w14:paraId="43139289" w14:textId="6FEA10A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66.22</w:t>
            </w:r>
          </w:p>
        </w:tc>
        <w:tc>
          <w:tcPr>
            <w:tcW w:w="1247" w:type="dxa"/>
          </w:tcPr>
          <w:p w14:paraId="60E97C3E" w14:textId="018D431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6.35</w:t>
            </w:r>
          </w:p>
        </w:tc>
        <w:tc>
          <w:tcPr>
            <w:tcW w:w="1134" w:type="dxa"/>
          </w:tcPr>
          <w:p w14:paraId="785034A1" w14:textId="235479C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8.71</w:t>
            </w:r>
          </w:p>
        </w:tc>
        <w:tc>
          <w:tcPr>
            <w:tcW w:w="1130" w:type="dxa"/>
          </w:tcPr>
          <w:p w14:paraId="38000A16" w14:textId="7AD1147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84.58</w:t>
            </w:r>
          </w:p>
        </w:tc>
      </w:tr>
      <w:tr w:rsidR="008163F3" w:rsidRPr="007F4EE7" w14:paraId="366C4E7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2F15EA5" w14:textId="2994F12F" w:rsidR="008163F3" w:rsidRPr="007F4EE7" w:rsidRDefault="008163F3" w:rsidP="006B3061">
            <w:pPr>
              <w:pStyle w:val="Tablebody"/>
              <w:rPr>
                <w:rFonts w:cs="Open Sans"/>
                <w:szCs w:val="18"/>
                <w:lang w:val="en-GB"/>
              </w:rPr>
            </w:pPr>
            <w:r w:rsidRPr="007F4EE7">
              <w:rPr>
                <w:rFonts w:cs="Open Sans"/>
                <w:szCs w:val="18"/>
              </w:rPr>
              <w:t>G5</w:t>
            </w:r>
          </w:p>
        </w:tc>
        <w:tc>
          <w:tcPr>
            <w:tcW w:w="4706" w:type="dxa"/>
          </w:tcPr>
          <w:p w14:paraId="50C8A1F4"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In the workplace, men generally make more capable bosses than women^</w:t>
            </w:r>
          </w:p>
        </w:tc>
        <w:tc>
          <w:tcPr>
            <w:tcW w:w="737" w:type="dxa"/>
          </w:tcPr>
          <w:p w14:paraId="3BF9E874"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7D5789AC"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129" w:type="dxa"/>
          </w:tcPr>
          <w:p w14:paraId="7827EBC9" w14:textId="5185C9F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2.37</w:t>
            </w:r>
            <w:r w:rsidRPr="007F4EE7">
              <w:rPr>
                <w:rFonts w:cs="Open Sans"/>
                <w:szCs w:val="18"/>
                <w:vertAlign w:val="superscript"/>
              </w:rPr>
              <w:t>c</w:t>
            </w:r>
          </w:p>
        </w:tc>
        <w:tc>
          <w:tcPr>
            <w:tcW w:w="1192" w:type="dxa"/>
          </w:tcPr>
          <w:p w14:paraId="040DCF98" w14:textId="11A478F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9.09</w:t>
            </w:r>
            <w:r w:rsidRPr="007F4EE7">
              <w:rPr>
                <w:rFonts w:cs="Open Sans"/>
                <w:szCs w:val="18"/>
                <w:vertAlign w:val="superscript"/>
              </w:rPr>
              <w:t>c</w:t>
            </w:r>
          </w:p>
        </w:tc>
        <w:tc>
          <w:tcPr>
            <w:tcW w:w="1185" w:type="dxa"/>
          </w:tcPr>
          <w:p w14:paraId="0DF96A05" w14:textId="0BC4A17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26.35</w:t>
            </w:r>
          </w:p>
        </w:tc>
        <w:tc>
          <w:tcPr>
            <w:tcW w:w="1111" w:type="dxa"/>
          </w:tcPr>
          <w:p w14:paraId="1FB2F4F7" w14:textId="11725F5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61.43</w:t>
            </w:r>
          </w:p>
        </w:tc>
        <w:tc>
          <w:tcPr>
            <w:tcW w:w="1247" w:type="dxa"/>
          </w:tcPr>
          <w:p w14:paraId="6BF96628" w14:textId="079C4D2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0.75</w:t>
            </w:r>
            <w:r w:rsidRPr="007F4EE7">
              <w:rPr>
                <w:rFonts w:cs="Open Sans"/>
                <w:szCs w:val="18"/>
                <w:vertAlign w:val="superscript"/>
              </w:rPr>
              <w:t>c</w:t>
            </w:r>
          </w:p>
        </w:tc>
        <w:tc>
          <w:tcPr>
            <w:tcW w:w="1134" w:type="dxa"/>
          </w:tcPr>
          <w:p w14:paraId="3F5BEE16" w14:textId="5D970DB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11.46</w:t>
            </w:r>
            <w:r w:rsidRPr="007F4EE7">
              <w:rPr>
                <w:rFonts w:cs="Open Sans"/>
                <w:szCs w:val="18"/>
                <w:vertAlign w:val="superscript"/>
              </w:rPr>
              <w:t>c</w:t>
            </w:r>
          </w:p>
        </w:tc>
        <w:tc>
          <w:tcPr>
            <w:tcW w:w="1130" w:type="dxa"/>
          </w:tcPr>
          <w:p w14:paraId="07071990" w14:textId="6BC1618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87.79</w:t>
            </w:r>
          </w:p>
        </w:tc>
      </w:tr>
      <w:tr w:rsidR="008163F3" w:rsidRPr="007F4EE7" w14:paraId="2B0534E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6365E3A" w14:textId="2053D87C" w:rsidR="008163F3" w:rsidRPr="007F4EE7" w:rsidRDefault="008163F3" w:rsidP="006B3061">
            <w:pPr>
              <w:pStyle w:val="Tablebody"/>
              <w:rPr>
                <w:rFonts w:cs="Open Sans"/>
                <w:szCs w:val="18"/>
              </w:rPr>
            </w:pPr>
            <w:r w:rsidRPr="007F4EE7">
              <w:rPr>
                <w:rFonts w:cs="Open Sans"/>
                <w:szCs w:val="18"/>
              </w:rPr>
              <w:t>G5</w:t>
            </w:r>
          </w:p>
        </w:tc>
        <w:tc>
          <w:tcPr>
            <w:tcW w:w="4706" w:type="dxa"/>
          </w:tcPr>
          <w:p w14:paraId="7EC9B33B" w14:textId="5E23CE3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In the workplace, men generally make more capable bosses than women^</w:t>
            </w:r>
          </w:p>
        </w:tc>
        <w:tc>
          <w:tcPr>
            <w:tcW w:w="737" w:type="dxa"/>
          </w:tcPr>
          <w:p w14:paraId="1AEDC84F" w14:textId="1EAA361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2F2A4B81" w14:textId="02EA201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129" w:type="dxa"/>
          </w:tcPr>
          <w:p w14:paraId="049F4E50" w14:textId="6ADD14D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2.33</w:t>
            </w:r>
            <w:r w:rsidRPr="007F4EE7">
              <w:rPr>
                <w:rFonts w:cs="Open Sans"/>
                <w:szCs w:val="18"/>
                <w:vertAlign w:val="superscript"/>
              </w:rPr>
              <w:t>c</w:t>
            </w:r>
          </w:p>
        </w:tc>
        <w:tc>
          <w:tcPr>
            <w:tcW w:w="1192" w:type="dxa"/>
          </w:tcPr>
          <w:p w14:paraId="6E8BFA3F" w14:textId="3E75BF8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5.99</w:t>
            </w:r>
          </w:p>
        </w:tc>
        <w:tc>
          <w:tcPr>
            <w:tcW w:w="1185" w:type="dxa"/>
          </w:tcPr>
          <w:p w14:paraId="0B0C4305" w14:textId="4641377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19.38</w:t>
            </w:r>
          </w:p>
        </w:tc>
        <w:tc>
          <w:tcPr>
            <w:tcW w:w="1111" w:type="dxa"/>
          </w:tcPr>
          <w:p w14:paraId="7073BB4E" w14:textId="4EF8D9F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66.56</w:t>
            </w:r>
          </w:p>
        </w:tc>
        <w:tc>
          <w:tcPr>
            <w:tcW w:w="1247" w:type="dxa"/>
          </w:tcPr>
          <w:p w14:paraId="22E58AC9" w14:textId="3BCFCD59"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5.36</w:t>
            </w:r>
          </w:p>
        </w:tc>
        <w:tc>
          <w:tcPr>
            <w:tcW w:w="1134" w:type="dxa"/>
          </w:tcPr>
          <w:p w14:paraId="5B0A06C7" w14:textId="2E05B4A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8.33</w:t>
            </w:r>
          </w:p>
        </w:tc>
        <w:tc>
          <w:tcPr>
            <w:tcW w:w="1130" w:type="dxa"/>
          </w:tcPr>
          <w:p w14:paraId="2AB2DE41" w14:textId="2BEF9ADF"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85.94</w:t>
            </w:r>
          </w:p>
        </w:tc>
      </w:tr>
      <w:tr w:rsidR="008163F3" w:rsidRPr="007F4EE7" w14:paraId="771755B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6D346B8" w14:textId="77777777" w:rsidR="008163F3" w:rsidRPr="007F4EE7" w:rsidRDefault="008163F3" w:rsidP="006B3061">
            <w:pPr>
              <w:pStyle w:val="Tablebody"/>
              <w:rPr>
                <w:rFonts w:cs="Open Sans"/>
                <w:szCs w:val="18"/>
                <w:lang w:val="en-GB"/>
              </w:rPr>
            </w:pPr>
            <w:r w:rsidRPr="007F4EE7">
              <w:rPr>
                <w:rFonts w:cs="Open Sans"/>
                <w:szCs w:val="18"/>
              </w:rPr>
              <w:t>G6</w:t>
            </w:r>
          </w:p>
        </w:tc>
        <w:tc>
          <w:tcPr>
            <w:tcW w:w="4706" w:type="dxa"/>
          </w:tcPr>
          <w:p w14:paraId="124CD691" w14:textId="4BEA002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Men, rather than women, should hold positions of</w:t>
            </w:r>
            <w:r>
              <w:rPr>
                <w:rFonts w:cs="Open Sans"/>
                <w:szCs w:val="18"/>
                <w:lang w:val="en-US"/>
              </w:rPr>
              <w:t> </w:t>
            </w:r>
            <w:r w:rsidRPr="007F4EE7">
              <w:rPr>
                <w:rFonts w:cs="Open Sans"/>
                <w:szCs w:val="18"/>
                <w:lang w:val="en-US"/>
              </w:rPr>
              <w:t>responsibility in the community^</w:t>
            </w:r>
          </w:p>
        </w:tc>
        <w:tc>
          <w:tcPr>
            <w:tcW w:w="737" w:type="dxa"/>
          </w:tcPr>
          <w:p w14:paraId="28D0245C"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540FB34A"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112</w:t>
            </w:r>
          </w:p>
        </w:tc>
        <w:tc>
          <w:tcPr>
            <w:tcW w:w="1129" w:type="dxa"/>
          </w:tcPr>
          <w:p w14:paraId="25E0FB47" w14:textId="0423DEC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5.83</w:t>
            </w:r>
            <w:r w:rsidRPr="007F4EE7">
              <w:rPr>
                <w:rFonts w:cs="Open Sans"/>
                <w:szCs w:val="18"/>
                <w:vertAlign w:val="superscript"/>
              </w:rPr>
              <w:t>c</w:t>
            </w:r>
          </w:p>
        </w:tc>
        <w:tc>
          <w:tcPr>
            <w:tcW w:w="1192" w:type="dxa"/>
          </w:tcPr>
          <w:p w14:paraId="06784AD8" w14:textId="3A76AD7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8.65</w:t>
            </w:r>
            <w:r w:rsidRPr="007F4EE7">
              <w:rPr>
                <w:rFonts w:cs="Open Sans"/>
                <w:szCs w:val="18"/>
                <w:vertAlign w:val="superscript"/>
              </w:rPr>
              <w:t>c</w:t>
            </w:r>
          </w:p>
        </w:tc>
        <w:tc>
          <w:tcPr>
            <w:tcW w:w="1185" w:type="dxa"/>
          </w:tcPr>
          <w:p w14:paraId="44C5959A" w14:textId="648D665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23.28</w:t>
            </w:r>
          </w:p>
        </w:tc>
        <w:tc>
          <w:tcPr>
            <w:tcW w:w="1111" w:type="dxa"/>
          </w:tcPr>
          <w:p w14:paraId="569CFA46" w14:textId="1F9C69B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60.10</w:t>
            </w:r>
          </w:p>
        </w:tc>
        <w:tc>
          <w:tcPr>
            <w:tcW w:w="1247" w:type="dxa"/>
          </w:tcPr>
          <w:p w14:paraId="593660BB" w14:textId="098D352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1.38</w:t>
            </w:r>
            <w:r w:rsidRPr="007F4EE7">
              <w:rPr>
                <w:rFonts w:cs="Open Sans"/>
                <w:szCs w:val="18"/>
                <w:vertAlign w:val="superscript"/>
              </w:rPr>
              <w:t>c</w:t>
            </w:r>
          </w:p>
        </w:tc>
        <w:tc>
          <w:tcPr>
            <w:tcW w:w="1134" w:type="dxa"/>
          </w:tcPr>
          <w:p w14:paraId="5E29F882" w14:textId="4E90048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14.48</w:t>
            </w:r>
          </w:p>
        </w:tc>
        <w:tc>
          <w:tcPr>
            <w:tcW w:w="1130" w:type="dxa"/>
          </w:tcPr>
          <w:p w14:paraId="396BC953" w14:textId="060A2BE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83.38</w:t>
            </w:r>
          </w:p>
        </w:tc>
      </w:tr>
      <w:tr w:rsidR="008163F3" w:rsidRPr="007F4EE7" w14:paraId="05DBD67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DDDB9E1" w14:textId="1A739E3B" w:rsidR="008163F3" w:rsidRPr="007F4EE7" w:rsidRDefault="008163F3" w:rsidP="006B3061">
            <w:pPr>
              <w:pStyle w:val="Tablebody"/>
              <w:rPr>
                <w:rFonts w:cs="Open Sans"/>
                <w:szCs w:val="18"/>
              </w:rPr>
            </w:pPr>
            <w:r w:rsidRPr="007F4EE7">
              <w:rPr>
                <w:rFonts w:cs="Open Sans"/>
                <w:szCs w:val="18"/>
              </w:rPr>
              <w:t>G</w:t>
            </w:r>
            <w:r>
              <w:rPr>
                <w:rFonts w:cs="Open Sans"/>
                <w:szCs w:val="18"/>
              </w:rPr>
              <w:t>6</w:t>
            </w:r>
          </w:p>
        </w:tc>
        <w:tc>
          <w:tcPr>
            <w:tcW w:w="4706" w:type="dxa"/>
          </w:tcPr>
          <w:p w14:paraId="2E30C9BA" w14:textId="6F5FD66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Men, rather than women, should hold positions of</w:t>
            </w:r>
            <w:r>
              <w:rPr>
                <w:rFonts w:cs="Open Sans"/>
                <w:szCs w:val="18"/>
                <w:lang w:val="en-US"/>
              </w:rPr>
              <w:t> </w:t>
            </w:r>
            <w:r w:rsidRPr="007F4EE7">
              <w:rPr>
                <w:rFonts w:cs="Open Sans"/>
                <w:szCs w:val="18"/>
                <w:lang w:val="en-US"/>
              </w:rPr>
              <w:t>responsibility in the community^</w:t>
            </w:r>
          </w:p>
        </w:tc>
        <w:tc>
          <w:tcPr>
            <w:tcW w:w="737" w:type="dxa"/>
          </w:tcPr>
          <w:p w14:paraId="20B7A802" w14:textId="4AB1442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40B51A7C" w14:textId="0D91378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728</w:t>
            </w:r>
          </w:p>
        </w:tc>
        <w:tc>
          <w:tcPr>
            <w:tcW w:w="1129" w:type="dxa"/>
          </w:tcPr>
          <w:p w14:paraId="7EC5E501" w14:textId="170B42C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4.23</w:t>
            </w:r>
          </w:p>
        </w:tc>
        <w:tc>
          <w:tcPr>
            <w:tcW w:w="1192" w:type="dxa"/>
          </w:tcPr>
          <w:p w14:paraId="08EF4F07" w14:textId="260EA4B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5.97</w:t>
            </w:r>
          </w:p>
        </w:tc>
        <w:tc>
          <w:tcPr>
            <w:tcW w:w="1185" w:type="dxa"/>
          </w:tcPr>
          <w:p w14:paraId="5FB7762A" w14:textId="1AD2C094"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17.34</w:t>
            </w:r>
          </w:p>
        </w:tc>
        <w:tc>
          <w:tcPr>
            <w:tcW w:w="1111" w:type="dxa"/>
          </w:tcPr>
          <w:p w14:paraId="1C3D130F" w14:textId="2232A00B"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68.14</w:t>
            </w:r>
          </w:p>
        </w:tc>
        <w:tc>
          <w:tcPr>
            <w:tcW w:w="1247" w:type="dxa"/>
          </w:tcPr>
          <w:p w14:paraId="6E10EC34" w14:textId="0B329B45"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4.08</w:t>
            </w:r>
          </w:p>
        </w:tc>
        <w:tc>
          <w:tcPr>
            <w:tcW w:w="1134" w:type="dxa"/>
          </w:tcPr>
          <w:p w14:paraId="1A428B37" w14:textId="2F7B4E4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10.20</w:t>
            </w:r>
          </w:p>
        </w:tc>
        <w:tc>
          <w:tcPr>
            <w:tcW w:w="1130" w:type="dxa"/>
          </w:tcPr>
          <w:p w14:paraId="05E38E6E" w14:textId="2877CE9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85.48</w:t>
            </w:r>
          </w:p>
        </w:tc>
      </w:tr>
      <w:tr w:rsidR="008163F3" w:rsidRPr="007F4EE7" w14:paraId="3BC2765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3BE97A9" w14:textId="77777777" w:rsidR="008163F3" w:rsidRPr="007F4EE7" w:rsidRDefault="008163F3" w:rsidP="006B3061">
            <w:pPr>
              <w:pStyle w:val="Tablebody"/>
              <w:rPr>
                <w:rFonts w:cs="Open Sans"/>
                <w:szCs w:val="18"/>
                <w:lang w:val="en-GB"/>
              </w:rPr>
            </w:pPr>
            <w:r w:rsidRPr="007F4EE7">
              <w:rPr>
                <w:rFonts w:cs="Open Sans"/>
                <w:szCs w:val="18"/>
              </w:rPr>
              <w:t>G11</w:t>
            </w:r>
          </w:p>
        </w:tc>
        <w:tc>
          <w:tcPr>
            <w:tcW w:w="4706" w:type="dxa"/>
          </w:tcPr>
          <w:p w14:paraId="71CD27ED"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lang w:val="en-US"/>
              </w:rPr>
              <w:t>Women are less capable than men of thinking logically</w:t>
            </w:r>
          </w:p>
        </w:tc>
        <w:tc>
          <w:tcPr>
            <w:tcW w:w="737" w:type="dxa"/>
          </w:tcPr>
          <w:p w14:paraId="6681A0E9"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16–17</w:t>
            </w:r>
          </w:p>
        </w:tc>
        <w:tc>
          <w:tcPr>
            <w:tcW w:w="647" w:type="dxa"/>
          </w:tcPr>
          <w:p w14:paraId="1607078E" w14:textId="7777777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207</w:t>
            </w:r>
          </w:p>
        </w:tc>
        <w:tc>
          <w:tcPr>
            <w:tcW w:w="1129" w:type="dxa"/>
          </w:tcPr>
          <w:p w14:paraId="352B1311" w14:textId="1F73C66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2.74</w:t>
            </w:r>
            <w:r w:rsidRPr="007F4EE7">
              <w:rPr>
                <w:rFonts w:cs="Open Sans"/>
                <w:szCs w:val="18"/>
                <w:vertAlign w:val="superscript"/>
              </w:rPr>
              <w:t>c</w:t>
            </w:r>
          </w:p>
        </w:tc>
        <w:tc>
          <w:tcPr>
            <w:tcW w:w="1192" w:type="dxa"/>
          </w:tcPr>
          <w:p w14:paraId="6D6C749F" w14:textId="5C3D888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5.34</w:t>
            </w:r>
            <w:r w:rsidRPr="007F4EE7">
              <w:rPr>
                <w:rFonts w:cs="Open Sans"/>
                <w:szCs w:val="18"/>
                <w:vertAlign w:val="superscript"/>
              </w:rPr>
              <w:t>c</w:t>
            </w:r>
          </w:p>
        </w:tc>
        <w:tc>
          <w:tcPr>
            <w:tcW w:w="1185" w:type="dxa"/>
          </w:tcPr>
          <w:p w14:paraId="727F60CA" w14:textId="78658F73"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9.81</w:t>
            </w:r>
          </w:p>
        </w:tc>
        <w:tc>
          <w:tcPr>
            <w:tcW w:w="1111" w:type="dxa"/>
          </w:tcPr>
          <w:p w14:paraId="72A8E384" w14:textId="6B3D210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79.53</w:t>
            </w:r>
          </w:p>
        </w:tc>
        <w:tc>
          <w:tcPr>
            <w:tcW w:w="1247" w:type="dxa"/>
          </w:tcPr>
          <w:p w14:paraId="66ABD58D" w14:textId="54EC2F9E"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2.21</w:t>
            </w:r>
            <w:r w:rsidRPr="007F4EE7">
              <w:rPr>
                <w:rFonts w:cs="Open Sans"/>
                <w:szCs w:val="18"/>
                <w:vertAlign w:val="superscript"/>
              </w:rPr>
              <w:t>c</w:t>
            </w:r>
          </w:p>
        </w:tc>
        <w:tc>
          <w:tcPr>
            <w:tcW w:w="1134" w:type="dxa"/>
          </w:tcPr>
          <w:p w14:paraId="66DA37B7" w14:textId="6F65BC50"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8.08</w:t>
            </w:r>
            <w:r w:rsidRPr="007F4EE7">
              <w:rPr>
                <w:rFonts w:cs="Open Sans"/>
                <w:szCs w:val="18"/>
                <w:vertAlign w:val="superscript"/>
              </w:rPr>
              <w:t>c</w:t>
            </w:r>
          </w:p>
        </w:tc>
        <w:tc>
          <w:tcPr>
            <w:tcW w:w="1130" w:type="dxa"/>
          </w:tcPr>
          <w:p w14:paraId="59480A5D" w14:textId="23297CFD"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F4EE7">
              <w:rPr>
                <w:rFonts w:cs="Open Sans"/>
                <w:szCs w:val="18"/>
              </w:rPr>
              <w:t>89.34</w:t>
            </w:r>
          </w:p>
        </w:tc>
      </w:tr>
      <w:tr w:rsidR="008163F3" w:rsidRPr="007F4EE7" w14:paraId="69D62FD4"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725D155" w14:textId="1B5C16F6" w:rsidR="008163F3" w:rsidRPr="007F4EE7" w:rsidRDefault="008163F3" w:rsidP="006B3061">
            <w:pPr>
              <w:pStyle w:val="Tablebody"/>
              <w:rPr>
                <w:rFonts w:cs="Open Sans"/>
                <w:szCs w:val="18"/>
              </w:rPr>
            </w:pPr>
            <w:r w:rsidRPr="007F4EE7">
              <w:rPr>
                <w:rFonts w:cs="Open Sans"/>
                <w:szCs w:val="18"/>
              </w:rPr>
              <w:t>G11</w:t>
            </w:r>
          </w:p>
        </w:tc>
        <w:tc>
          <w:tcPr>
            <w:tcW w:w="4706" w:type="dxa"/>
          </w:tcPr>
          <w:p w14:paraId="50DC594F" w14:textId="798AD2F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F4EE7">
              <w:rPr>
                <w:rFonts w:cs="Open Sans"/>
                <w:szCs w:val="18"/>
                <w:lang w:val="en-US"/>
              </w:rPr>
              <w:t>Women are less capable than men of thinking logically</w:t>
            </w:r>
          </w:p>
        </w:tc>
        <w:tc>
          <w:tcPr>
            <w:tcW w:w="737" w:type="dxa"/>
          </w:tcPr>
          <w:p w14:paraId="305B04B7" w14:textId="5DCC668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18–24</w:t>
            </w:r>
          </w:p>
        </w:tc>
        <w:tc>
          <w:tcPr>
            <w:tcW w:w="647" w:type="dxa"/>
          </w:tcPr>
          <w:p w14:paraId="2ED0B23B" w14:textId="0585712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1,462</w:t>
            </w:r>
          </w:p>
        </w:tc>
        <w:tc>
          <w:tcPr>
            <w:tcW w:w="1129" w:type="dxa"/>
          </w:tcPr>
          <w:p w14:paraId="17523B6E" w14:textId="6B52BC88"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1.22</w:t>
            </w:r>
            <w:r w:rsidRPr="007F4EE7">
              <w:rPr>
                <w:rFonts w:cs="Open Sans"/>
                <w:szCs w:val="18"/>
                <w:vertAlign w:val="superscript"/>
              </w:rPr>
              <w:t>c</w:t>
            </w:r>
          </w:p>
        </w:tc>
        <w:tc>
          <w:tcPr>
            <w:tcW w:w="1192" w:type="dxa"/>
          </w:tcPr>
          <w:p w14:paraId="48BEB511" w14:textId="6017A5AA"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4.11</w:t>
            </w:r>
          </w:p>
        </w:tc>
        <w:tc>
          <w:tcPr>
            <w:tcW w:w="1185" w:type="dxa"/>
          </w:tcPr>
          <w:p w14:paraId="5735194D" w14:textId="063B592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7.56</w:t>
            </w:r>
          </w:p>
        </w:tc>
        <w:tc>
          <w:tcPr>
            <w:tcW w:w="1111" w:type="dxa"/>
          </w:tcPr>
          <w:p w14:paraId="2B188DCB" w14:textId="2DD70FD2"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85.38</w:t>
            </w:r>
          </w:p>
        </w:tc>
        <w:tc>
          <w:tcPr>
            <w:tcW w:w="1247" w:type="dxa"/>
          </w:tcPr>
          <w:p w14:paraId="68047105" w14:textId="2E86B40C"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1.54</w:t>
            </w:r>
          </w:p>
        </w:tc>
        <w:tc>
          <w:tcPr>
            <w:tcW w:w="1134" w:type="dxa"/>
          </w:tcPr>
          <w:p w14:paraId="0D70C993" w14:textId="00B5F227"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5.34</w:t>
            </w:r>
          </w:p>
        </w:tc>
        <w:tc>
          <w:tcPr>
            <w:tcW w:w="1130" w:type="dxa"/>
          </w:tcPr>
          <w:p w14:paraId="3AF1D070" w14:textId="5F1761B6" w:rsidR="008163F3" w:rsidRPr="007F4EE7"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7F4EE7">
              <w:rPr>
                <w:rFonts w:cs="Open Sans"/>
                <w:szCs w:val="18"/>
              </w:rPr>
              <w:t>92.94</w:t>
            </w:r>
          </w:p>
        </w:tc>
      </w:tr>
    </w:tbl>
    <w:p w14:paraId="3025C3D7" w14:textId="77777777" w:rsidR="007F4EE7" w:rsidRPr="007F4EE7" w:rsidRDefault="007F4EE7" w:rsidP="00F1395C">
      <w:pPr>
        <w:pStyle w:val="datatablenote"/>
      </w:pPr>
      <w:r w:rsidRPr="007F4EE7">
        <w:rPr>
          <w:b/>
        </w:rPr>
        <w:t>Note:</w:t>
      </w:r>
      <w:r w:rsidRPr="007F4EE7">
        <w:t xml:space="preserve"> Numbers in bold reflect the significantly higher value in the comparison.</w:t>
      </w:r>
    </w:p>
    <w:p w14:paraId="33D6E13A" w14:textId="77777777" w:rsidR="007F4EE7" w:rsidRPr="007F4EE7" w:rsidRDefault="007F4EE7" w:rsidP="00F1395C">
      <w:pPr>
        <w:pStyle w:val="datatablenote"/>
      </w:pPr>
      <w:r w:rsidRPr="007F4EE7">
        <w:t>Percentages may not add to 100 as the “unanswered” category is not shown in the table.</w:t>
      </w:r>
    </w:p>
    <w:p w14:paraId="558B4AE8" w14:textId="77777777" w:rsidR="007F4EE7" w:rsidRPr="007F4EE7" w:rsidRDefault="007F4EE7" w:rsidP="00F1395C">
      <w:pPr>
        <w:pStyle w:val="datatablenote"/>
      </w:pPr>
      <w:r w:rsidRPr="007F4EE7">
        <w:rPr>
          <w:b/>
        </w:rPr>
        <w:t>a</w:t>
      </w:r>
      <w:r w:rsidRPr="007F4EE7">
        <w:t xml:space="preserve"> “Net agree” refers to answering “agree” either “strongly” or “somewhat”.</w:t>
      </w:r>
    </w:p>
    <w:p w14:paraId="5BC58224" w14:textId="77777777" w:rsidR="007F4EE7" w:rsidRPr="007F4EE7" w:rsidRDefault="007F4EE7" w:rsidP="00F1395C">
      <w:pPr>
        <w:pStyle w:val="datatablenote"/>
      </w:pPr>
      <w:r w:rsidRPr="007F4EE7">
        <w:rPr>
          <w:b/>
        </w:rPr>
        <w:t>b</w:t>
      </w:r>
      <w:r w:rsidRPr="007F4EE7">
        <w:t xml:space="preserve"> “Net disagree” refers to answering “disagree” either “strongly” or “somewhat”.</w:t>
      </w:r>
    </w:p>
    <w:p w14:paraId="431E9371" w14:textId="77777777" w:rsidR="007F4EE7" w:rsidRPr="007F4EE7" w:rsidRDefault="007F4EE7" w:rsidP="00F1395C">
      <w:pPr>
        <w:pStyle w:val="datatablenote"/>
      </w:pPr>
      <w:r w:rsidRPr="007F4EE7">
        <w:rPr>
          <w:b/>
        </w:rPr>
        <w:t>c</w:t>
      </w:r>
      <w:r w:rsidRPr="007F4EE7">
        <w:t xml:space="preserve"> This result should be interpreted with caution because it has a relative standard error &gt;25%.</w:t>
      </w:r>
    </w:p>
    <w:p w14:paraId="070B3344" w14:textId="77777777" w:rsidR="007F4EE7" w:rsidRPr="007F4EE7" w:rsidRDefault="007F4EE7" w:rsidP="00F1395C">
      <w:pPr>
        <w:pStyle w:val="datatablenote"/>
      </w:pPr>
      <w:r w:rsidRPr="007F4EE7">
        <w:t xml:space="preserve">* Statistically significant difference between 16- to 17-year-olds and 18- to 24-year-olds. </w:t>
      </w:r>
    </w:p>
    <w:p w14:paraId="53BA69AE" w14:textId="77777777" w:rsidR="007F4EE7" w:rsidRPr="007F4EE7" w:rsidRDefault="007F4EE7" w:rsidP="00F1395C">
      <w:pPr>
        <w:pStyle w:val="datatablenote"/>
      </w:pPr>
      <w:r w:rsidRPr="007F4EE7">
        <w:t>^ Asked of half the sample.</w:t>
      </w:r>
    </w:p>
    <w:p w14:paraId="317517F8" w14:textId="77777777" w:rsidR="007F4EE7" w:rsidRPr="007F4EE7" w:rsidRDefault="007F4EE7" w:rsidP="00F1395C">
      <w:pPr>
        <w:pStyle w:val="datatablenote"/>
      </w:pPr>
      <w:r w:rsidRPr="007F4EE7">
        <w:rPr>
          <w:rFonts w:ascii="Montserrat" w:hAnsi="Montserrat" w:cs="Montserrat"/>
        </w:rPr>
        <w:t>~</w:t>
      </w:r>
      <w:r w:rsidRPr="007F4EE7">
        <w:t xml:space="preserve"> Asked of one quarter of the sample.</w:t>
      </w:r>
    </w:p>
    <w:p w14:paraId="346B5583" w14:textId="6B15A299" w:rsidR="004A0C12" w:rsidRDefault="001D7A1E" w:rsidP="00F5214A">
      <w:pPr>
        <w:pStyle w:val="TableheadingTablesandfigures"/>
      </w:pPr>
      <w:bookmarkStart w:id="261" w:name="_Toc187402248"/>
      <w:r>
        <w:lastRenderedPageBreak/>
        <w:t xml:space="preserve">Table </w:t>
      </w:r>
      <w:r w:rsidR="004A7ED7">
        <w:fldChar w:fldCharType="begin"/>
      </w:r>
      <w:r w:rsidR="004A7ED7">
        <w:instrText xml:space="preserve"> STYLEREF 1 \s </w:instrText>
      </w:r>
      <w:r w:rsidR="004A7ED7">
        <w:fldChar w:fldCharType="separate"/>
      </w:r>
      <w:r w:rsidR="004A7ED7">
        <w:rPr>
          <w:noProof/>
        </w:rPr>
        <w:t>13</w:t>
      </w:r>
      <w:r w:rsidR="004A7ED7">
        <w:fldChar w:fldCharType="end"/>
      </w:r>
      <w:r w:rsidR="003B15D6">
        <w:t>-</w:t>
      </w:r>
      <w:r w:rsidR="004A7ED7">
        <w:fldChar w:fldCharType="begin"/>
      </w:r>
      <w:r w:rsidR="004A7ED7">
        <w:instrText xml:space="preserve"> SEQ Table \* ARABIC \s 1 </w:instrText>
      </w:r>
      <w:r w:rsidR="004A7ED7">
        <w:fldChar w:fldCharType="separate"/>
      </w:r>
      <w:r w:rsidR="004A7ED7">
        <w:rPr>
          <w:noProof/>
        </w:rPr>
        <w:t>7</w:t>
      </w:r>
      <w:r w:rsidR="004A7ED7">
        <w:fldChar w:fldCharType="end"/>
      </w:r>
      <w:r w:rsidR="004A0C12" w:rsidRPr="004A0C12">
        <w:t xml:space="preserve">: </w:t>
      </w:r>
      <w:r w:rsidR="007134A4">
        <w:tab/>
      </w:r>
      <w:r w:rsidR="004A0C12" w:rsidRPr="004A0C12">
        <w:t>Attitudes towards Violence against Women (AVAWS) items by age, youth groups, 2021</w:t>
      </w:r>
      <w:bookmarkEnd w:id="261"/>
    </w:p>
    <w:p w14:paraId="5047A63F" w14:textId="17103270" w:rsidR="008A2612" w:rsidRPr="008C29F3" w:rsidRDefault="008A2612" w:rsidP="006B3061">
      <w:pPr>
        <w:pStyle w:val="Tablesubheading0"/>
      </w:pPr>
      <w:r>
        <w:t xml:space="preserve">Subscale: </w:t>
      </w:r>
      <w:r w:rsidRPr="004A0C12">
        <w:t>Minimise Violence</w:t>
      </w:r>
    </w:p>
    <w:tbl>
      <w:tblPr>
        <w:tblStyle w:val="Table-SingleHeaderRow"/>
        <w:tblW w:w="14962" w:type="dxa"/>
        <w:tblLayout w:type="fixed"/>
        <w:tblLook w:val="00A0" w:firstRow="1" w:lastRow="0" w:firstColumn="1" w:lastColumn="0" w:noHBand="0" w:noVBand="0"/>
      </w:tblPr>
      <w:tblGrid>
        <w:gridCol w:w="737"/>
        <w:gridCol w:w="4819"/>
        <w:gridCol w:w="737"/>
        <w:gridCol w:w="646"/>
        <w:gridCol w:w="1129"/>
        <w:gridCol w:w="1201"/>
        <w:gridCol w:w="1185"/>
        <w:gridCol w:w="1111"/>
        <w:gridCol w:w="1205"/>
        <w:gridCol w:w="1048"/>
        <w:gridCol w:w="1144"/>
      </w:tblGrid>
      <w:tr w:rsidR="008A2612" w:rsidRPr="004A0C12" w14:paraId="0234A126" w14:textId="77777777" w:rsidTr="006B306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737" w:type="dxa"/>
          </w:tcPr>
          <w:p w14:paraId="198BD5A0" w14:textId="77777777" w:rsidR="008A2612" w:rsidRPr="006B3061" w:rsidRDefault="008A2612" w:rsidP="006B3061">
            <w:pPr>
              <w:pStyle w:val="Tablebody"/>
            </w:pPr>
            <w:r w:rsidRPr="006B3061">
              <w:t>Code</w:t>
            </w:r>
          </w:p>
        </w:tc>
        <w:tc>
          <w:tcPr>
            <w:tcW w:w="4819" w:type="dxa"/>
          </w:tcPr>
          <w:p w14:paraId="248F27DB" w14:textId="77777777"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Abbreviated item wording</w:t>
            </w:r>
          </w:p>
        </w:tc>
        <w:tc>
          <w:tcPr>
            <w:tcW w:w="737" w:type="dxa"/>
          </w:tcPr>
          <w:p w14:paraId="22F8B009" w14:textId="77777777"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Age</w:t>
            </w:r>
          </w:p>
        </w:tc>
        <w:tc>
          <w:tcPr>
            <w:tcW w:w="646" w:type="dxa"/>
          </w:tcPr>
          <w:p w14:paraId="39861AF1" w14:textId="396E4A60"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N</w:t>
            </w:r>
          </w:p>
        </w:tc>
        <w:tc>
          <w:tcPr>
            <w:tcW w:w="1129" w:type="dxa"/>
          </w:tcPr>
          <w:p w14:paraId="68C468F0" w14:textId="77777777"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Strongly agree</w:t>
            </w:r>
          </w:p>
        </w:tc>
        <w:tc>
          <w:tcPr>
            <w:tcW w:w="1201" w:type="dxa"/>
          </w:tcPr>
          <w:p w14:paraId="51FAB3C6" w14:textId="48631008"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Somewhat agree</w:t>
            </w:r>
          </w:p>
        </w:tc>
        <w:tc>
          <w:tcPr>
            <w:tcW w:w="1185" w:type="dxa"/>
          </w:tcPr>
          <w:p w14:paraId="19CFA50C" w14:textId="1B6AD1CF"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Somewhat disagree</w:t>
            </w:r>
          </w:p>
        </w:tc>
        <w:tc>
          <w:tcPr>
            <w:tcW w:w="1111" w:type="dxa"/>
          </w:tcPr>
          <w:p w14:paraId="4DFB8956" w14:textId="6BFFAFF0"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Strongly disagree</w:t>
            </w:r>
          </w:p>
        </w:tc>
        <w:tc>
          <w:tcPr>
            <w:tcW w:w="1205" w:type="dxa"/>
          </w:tcPr>
          <w:p w14:paraId="45D08920" w14:textId="4B0D7DCD"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Undecided</w:t>
            </w:r>
          </w:p>
        </w:tc>
        <w:tc>
          <w:tcPr>
            <w:tcW w:w="1048" w:type="dxa"/>
          </w:tcPr>
          <w:p w14:paraId="6C296524" w14:textId="77777777"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Net agreea</w:t>
            </w:r>
          </w:p>
        </w:tc>
        <w:tc>
          <w:tcPr>
            <w:tcW w:w="1144" w:type="dxa"/>
          </w:tcPr>
          <w:p w14:paraId="0B1A1217" w14:textId="77777777" w:rsidR="008A2612" w:rsidRPr="006B3061" w:rsidRDefault="008A2612" w:rsidP="006B3061">
            <w:pPr>
              <w:pStyle w:val="Tablebody"/>
              <w:cnfStyle w:val="100000000000" w:firstRow="1" w:lastRow="0" w:firstColumn="0" w:lastColumn="0" w:oddVBand="0" w:evenVBand="0" w:oddHBand="0" w:evenHBand="0" w:firstRowFirstColumn="0" w:firstRowLastColumn="0" w:lastRowFirstColumn="0" w:lastRowLastColumn="0"/>
            </w:pPr>
            <w:r w:rsidRPr="006B3061">
              <w:t>% Net disagreeb</w:t>
            </w:r>
          </w:p>
        </w:tc>
      </w:tr>
      <w:tr w:rsidR="003B7456" w:rsidRPr="004A0C12" w14:paraId="1BF56F5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204C98B" w14:textId="77777777" w:rsidR="003B7456" w:rsidRPr="006B3061" w:rsidRDefault="003B7456" w:rsidP="006B3061">
            <w:pPr>
              <w:pStyle w:val="Tablebody"/>
            </w:pPr>
            <w:r w:rsidRPr="006B3061">
              <w:t>D16</w:t>
            </w:r>
          </w:p>
        </w:tc>
        <w:tc>
          <w:tcPr>
            <w:tcW w:w="4819" w:type="dxa"/>
          </w:tcPr>
          <w:p w14:paraId="6CB4C205" w14:textId="40ACB5AE"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is a private matter that should be</w:t>
            </w:r>
            <w:r w:rsidR="00ED4588" w:rsidRPr="006B3061">
              <w:t> </w:t>
            </w:r>
            <w:r w:rsidRPr="006B3061">
              <w:t>handled in the family^</w:t>
            </w:r>
          </w:p>
        </w:tc>
        <w:tc>
          <w:tcPr>
            <w:tcW w:w="737" w:type="dxa"/>
          </w:tcPr>
          <w:p w14:paraId="6D842290" w14:textId="77777777"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12EEC1F" w14:textId="77777777"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2976E9E3" w14:textId="42C621D8"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3.67c</w:t>
            </w:r>
          </w:p>
        </w:tc>
        <w:tc>
          <w:tcPr>
            <w:tcW w:w="1201" w:type="dxa"/>
          </w:tcPr>
          <w:p w14:paraId="1D06B0E4" w14:textId="4277BE1B"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8.14c</w:t>
            </w:r>
          </w:p>
        </w:tc>
        <w:tc>
          <w:tcPr>
            <w:tcW w:w="1185" w:type="dxa"/>
          </w:tcPr>
          <w:p w14:paraId="7CFDD894" w14:textId="2A435760"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30.47</w:t>
            </w:r>
          </w:p>
        </w:tc>
        <w:tc>
          <w:tcPr>
            <w:tcW w:w="1111" w:type="dxa"/>
          </w:tcPr>
          <w:p w14:paraId="62C45465" w14:textId="747BBEE9"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53.97</w:t>
            </w:r>
          </w:p>
        </w:tc>
        <w:tc>
          <w:tcPr>
            <w:tcW w:w="1205" w:type="dxa"/>
          </w:tcPr>
          <w:p w14:paraId="47BDBD7B" w14:textId="1DF5B806"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3.75c</w:t>
            </w:r>
          </w:p>
        </w:tc>
        <w:tc>
          <w:tcPr>
            <w:tcW w:w="1048" w:type="dxa"/>
          </w:tcPr>
          <w:p w14:paraId="05F8501F" w14:textId="2B98DAD9"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11.82c</w:t>
            </w:r>
          </w:p>
        </w:tc>
        <w:tc>
          <w:tcPr>
            <w:tcW w:w="1144" w:type="dxa"/>
          </w:tcPr>
          <w:p w14:paraId="384A784A" w14:textId="4A57E3F5" w:rsidR="003B7456" w:rsidRPr="006B3061" w:rsidRDefault="003B7456" w:rsidP="006B3061">
            <w:pPr>
              <w:pStyle w:val="Tablebody"/>
              <w:cnfStyle w:val="000000000000" w:firstRow="0" w:lastRow="0" w:firstColumn="0" w:lastColumn="0" w:oddVBand="0" w:evenVBand="0" w:oddHBand="0" w:evenHBand="0" w:firstRowFirstColumn="0" w:firstRowLastColumn="0" w:lastRowFirstColumn="0" w:lastRowLastColumn="0"/>
            </w:pPr>
            <w:r w:rsidRPr="006B3061">
              <w:t>84.44</w:t>
            </w:r>
          </w:p>
        </w:tc>
      </w:tr>
      <w:tr w:rsidR="008163F3" w:rsidRPr="004A0C12" w14:paraId="32EFC4F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9785C1A" w14:textId="33621013" w:rsidR="008163F3" w:rsidRPr="006B3061" w:rsidRDefault="008163F3" w:rsidP="006B3061">
            <w:pPr>
              <w:pStyle w:val="Tablebody"/>
            </w:pPr>
            <w:r w:rsidRPr="006B3061">
              <w:t>D16</w:t>
            </w:r>
          </w:p>
        </w:tc>
        <w:tc>
          <w:tcPr>
            <w:tcW w:w="4819" w:type="dxa"/>
          </w:tcPr>
          <w:p w14:paraId="79722570" w14:textId="5F6C40B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is a private matter that should be handled in the family^</w:t>
            </w:r>
          </w:p>
        </w:tc>
        <w:tc>
          <w:tcPr>
            <w:tcW w:w="737" w:type="dxa"/>
          </w:tcPr>
          <w:p w14:paraId="2B132B48" w14:textId="56FB414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19702AB9" w14:textId="0005609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7F23AC35" w14:textId="695697F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3.37</w:t>
            </w:r>
          </w:p>
        </w:tc>
        <w:tc>
          <w:tcPr>
            <w:tcW w:w="1201" w:type="dxa"/>
          </w:tcPr>
          <w:p w14:paraId="16926584" w14:textId="3A10607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12.88</w:t>
            </w:r>
          </w:p>
        </w:tc>
        <w:tc>
          <w:tcPr>
            <w:tcW w:w="1185" w:type="dxa"/>
          </w:tcPr>
          <w:p w14:paraId="094D40F6" w14:textId="215130A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26.47</w:t>
            </w:r>
          </w:p>
        </w:tc>
        <w:tc>
          <w:tcPr>
            <w:tcW w:w="1111" w:type="dxa"/>
          </w:tcPr>
          <w:p w14:paraId="73C1E632" w14:textId="42C49A2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55.22</w:t>
            </w:r>
          </w:p>
        </w:tc>
        <w:tc>
          <w:tcPr>
            <w:tcW w:w="1205" w:type="dxa"/>
          </w:tcPr>
          <w:p w14:paraId="70A8FB48" w14:textId="0B5AFDC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2.06c</w:t>
            </w:r>
          </w:p>
        </w:tc>
        <w:tc>
          <w:tcPr>
            <w:tcW w:w="1048" w:type="dxa"/>
          </w:tcPr>
          <w:p w14:paraId="1DBCE162" w14:textId="3CC65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16.25</w:t>
            </w:r>
          </w:p>
        </w:tc>
        <w:tc>
          <w:tcPr>
            <w:tcW w:w="1144" w:type="dxa"/>
          </w:tcPr>
          <w:p w14:paraId="721F398D" w14:textId="2016557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81.69</w:t>
            </w:r>
          </w:p>
        </w:tc>
      </w:tr>
      <w:tr w:rsidR="008163F3" w:rsidRPr="004A0C12" w14:paraId="6A9825F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360BFA4" w14:textId="77777777" w:rsidR="008163F3" w:rsidRPr="006B3061" w:rsidRDefault="008163F3" w:rsidP="006B3061">
            <w:pPr>
              <w:pStyle w:val="Tablebody"/>
            </w:pPr>
            <w:r w:rsidRPr="006B3061">
              <w:t>D17</w:t>
            </w:r>
          </w:p>
        </w:tc>
        <w:tc>
          <w:tcPr>
            <w:tcW w:w="4819" w:type="dxa"/>
          </w:tcPr>
          <w:p w14:paraId="21A4C1BC" w14:textId="593AA68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A lot of what is called domestic violence is really just a normal reaction to day-to-day stress and frustration</w:t>
            </w:r>
          </w:p>
        </w:tc>
        <w:tc>
          <w:tcPr>
            <w:tcW w:w="737" w:type="dxa"/>
          </w:tcPr>
          <w:p w14:paraId="48A903E4"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17071D52"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1F789EBC" w14:textId="0501FB0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3.95c</w:t>
            </w:r>
          </w:p>
        </w:tc>
        <w:tc>
          <w:tcPr>
            <w:tcW w:w="1201" w:type="dxa"/>
          </w:tcPr>
          <w:p w14:paraId="2DF6346C" w14:textId="53D2C7D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15.97</w:t>
            </w:r>
          </w:p>
        </w:tc>
        <w:tc>
          <w:tcPr>
            <w:tcW w:w="1185" w:type="dxa"/>
          </w:tcPr>
          <w:p w14:paraId="69A20F36" w14:textId="584A53E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23.88</w:t>
            </w:r>
          </w:p>
        </w:tc>
        <w:tc>
          <w:tcPr>
            <w:tcW w:w="1111" w:type="dxa"/>
          </w:tcPr>
          <w:p w14:paraId="579682B9" w14:textId="3681D75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52.39</w:t>
            </w:r>
          </w:p>
        </w:tc>
        <w:tc>
          <w:tcPr>
            <w:tcW w:w="1205" w:type="dxa"/>
          </w:tcPr>
          <w:p w14:paraId="5F28DE03" w14:textId="2D078F6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3.82c</w:t>
            </w:r>
          </w:p>
        </w:tc>
        <w:tc>
          <w:tcPr>
            <w:tcW w:w="1048" w:type="dxa"/>
          </w:tcPr>
          <w:p w14:paraId="71D2B1E2" w14:textId="2E2E888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19.92</w:t>
            </w:r>
          </w:p>
        </w:tc>
        <w:tc>
          <w:tcPr>
            <w:tcW w:w="1144" w:type="dxa"/>
          </w:tcPr>
          <w:p w14:paraId="67D17C3D" w14:textId="4A37B8A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76.27</w:t>
            </w:r>
          </w:p>
        </w:tc>
      </w:tr>
      <w:tr w:rsidR="008163F3" w:rsidRPr="004A0C12" w14:paraId="06A36F6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A9378D5" w14:textId="4D1BE651" w:rsidR="008163F3" w:rsidRPr="006B3061" w:rsidRDefault="008163F3" w:rsidP="006B3061">
            <w:pPr>
              <w:pStyle w:val="Tablebody"/>
            </w:pPr>
            <w:r w:rsidRPr="006B3061">
              <w:t>D17</w:t>
            </w:r>
          </w:p>
        </w:tc>
        <w:tc>
          <w:tcPr>
            <w:tcW w:w="4819" w:type="dxa"/>
          </w:tcPr>
          <w:p w14:paraId="268F47DE" w14:textId="771D378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A lot of what is called domestic violence is really just a normal reaction to day-to-day stress and frustration</w:t>
            </w:r>
          </w:p>
        </w:tc>
        <w:tc>
          <w:tcPr>
            <w:tcW w:w="737" w:type="dxa"/>
          </w:tcPr>
          <w:p w14:paraId="61C4C3DF" w14:textId="36E9097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549B3301" w14:textId="251D142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610083E7" w14:textId="679A70D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3.79</w:t>
            </w:r>
          </w:p>
        </w:tc>
        <w:tc>
          <w:tcPr>
            <w:tcW w:w="1201" w:type="dxa"/>
          </w:tcPr>
          <w:p w14:paraId="6BD12D40" w14:textId="2AE8823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14.30</w:t>
            </w:r>
          </w:p>
        </w:tc>
        <w:tc>
          <w:tcPr>
            <w:tcW w:w="1185" w:type="dxa"/>
          </w:tcPr>
          <w:p w14:paraId="52C1E583" w14:textId="34D826B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22.45</w:t>
            </w:r>
          </w:p>
        </w:tc>
        <w:tc>
          <w:tcPr>
            <w:tcW w:w="1111" w:type="dxa"/>
          </w:tcPr>
          <w:p w14:paraId="738EB6C4" w14:textId="6352E15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57.38</w:t>
            </w:r>
          </w:p>
        </w:tc>
        <w:tc>
          <w:tcPr>
            <w:tcW w:w="1205" w:type="dxa"/>
          </w:tcPr>
          <w:p w14:paraId="450677C9" w14:textId="7D9AFD9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2.03</w:t>
            </w:r>
          </w:p>
        </w:tc>
        <w:tc>
          <w:tcPr>
            <w:tcW w:w="1048" w:type="dxa"/>
          </w:tcPr>
          <w:p w14:paraId="242E3A28" w14:textId="3E00C01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18.09</w:t>
            </w:r>
          </w:p>
        </w:tc>
        <w:tc>
          <w:tcPr>
            <w:tcW w:w="1144" w:type="dxa"/>
          </w:tcPr>
          <w:p w14:paraId="1C79C5BC" w14:textId="3DD6DC0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79.84</w:t>
            </w:r>
          </w:p>
        </w:tc>
      </w:tr>
      <w:tr w:rsidR="008163F3" w:rsidRPr="004A0C12" w14:paraId="2E0BBF8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19C169F" w14:textId="77777777" w:rsidR="008163F3" w:rsidRPr="006B3061" w:rsidRDefault="008163F3" w:rsidP="006B3061">
            <w:pPr>
              <w:pStyle w:val="Tablebody"/>
            </w:pPr>
            <w:r w:rsidRPr="006B3061">
              <w:t>D18</w:t>
            </w:r>
          </w:p>
        </w:tc>
        <w:tc>
          <w:tcPr>
            <w:tcW w:w="4819" w:type="dxa"/>
          </w:tcPr>
          <w:p w14:paraId="3C1CB5CB" w14:textId="438A88F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it results from people getting so angry that they temporarily lose control</w:t>
            </w:r>
          </w:p>
        </w:tc>
        <w:tc>
          <w:tcPr>
            <w:tcW w:w="737" w:type="dxa"/>
          </w:tcPr>
          <w:p w14:paraId="3476F30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52563BEB"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7279C79B" w14:textId="1848C4A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5.34c</w:t>
            </w:r>
          </w:p>
        </w:tc>
        <w:tc>
          <w:tcPr>
            <w:tcW w:w="1201" w:type="dxa"/>
          </w:tcPr>
          <w:p w14:paraId="1814FF72" w14:textId="4F1F0E0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13.01</w:t>
            </w:r>
          </w:p>
        </w:tc>
        <w:tc>
          <w:tcPr>
            <w:tcW w:w="1185" w:type="dxa"/>
          </w:tcPr>
          <w:p w14:paraId="094D8891" w14:textId="756A9DE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16.90</w:t>
            </w:r>
          </w:p>
        </w:tc>
        <w:tc>
          <w:tcPr>
            <w:tcW w:w="1111" w:type="dxa"/>
          </w:tcPr>
          <w:p w14:paraId="1544B273" w14:textId="1639767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64.39</w:t>
            </w:r>
          </w:p>
        </w:tc>
        <w:tc>
          <w:tcPr>
            <w:tcW w:w="1205" w:type="dxa"/>
          </w:tcPr>
          <w:p w14:paraId="1D9F31BD" w14:textId="27E3302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0.36c</w:t>
            </w:r>
          </w:p>
        </w:tc>
        <w:tc>
          <w:tcPr>
            <w:tcW w:w="1048" w:type="dxa"/>
          </w:tcPr>
          <w:p w14:paraId="68F36CC8" w14:textId="3581DC3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18.35</w:t>
            </w:r>
          </w:p>
        </w:tc>
        <w:tc>
          <w:tcPr>
            <w:tcW w:w="1144" w:type="dxa"/>
          </w:tcPr>
          <w:p w14:paraId="07BE63EA" w14:textId="51EAEE6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81.29</w:t>
            </w:r>
          </w:p>
        </w:tc>
      </w:tr>
      <w:tr w:rsidR="008163F3" w:rsidRPr="004A0C12" w14:paraId="2524D22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B87A804" w14:textId="6B217DD3" w:rsidR="008163F3" w:rsidRPr="006B3061" w:rsidRDefault="008163F3" w:rsidP="006B3061">
            <w:pPr>
              <w:pStyle w:val="Tablebody"/>
            </w:pPr>
            <w:r w:rsidRPr="006B3061">
              <w:t>D18</w:t>
            </w:r>
          </w:p>
        </w:tc>
        <w:tc>
          <w:tcPr>
            <w:tcW w:w="4819" w:type="dxa"/>
          </w:tcPr>
          <w:p w14:paraId="1E4592F9" w14:textId="6016CA0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it results from people getting so angry that they temporarily lose control</w:t>
            </w:r>
          </w:p>
        </w:tc>
        <w:tc>
          <w:tcPr>
            <w:tcW w:w="737" w:type="dxa"/>
          </w:tcPr>
          <w:p w14:paraId="6E241520" w14:textId="6551B51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794B4F14" w14:textId="0A9D8DA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5925A62E" w14:textId="594EEB2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4.47</w:t>
            </w:r>
          </w:p>
        </w:tc>
        <w:tc>
          <w:tcPr>
            <w:tcW w:w="1201" w:type="dxa"/>
          </w:tcPr>
          <w:p w14:paraId="14650C8E" w14:textId="43A0CBB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7.81</w:t>
            </w:r>
          </w:p>
        </w:tc>
        <w:tc>
          <w:tcPr>
            <w:tcW w:w="1185" w:type="dxa"/>
          </w:tcPr>
          <w:p w14:paraId="039F4EE6" w14:textId="0AB4891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12.54</w:t>
            </w:r>
          </w:p>
        </w:tc>
        <w:tc>
          <w:tcPr>
            <w:tcW w:w="1111" w:type="dxa"/>
          </w:tcPr>
          <w:p w14:paraId="11A28096" w14:textId="4AFD28F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73.91</w:t>
            </w:r>
          </w:p>
        </w:tc>
        <w:tc>
          <w:tcPr>
            <w:tcW w:w="1205" w:type="dxa"/>
          </w:tcPr>
          <w:p w14:paraId="222BA25B" w14:textId="6D19D9E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1.20</w:t>
            </w:r>
          </w:p>
        </w:tc>
        <w:tc>
          <w:tcPr>
            <w:tcW w:w="1048" w:type="dxa"/>
          </w:tcPr>
          <w:p w14:paraId="7F0048CF" w14:textId="13CA7AD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12.28</w:t>
            </w:r>
          </w:p>
        </w:tc>
        <w:tc>
          <w:tcPr>
            <w:tcW w:w="1144" w:type="dxa"/>
          </w:tcPr>
          <w:p w14:paraId="48F61F8A" w14:textId="59D876C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86.45</w:t>
            </w:r>
          </w:p>
        </w:tc>
      </w:tr>
      <w:tr w:rsidR="008163F3" w:rsidRPr="004A0C12" w14:paraId="2CD0A380"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67C835E" w14:textId="77777777" w:rsidR="008163F3" w:rsidRPr="006B3061" w:rsidRDefault="008163F3" w:rsidP="006B3061">
            <w:pPr>
              <w:pStyle w:val="Tablebody"/>
            </w:pPr>
            <w:r w:rsidRPr="006B3061">
              <w:t>D19</w:t>
            </w:r>
          </w:p>
        </w:tc>
        <w:tc>
          <w:tcPr>
            <w:tcW w:w="4819" w:type="dxa"/>
          </w:tcPr>
          <w:p w14:paraId="11C88185"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afterwards, the violent person genuinely regrets what they have done</w:t>
            </w:r>
          </w:p>
        </w:tc>
        <w:tc>
          <w:tcPr>
            <w:tcW w:w="737" w:type="dxa"/>
          </w:tcPr>
          <w:p w14:paraId="541D9306"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D9E2081"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059CE451" w14:textId="19C555C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3.37c</w:t>
            </w:r>
          </w:p>
        </w:tc>
        <w:tc>
          <w:tcPr>
            <w:tcW w:w="1201" w:type="dxa"/>
          </w:tcPr>
          <w:p w14:paraId="7A9BFBAD" w14:textId="1FA0E49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16.89</w:t>
            </w:r>
          </w:p>
        </w:tc>
        <w:tc>
          <w:tcPr>
            <w:tcW w:w="1185" w:type="dxa"/>
          </w:tcPr>
          <w:p w14:paraId="6D849A5E" w14:textId="7A6D969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32.58</w:t>
            </w:r>
          </w:p>
        </w:tc>
        <w:tc>
          <w:tcPr>
            <w:tcW w:w="1111" w:type="dxa"/>
          </w:tcPr>
          <w:p w14:paraId="41DED833" w14:textId="0ED50A3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44.25*</w:t>
            </w:r>
          </w:p>
        </w:tc>
        <w:tc>
          <w:tcPr>
            <w:tcW w:w="1205" w:type="dxa"/>
          </w:tcPr>
          <w:p w14:paraId="603D7680" w14:textId="1B411A4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2.90c</w:t>
            </w:r>
          </w:p>
        </w:tc>
        <w:tc>
          <w:tcPr>
            <w:tcW w:w="1048" w:type="dxa"/>
          </w:tcPr>
          <w:p w14:paraId="36291148" w14:textId="5937321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20.27</w:t>
            </w:r>
          </w:p>
        </w:tc>
        <w:tc>
          <w:tcPr>
            <w:tcW w:w="1144" w:type="dxa"/>
          </w:tcPr>
          <w:p w14:paraId="78C15B18" w14:textId="3589735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76.84</w:t>
            </w:r>
          </w:p>
        </w:tc>
      </w:tr>
      <w:tr w:rsidR="008163F3" w:rsidRPr="004A0C12" w14:paraId="0C9723D1"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7BCA62C" w14:textId="4384CEDE" w:rsidR="008163F3" w:rsidRPr="006B3061" w:rsidRDefault="008163F3" w:rsidP="006B3061">
            <w:pPr>
              <w:pStyle w:val="Tablebody"/>
            </w:pPr>
            <w:r w:rsidRPr="006B3061">
              <w:t>D19</w:t>
            </w:r>
          </w:p>
        </w:tc>
        <w:tc>
          <w:tcPr>
            <w:tcW w:w="4819" w:type="dxa"/>
          </w:tcPr>
          <w:p w14:paraId="1B3FE1FE" w14:textId="0852AF8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afterwards, the violent person genuinely regrets what they have done</w:t>
            </w:r>
          </w:p>
        </w:tc>
        <w:tc>
          <w:tcPr>
            <w:tcW w:w="737" w:type="dxa"/>
          </w:tcPr>
          <w:p w14:paraId="7CCD986C" w14:textId="6724E8F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765D6E8D" w14:textId="0E0B4A6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79671938" w14:textId="6231AA4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3.48</w:t>
            </w:r>
          </w:p>
        </w:tc>
        <w:tc>
          <w:tcPr>
            <w:tcW w:w="1201" w:type="dxa"/>
          </w:tcPr>
          <w:p w14:paraId="033F7F3F" w14:textId="265F533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11.51</w:t>
            </w:r>
          </w:p>
        </w:tc>
        <w:tc>
          <w:tcPr>
            <w:tcW w:w="1185" w:type="dxa"/>
          </w:tcPr>
          <w:p w14:paraId="360137C7" w14:textId="32085FD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26.30</w:t>
            </w:r>
          </w:p>
        </w:tc>
        <w:tc>
          <w:tcPr>
            <w:tcW w:w="1111" w:type="dxa"/>
          </w:tcPr>
          <w:p w14:paraId="67C5A75B" w14:textId="065276E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56.64*</w:t>
            </w:r>
          </w:p>
        </w:tc>
        <w:tc>
          <w:tcPr>
            <w:tcW w:w="1205" w:type="dxa"/>
          </w:tcPr>
          <w:p w14:paraId="24B24BA4" w14:textId="24A9538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2.06</w:t>
            </w:r>
          </w:p>
        </w:tc>
        <w:tc>
          <w:tcPr>
            <w:tcW w:w="1048" w:type="dxa"/>
          </w:tcPr>
          <w:p w14:paraId="670C9689" w14:textId="0EF6AF2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14.99</w:t>
            </w:r>
          </w:p>
        </w:tc>
        <w:tc>
          <w:tcPr>
            <w:tcW w:w="1144" w:type="dxa"/>
          </w:tcPr>
          <w:p w14:paraId="68F7FC4E" w14:textId="28A917D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82.95</w:t>
            </w:r>
          </w:p>
        </w:tc>
      </w:tr>
      <w:tr w:rsidR="008163F3" w:rsidRPr="004A0C12" w14:paraId="333412A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A904993" w14:textId="77777777" w:rsidR="008163F3" w:rsidRPr="006B3061" w:rsidRDefault="008163F3" w:rsidP="006B3061">
            <w:pPr>
              <w:pStyle w:val="Tablebody"/>
            </w:pPr>
            <w:r w:rsidRPr="006B3061">
              <w:t>D20</w:t>
            </w:r>
          </w:p>
        </w:tc>
        <w:tc>
          <w:tcPr>
            <w:tcW w:w="4819" w:type="dxa"/>
          </w:tcPr>
          <w:p w14:paraId="1C63718F"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offender is heavily affected by alcohol</w:t>
            </w:r>
          </w:p>
        </w:tc>
        <w:tc>
          <w:tcPr>
            <w:tcW w:w="737" w:type="dxa"/>
          </w:tcPr>
          <w:p w14:paraId="2E0836AB"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C260F0C"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6B3CC208" w14:textId="324383E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4.16c</w:t>
            </w:r>
          </w:p>
        </w:tc>
        <w:tc>
          <w:tcPr>
            <w:tcW w:w="1201" w:type="dxa"/>
          </w:tcPr>
          <w:p w14:paraId="540DBBB3" w14:textId="727B2A8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4.41c</w:t>
            </w:r>
          </w:p>
        </w:tc>
        <w:tc>
          <w:tcPr>
            <w:tcW w:w="1185" w:type="dxa"/>
          </w:tcPr>
          <w:p w14:paraId="017256C9" w14:textId="7A1CA0B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16.28*</w:t>
            </w:r>
          </w:p>
        </w:tc>
        <w:tc>
          <w:tcPr>
            <w:tcW w:w="1111" w:type="dxa"/>
          </w:tcPr>
          <w:p w14:paraId="082F6B91" w14:textId="72B214A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74.02*</w:t>
            </w:r>
          </w:p>
        </w:tc>
        <w:tc>
          <w:tcPr>
            <w:tcW w:w="1205" w:type="dxa"/>
          </w:tcPr>
          <w:p w14:paraId="59013D4E" w14:textId="34CE433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1.13c</w:t>
            </w:r>
          </w:p>
        </w:tc>
        <w:tc>
          <w:tcPr>
            <w:tcW w:w="1048" w:type="dxa"/>
          </w:tcPr>
          <w:p w14:paraId="69F25F15" w14:textId="043F86C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8.57c</w:t>
            </w:r>
          </w:p>
        </w:tc>
        <w:tc>
          <w:tcPr>
            <w:tcW w:w="1144" w:type="dxa"/>
          </w:tcPr>
          <w:p w14:paraId="54935516" w14:textId="68C3EE5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90.30</w:t>
            </w:r>
          </w:p>
        </w:tc>
      </w:tr>
      <w:tr w:rsidR="008163F3" w:rsidRPr="004A0C12" w14:paraId="3DF0599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E1F2342" w14:textId="4EE54AB0" w:rsidR="008163F3" w:rsidRPr="006B3061" w:rsidRDefault="008163F3" w:rsidP="006B3061">
            <w:pPr>
              <w:pStyle w:val="Tablebody"/>
            </w:pPr>
            <w:r w:rsidRPr="006B3061">
              <w:t>D20</w:t>
            </w:r>
          </w:p>
        </w:tc>
        <w:tc>
          <w:tcPr>
            <w:tcW w:w="4819" w:type="dxa"/>
          </w:tcPr>
          <w:p w14:paraId="0B98A021" w14:textId="2B4D317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offender is heavily affected by alcohol</w:t>
            </w:r>
          </w:p>
        </w:tc>
        <w:tc>
          <w:tcPr>
            <w:tcW w:w="737" w:type="dxa"/>
          </w:tcPr>
          <w:p w14:paraId="7943BCEB" w14:textId="4B7031E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36B386A5" w14:textId="2A37F65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20414AC6" w14:textId="3FF225A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2.35</w:t>
            </w:r>
          </w:p>
        </w:tc>
        <w:tc>
          <w:tcPr>
            <w:tcW w:w="1201" w:type="dxa"/>
          </w:tcPr>
          <w:p w14:paraId="03DE57D0" w14:textId="479B141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3.03</w:t>
            </w:r>
          </w:p>
        </w:tc>
        <w:tc>
          <w:tcPr>
            <w:tcW w:w="1185" w:type="dxa"/>
          </w:tcPr>
          <w:p w14:paraId="03DB7DCA" w14:textId="235DA3F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8.48*</w:t>
            </w:r>
          </w:p>
        </w:tc>
        <w:tc>
          <w:tcPr>
            <w:tcW w:w="1111" w:type="dxa"/>
          </w:tcPr>
          <w:p w14:paraId="16755CD7" w14:textId="5A67579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86.01*</w:t>
            </w:r>
          </w:p>
        </w:tc>
        <w:tc>
          <w:tcPr>
            <w:tcW w:w="1205" w:type="dxa"/>
          </w:tcPr>
          <w:p w14:paraId="2F776F43" w14:textId="49987CD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0.13c</w:t>
            </w:r>
          </w:p>
        </w:tc>
        <w:tc>
          <w:tcPr>
            <w:tcW w:w="1048" w:type="dxa"/>
          </w:tcPr>
          <w:p w14:paraId="13F417F0" w14:textId="79FB4D4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5.38</w:t>
            </w:r>
          </w:p>
        </w:tc>
        <w:tc>
          <w:tcPr>
            <w:tcW w:w="1144" w:type="dxa"/>
          </w:tcPr>
          <w:p w14:paraId="16470751" w14:textId="38CF931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94.49</w:t>
            </w:r>
          </w:p>
        </w:tc>
      </w:tr>
      <w:tr w:rsidR="008163F3" w:rsidRPr="004A0C12" w14:paraId="5E502005"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372A0F3" w14:textId="77777777" w:rsidR="008163F3" w:rsidRPr="006B3061" w:rsidRDefault="008163F3" w:rsidP="006B3061">
            <w:pPr>
              <w:pStyle w:val="Tablebody"/>
            </w:pPr>
            <w:r w:rsidRPr="006B3061">
              <w:t>D21</w:t>
            </w:r>
          </w:p>
        </w:tc>
        <w:tc>
          <w:tcPr>
            <w:tcW w:w="4819" w:type="dxa"/>
          </w:tcPr>
          <w:p w14:paraId="6F956DDB"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victim is heavily affected by alcohol</w:t>
            </w:r>
          </w:p>
        </w:tc>
        <w:tc>
          <w:tcPr>
            <w:tcW w:w="737" w:type="dxa"/>
          </w:tcPr>
          <w:p w14:paraId="52A453C2"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52E143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15007B2A" w14:textId="3B4867C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1.71c</w:t>
            </w:r>
          </w:p>
        </w:tc>
        <w:tc>
          <w:tcPr>
            <w:tcW w:w="1201" w:type="dxa"/>
          </w:tcPr>
          <w:p w14:paraId="5EE1C341" w14:textId="1C2999A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5.44c</w:t>
            </w:r>
          </w:p>
        </w:tc>
        <w:tc>
          <w:tcPr>
            <w:tcW w:w="1185" w:type="dxa"/>
          </w:tcPr>
          <w:p w14:paraId="7712BD02" w14:textId="5B49E96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20.38*</w:t>
            </w:r>
          </w:p>
        </w:tc>
        <w:tc>
          <w:tcPr>
            <w:tcW w:w="1111" w:type="dxa"/>
          </w:tcPr>
          <w:p w14:paraId="3AD507F1" w14:textId="2402A7D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70.53*</w:t>
            </w:r>
          </w:p>
        </w:tc>
        <w:tc>
          <w:tcPr>
            <w:tcW w:w="1205" w:type="dxa"/>
          </w:tcPr>
          <w:p w14:paraId="6E5F4621" w14:textId="345463B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1.95c</w:t>
            </w:r>
          </w:p>
        </w:tc>
        <w:tc>
          <w:tcPr>
            <w:tcW w:w="1048" w:type="dxa"/>
          </w:tcPr>
          <w:p w14:paraId="541AE84F" w14:textId="1083136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7.14c</w:t>
            </w:r>
          </w:p>
        </w:tc>
        <w:tc>
          <w:tcPr>
            <w:tcW w:w="1144" w:type="dxa"/>
          </w:tcPr>
          <w:p w14:paraId="1BC13662" w14:textId="3F3F7F0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90.91</w:t>
            </w:r>
          </w:p>
        </w:tc>
      </w:tr>
      <w:tr w:rsidR="008163F3" w:rsidRPr="004A0C12" w14:paraId="55A3843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84A1EB6" w14:textId="150ED6DC" w:rsidR="008163F3" w:rsidRPr="006B3061" w:rsidRDefault="008163F3" w:rsidP="006B3061">
            <w:pPr>
              <w:pStyle w:val="Tablebody"/>
            </w:pPr>
            <w:r w:rsidRPr="006B3061">
              <w:t>D21</w:t>
            </w:r>
          </w:p>
        </w:tc>
        <w:tc>
          <w:tcPr>
            <w:tcW w:w="4819" w:type="dxa"/>
          </w:tcPr>
          <w:p w14:paraId="4E892247" w14:textId="38FB38D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victim is heavily affected by alcohol</w:t>
            </w:r>
          </w:p>
        </w:tc>
        <w:tc>
          <w:tcPr>
            <w:tcW w:w="737" w:type="dxa"/>
          </w:tcPr>
          <w:p w14:paraId="7DF4E8DD" w14:textId="18C034C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379655C7" w14:textId="20B4566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1D6597ED" w14:textId="4163B78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2.03</w:t>
            </w:r>
          </w:p>
        </w:tc>
        <w:tc>
          <w:tcPr>
            <w:tcW w:w="1201" w:type="dxa"/>
          </w:tcPr>
          <w:p w14:paraId="5D821066" w14:textId="2983ED5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4.65</w:t>
            </w:r>
          </w:p>
        </w:tc>
        <w:tc>
          <w:tcPr>
            <w:tcW w:w="1185" w:type="dxa"/>
          </w:tcPr>
          <w:p w14:paraId="61BC06D3" w14:textId="4535DB4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10.59*</w:t>
            </w:r>
          </w:p>
        </w:tc>
        <w:tc>
          <w:tcPr>
            <w:tcW w:w="1111" w:type="dxa"/>
          </w:tcPr>
          <w:p w14:paraId="055EAA77" w14:textId="3E2A327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81.78*</w:t>
            </w:r>
          </w:p>
        </w:tc>
        <w:tc>
          <w:tcPr>
            <w:tcW w:w="1205" w:type="dxa"/>
          </w:tcPr>
          <w:p w14:paraId="1BBE5A98" w14:textId="73DF133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0.95c</w:t>
            </w:r>
          </w:p>
        </w:tc>
        <w:tc>
          <w:tcPr>
            <w:tcW w:w="1048" w:type="dxa"/>
          </w:tcPr>
          <w:p w14:paraId="70A63802" w14:textId="4FF0F4D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6.68</w:t>
            </w:r>
          </w:p>
        </w:tc>
        <w:tc>
          <w:tcPr>
            <w:tcW w:w="1144" w:type="dxa"/>
          </w:tcPr>
          <w:p w14:paraId="33BF86CF" w14:textId="69EE414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92.37</w:t>
            </w:r>
          </w:p>
        </w:tc>
      </w:tr>
      <w:tr w:rsidR="008163F3" w:rsidRPr="004A0C12" w14:paraId="702FE11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73FBC95" w14:textId="77777777" w:rsidR="008163F3" w:rsidRPr="006B3061" w:rsidRDefault="008163F3" w:rsidP="006B3061">
            <w:pPr>
              <w:pStyle w:val="Tablebody"/>
            </w:pPr>
            <w:r w:rsidRPr="006B3061">
              <w:t>D22</w:t>
            </w:r>
          </w:p>
        </w:tc>
        <w:tc>
          <w:tcPr>
            <w:tcW w:w="4819" w:type="dxa"/>
          </w:tcPr>
          <w:p w14:paraId="033270AE"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violent person was themselves abused as a child</w:t>
            </w:r>
          </w:p>
        </w:tc>
        <w:tc>
          <w:tcPr>
            <w:tcW w:w="737" w:type="dxa"/>
          </w:tcPr>
          <w:p w14:paraId="411980CD"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A6F1E2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5426D0B5" w14:textId="4854D09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4.20c</w:t>
            </w:r>
          </w:p>
        </w:tc>
        <w:tc>
          <w:tcPr>
            <w:tcW w:w="1201" w:type="dxa"/>
          </w:tcPr>
          <w:p w14:paraId="53298C8F" w14:textId="0F0D5F7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4.52c</w:t>
            </w:r>
          </w:p>
        </w:tc>
        <w:tc>
          <w:tcPr>
            <w:tcW w:w="1185" w:type="dxa"/>
          </w:tcPr>
          <w:p w14:paraId="7C8DA6BC" w14:textId="2A5D19A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28.64*</w:t>
            </w:r>
          </w:p>
        </w:tc>
        <w:tc>
          <w:tcPr>
            <w:tcW w:w="1111" w:type="dxa"/>
          </w:tcPr>
          <w:p w14:paraId="5050BC01" w14:textId="24DBCF3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59.34*</w:t>
            </w:r>
          </w:p>
        </w:tc>
        <w:tc>
          <w:tcPr>
            <w:tcW w:w="1205" w:type="dxa"/>
          </w:tcPr>
          <w:p w14:paraId="4939ECDE" w14:textId="3B1FAC4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3.31c</w:t>
            </w:r>
          </w:p>
        </w:tc>
        <w:tc>
          <w:tcPr>
            <w:tcW w:w="1048" w:type="dxa"/>
          </w:tcPr>
          <w:p w14:paraId="283328C9" w14:textId="6D01458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8.71c</w:t>
            </w:r>
          </w:p>
        </w:tc>
        <w:tc>
          <w:tcPr>
            <w:tcW w:w="1144" w:type="dxa"/>
          </w:tcPr>
          <w:p w14:paraId="01CEA8D7" w14:textId="66BA28A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87.98</w:t>
            </w:r>
          </w:p>
        </w:tc>
      </w:tr>
      <w:tr w:rsidR="008163F3" w:rsidRPr="004A0C12" w14:paraId="679B76C5"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36E1E20" w14:textId="1E8C6F74" w:rsidR="008163F3" w:rsidRPr="006B3061" w:rsidRDefault="008163F3" w:rsidP="006B3061">
            <w:pPr>
              <w:pStyle w:val="Tablebody"/>
            </w:pPr>
            <w:r w:rsidRPr="006B3061">
              <w:t>D22</w:t>
            </w:r>
          </w:p>
        </w:tc>
        <w:tc>
          <w:tcPr>
            <w:tcW w:w="4819" w:type="dxa"/>
          </w:tcPr>
          <w:p w14:paraId="42868A91" w14:textId="17F97E8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Domestic violence can be excused if the violent person was themselves abused as a child</w:t>
            </w:r>
          </w:p>
        </w:tc>
        <w:tc>
          <w:tcPr>
            <w:tcW w:w="737" w:type="dxa"/>
          </w:tcPr>
          <w:p w14:paraId="3E7EA774" w14:textId="5978A84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1BEAF19F" w14:textId="04DD4F3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1F442A7E" w14:textId="39353D8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2.56</w:t>
            </w:r>
          </w:p>
        </w:tc>
        <w:tc>
          <w:tcPr>
            <w:tcW w:w="1201" w:type="dxa"/>
          </w:tcPr>
          <w:p w14:paraId="151EF36D" w14:textId="4A8685F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5.95</w:t>
            </w:r>
          </w:p>
        </w:tc>
        <w:tc>
          <w:tcPr>
            <w:tcW w:w="1185" w:type="dxa"/>
          </w:tcPr>
          <w:p w14:paraId="5F6D534B" w14:textId="25CE1C5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19.25*</w:t>
            </w:r>
          </w:p>
        </w:tc>
        <w:tc>
          <w:tcPr>
            <w:tcW w:w="1111" w:type="dxa"/>
          </w:tcPr>
          <w:p w14:paraId="00215504" w14:textId="6F22E82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70.94*</w:t>
            </w:r>
          </w:p>
        </w:tc>
        <w:tc>
          <w:tcPr>
            <w:tcW w:w="1205" w:type="dxa"/>
          </w:tcPr>
          <w:p w14:paraId="19C73C18" w14:textId="2930641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1.25c</w:t>
            </w:r>
          </w:p>
        </w:tc>
        <w:tc>
          <w:tcPr>
            <w:tcW w:w="1048" w:type="dxa"/>
          </w:tcPr>
          <w:p w14:paraId="0B591CB2" w14:textId="407C135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8.52</w:t>
            </w:r>
          </w:p>
        </w:tc>
        <w:tc>
          <w:tcPr>
            <w:tcW w:w="1144" w:type="dxa"/>
          </w:tcPr>
          <w:p w14:paraId="74AE8E71" w14:textId="72FE62F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90.18</w:t>
            </w:r>
          </w:p>
        </w:tc>
      </w:tr>
      <w:tr w:rsidR="008163F3" w:rsidRPr="004A0C12" w14:paraId="087069A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E3EC777" w14:textId="77777777" w:rsidR="008163F3" w:rsidRPr="006B3061" w:rsidRDefault="008163F3" w:rsidP="006B3061">
            <w:pPr>
              <w:pStyle w:val="Tablebody"/>
            </w:pPr>
            <w:r w:rsidRPr="006B3061">
              <w:lastRenderedPageBreak/>
              <w:t>D24</w:t>
            </w:r>
          </w:p>
        </w:tc>
        <w:tc>
          <w:tcPr>
            <w:tcW w:w="4819" w:type="dxa"/>
          </w:tcPr>
          <w:p w14:paraId="1976E45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a woman’s duty to stay in a violent relationship to keep the family together^</w:t>
            </w:r>
          </w:p>
        </w:tc>
        <w:tc>
          <w:tcPr>
            <w:tcW w:w="737" w:type="dxa"/>
          </w:tcPr>
          <w:p w14:paraId="0122BBB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2C883AB7"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421FC7E3" w14:textId="2E96873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1.40c</w:t>
            </w:r>
          </w:p>
        </w:tc>
        <w:tc>
          <w:tcPr>
            <w:tcW w:w="1201" w:type="dxa"/>
          </w:tcPr>
          <w:p w14:paraId="48B0F0EE" w14:textId="2C8B3A8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5.71c</w:t>
            </w:r>
          </w:p>
        </w:tc>
        <w:tc>
          <w:tcPr>
            <w:tcW w:w="1185" w:type="dxa"/>
          </w:tcPr>
          <w:p w14:paraId="728C89BB" w14:textId="4E935FE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4.46c</w:t>
            </w:r>
          </w:p>
        </w:tc>
        <w:tc>
          <w:tcPr>
            <w:tcW w:w="1111" w:type="dxa"/>
          </w:tcPr>
          <w:p w14:paraId="74B6795C" w14:textId="11E1CE4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88.43</w:t>
            </w:r>
          </w:p>
        </w:tc>
        <w:tc>
          <w:tcPr>
            <w:tcW w:w="1205" w:type="dxa"/>
          </w:tcPr>
          <w:p w14:paraId="0F2A73A2" w14:textId="1EB29C9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0.00</w:t>
            </w:r>
          </w:p>
        </w:tc>
        <w:tc>
          <w:tcPr>
            <w:tcW w:w="1048" w:type="dxa"/>
          </w:tcPr>
          <w:p w14:paraId="7F6CB5DE" w14:textId="72B931B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7.11c</w:t>
            </w:r>
          </w:p>
        </w:tc>
        <w:tc>
          <w:tcPr>
            <w:tcW w:w="1144" w:type="dxa"/>
          </w:tcPr>
          <w:p w14:paraId="312C3816" w14:textId="452DDB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92.89</w:t>
            </w:r>
          </w:p>
        </w:tc>
      </w:tr>
      <w:tr w:rsidR="008163F3" w:rsidRPr="004A0C12" w14:paraId="319FDA5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47131D9" w14:textId="2EECCF98" w:rsidR="008163F3" w:rsidRPr="006B3061" w:rsidRDefault="008163F3" w:rsidP="006B3061">
            <w:pPr>
              <w:pStyle w:val="Tablebody"/>
            </w:pPr>
            <w:r w:rsidRPr="006B3061">
              <w:t>D24</w:t>
            </w:r>
          </w:p>
        </w:tc>
        <w:tc>
          <w:tcPr>
            <w:tcW w:w="4819" w:type="dxa"/>
          </w:tcPr>
          <w:p w14:paraId="35925495" w14:textId="20A8E63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a woman’s duty to stay in a violent relationship to keep the family together^</w:t>
            </w:r>
          </w:p>
        </w:tc>
        <w:tc>
          <w:tcPr>
            <w:tcW w:w="737" w:type="dxa"/>
          </w:tcPr>
          <w:p w14:paraId="49C3B09E" w14:textId="0A93910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735B8B17" w14:textId="5A2FD8B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19F3EE90" w14:textId="7898D0A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3.05</w:t>
            </w:r>
          </w:p>
        </w:tc>
        <w:tc>
          <w:tcPr>
            <w:tcW w:w="1201" w:type="dxa"/>
          </w:tcPr>
          <w:p w14:paraId="3E13D1DF" w14:textId="19893BA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1.82c</w:t>
            </w:r>
          </w:p>
        </w:tc>
        <w:tc>
          <w:tcPr>
            <w:tcW w:w="1185" w:type="dxa"/>
          </w:tcPr>
          <w:p w14:paraId="19671D66" w14:textId="40C3783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6.72</w:t>
            </w:r>
          </w:p>
        </w:tc>
        <w:tc>
          <w:tcPr>
            <w:tcW w:w="1111" w:type="dxa"/>
          </w:tcPr>
          <w:p w14:paraId="23DF8D2D" w14:textId="25E7FFC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87.94</w:t>
            </w:r>
          </w:p>
        </w:tc>
        <w:tc>
          <w:tcPr>
            <w:tcW w:w="1205" w:type="dxa"/>
          </w:tcPr>
          <w:p w14:paraId="5237B6E3" w14:textId="504BF2F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0.47c</w:t>
            </w:r>
          </w:p>
        </w:tc>
        <w:tc>
          <w:tcPr>
            <w:tcW w:w="1048" w:type="dxa"/>
          </w:tcPr>
          <w:p w14:paraId="3E6FFD81" w14:textId="0CB4FC1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4.87</w:t>
            </w:r>
          </w:p>
        </w:tc>
        <w:tc>
          <w:tcPr>
            <w:tcW w:w="1144" w:type="dxa"/>
          </w:tcPr>
          <w:p w14:paraId="695D0BF0" w14:textId="1638030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94.66</w:t>
            </w:r>
          </w:p>
        </w:tc>
      </w:tr>
      <w:tr w:rsidR="008163F3" w:rsidRPr="004A0C12" w14:paraId="1459718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11F791F" w14:textId="77777777" w:rsidR="008163F3" w:rsidRPr="006B3061" w:rsidRDefault="008163F3" w:rsidP="006B3061">
            <w:pPr>
              <w:pStyle w:val="Tablebody"/>
            </w:pPr>
            <w:r w:rsidRPr="006B3061">
              <w:t>D25</w:t>
            </w:r>
          </w:p>
        </w:tc>
        <w:tc>
          <w:tcPr>
            <w:tcW w:w="4819" w:type="dxa"/>
          </w:tcPr>
          <w:p w14:paraId="1F766737"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Sometimes a woman can make a man so angry that he hits her when he didn’t mean to^</w:t>
            </w:r>
          </w:p>
        </w:tc>
        <w:tc>
          <w:tcPr>
            <w:tcW w:w="737" w:type="dxa"/>
          </w:tcPr>
          <w:p w14:paraId="1C62715D"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07A3C219"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04EEDA76" w14:textId="1A950A0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4.34c</w:t>
            </w:r>
          </w:p>
        </w:tc>
        <w:tc>
          <w:tcPr>
            <w:tcW w:w="1201" w:type="dxa"/>
          </w:tcPr>
          <w:p w14:paraId="544A6438" w14:textId="62AEA76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15.70c</w:t>
            </w:r>
          </w:p>
        </w:tc>
        <w:tc>
          <w:tcPr>
            <w:tcW w:w="1185" w:type="dxa"/>
          </w:tcPr>
          <w:p w14:paraId="4E1F538C" w14:textId="4965AA2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12.52c</w:t>
            </w:r>
          </w:p>
        </w:tc>
        <w:tc>
          <w:tcPr>
            <w:tcW w:w="1111" w:type="dxa"/>
          </w:tcPr>
          <w:p w14:paraId="635DCA71" w14:textId="29DDD48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65.66</w:t>
            </w:r>
          </w:p>
        </w:tc>
        <w:tc>
          <w:tcPr>
            <w:tcW w:w="1205" w:type="dxa"/>
          </w:tcPr>
          <w:p w14:paraId="5D9AEEC7" w14:textId="2F21303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1.78c</w:t>
            </w:r>
          </w:p>
        </w:tc>
        <w:tc>
          <w:tcPr>
            <w:tcW w:w="1048" w:type="dxa"/>
          </w:tcPr>
          <w:p w14:paraId="4377CCE0" w14:textId="3E30193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20.04</w:t>
            </w:r>
          </w:p>
        </w:tc>
        <w:tc>
          <w:tcPr>
            <w:tcW w:w="1144" w:type="dxa"/>
          </w:tcPr>
          <w:p w14:paraId="7C1D8A8E" w14:textId="56440D5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78.18</w:t>
            </w:r>
          </w:p>
        </w:tc>
      </w:tr>
      <w:tr w:rsidR="008163F3" w:rsidRPr="004A0C12" w14:paraId="3B57A9A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23754F3" w14:textId="5E856A65" w:rsidR="008163F3" w:rsidRPr="006B3061" w:rsidRDefault="008163F3" w:rsidP="006B3061">
            <w:pPr>
              <w:pStyle w:val="Tablebody"/>
            </w:pPr>
            <w:r w:rsidRPr="006B3061">
              <w:t>D25</w:t>
            </w:r>
          </w:p>
        </w:tc>
        <w:tc>
          <w:tcPr>
            <w:tcW w:w="4819" w:type="dxa"/>
          </w:tcPr>
          <w:p w14:paraId="0FC2CE1D" w14:textId="0675256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Sometimes a woman can make a man so angry that he hits her when he didn’t mean to^</w:t>
            </w:r>
          </w:p>
        </w:tc>
        <w:tc>
          <w:tcPr>
            <w:tcW w:w="737" w:type="dxa"/>
          </w:tcPr>
          <w:p w14:paraId="3F69EE39" w14:textId="57279B6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5DE4E9AE" w14:textId="2582B6B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31E5A469" w14:textId="22A81F3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3.36</w:t>
            </w:r>
          </w:p>
        </w:tc>
        <w:tc>
          <w:tcPr>
            <w:tcW w:w="1201" w:type="dxa"/>
          </w:tcPr>
          <w:p w14:paraId="51E10EB5" w14:textId="26C326B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12.02</w:t>
            </w:r>
          </w:p>
        </w:tc>
        <w:tc>
          <w:tcPr>
            <w:tcW w:w="1185" w:type="dxa"/>
          </w:tcPr>
          <w:p w14:paraId="41FE294B" w14:textId="27B07C1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12.23</w:t>
            </w:r>
          </w:p>
        </w:tc>
        <w:tc>
          <w:tcPr>
            <w:tcW w:w="1111" w:type="dxa"/>
          </w:tcPr>
          <w:p w14:paraId="4E82FF88" w14:textId="3894664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68.30</w:t>
            </w:r>
          </w:p>
        </w:tc>
        <w:tc>
          <w:tcPr>
            <w:tcW w:w="1205" w:type="dxa"/>
          </w:tcPr>
          <w:p w14:paraId="1291E3B8" w14:textId="3023896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3.67</w:t>
            </w:r>
          </w:p>
        </w:tc>
        <w:tc>
          <w:tcPr>
            <w:tcW w:w="1048" w:type="dxa"/>
          </w:tcPr>
          <w:p w14:paraId="01D9BF1F" w14:textId="5E5C152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15.37</w:t>
            </w:r>
          </w:p>
        </w:tc>
        <w:tc>
          <w:tcPr>
            <w:tcW w:w="1144" w:type="dxa"/>
          </w:tcPr>
          <w:p w14:paraId="1985C15C" w14:textId="0DA565D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80.53</w:t>
            </w:r>
          </w:p>
        </w:tc>
      </w:tr>
      <w:tr w:rsidR="008163F3" w:rsidRPr="004A0C12" w14:paraId="59FB20D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B641D8F" w14:textId="69805CAA" w:rsidR="008163F3" w:rsidRPr="006B3061" w:rsidRDefault="008163F3" w:rsidP="006B3061">
            <w:pPr>
              <w:pStyle w:val="Tablebody"/>
            </w:pPr>
            <w:r w:rsidRPr="006B3061">
              <w:t>D30</w:t>
            </w:r>
          </w:p>
        </w:tc>
        <w:tc>
          <w:tcPr>
            <w:tcW w:w="4819" w:type="dxa"/>
          </w:tcPr>
          <w:p w14:paraId="1ACEA482" w14:textId="3FEF6F8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should keep quiet about domestic violence to protect their family’s reputation</w:t>
            </w:r>
          </w:p>
        </w:tc>
        <w:tc>
          <w:tcPr>
            <w:tcW w:w="737" w:type="dxa"/>
          </w:tcPr>
          <w:p w14:paraId="0489D37D"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36832818"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207</w:t>
            </w:r>
          </w:p>
        </w:tc>
        <w:tc>
          <w:tcPr>
            <w:tcW w:w="1129" w:type="dxa"/>
          </w:tcPr>
          <w:p w14:paraId="5A1CD689" w14:textId="64AE882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0.81c</w:t>
            </w:r>
          </w:p>
        </w:tc>
        <w:tc>
          <w:tcPr>
            <w:tcW w:w="1201" w:type="dxa"/>
          </w:tcPr>
          <w:p w14:paraId="1FB3F0B1" w14:textId="16A9E20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1.75c</w:t>
            </w:r>
          </w:p>
        </w:tc>
        <w:tc>
          <w:tcPr>
            <w:tcW w:w="1185" w:type="dxa"/>
          </w:tcPr>
          <w:p w14:paraId="180A00F3" w14:textId="0E51510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4.57c</w:t>
            </w:r>
          </w:p>
        </w:tc>
        <w:tc>
          <w:tcPr>
            <w:tcW w:w="1111" w:type="dxa"/>
          </w:tcPr>
          <w:p w14:paraId="0A0C3110" w14:textId="1FFF476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92.87</w:t>
            </w:r>
          </w:p>
        </w:tc>
        <w:tc>
          <w:tcPr>
            <w:tcW w:w="1205" w:type="dxa"/>
          </w:tcPr>
          <w:p w14:paraId="1FB33A70" w14:textId="1F6360B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0.00</w:t>
            </w:r>
          </w:p>
        </w:tc>
        <w:tc>
          <w:tcPr>
            <w:tcW w:w="1048" w:type="dxa"/>
          </w:tcPr>
          <w:p w14:paraId="51F224F6" w14:textId="2B95E7B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2.56c</w:t>
            </w:r>
          </w:p>
        </w:tc>
        <w:tc>
          <w:tcPr>
            <w:tcW w:w="1144" w:type="dxa"/>
          </w:tcPr>
          <w:p w14:paraId="5739A851" w14:textId="4280F5B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97.44</w:t>
            </w:r>
          </w:p>
        </w:tc>
      </w:tr>
      <w:tr w:rsidR="008163F3" w:rsidRPr="004A0C12" w14:paraId="4312F721"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48F3B79" w14:textId="3C798E53" w:rsidR="008163F3" w:rsidRPr="006B3061" w:rsidRDefault="008163F3" w:rsidP="006B3061">
            <w:pPr>
              <w:pStyle w:val="Tablebody"/>
            </w:pPr>
            <w:r w:rsidRPr="006B3061">
              <w:t>D30</w:t>
            </w:r>
          </w:p>
        </w:tc>
        <w:tc>
          <w:tcPr>
            <w:tcW w:w="4819" w:type="dxa"/>
          </w:tcPr>
          <w:p w14:paraId="25E9633B" w14:textId="1AB4CC8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should keep quiet about domestic violence to protect their family’s reputation</w:t>
            </w:r>
          </w:p>
        </w:tc>
        <w:tc>
          <w:tcPr>
            <w:tcW w:w="737" w:type="dxa"/>
          </w:tcPr>
          <w:p w14:paraId="059092D9" w14:textId="2517A52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165E3C17" w14:textId="1728571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1,462</w:t>
            </w:r>
          </w:p>
        </w:tc>
        <w:tc>
          <w:tcPr>
            <w:tcW w:w="1129" w:type="dxa"/>
          </w:tcPr>
          <w:p w14:paraId="38340D1B" w14:textId="01A0BEA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1.13c</w:t>
            </w:r>
          </w:p>
        </w:tc>
        <w:tc>
          <w:tcPr>
            <w:tcW w:w="1201" w:type="dxa"/>
          </w:tcPr>
          <w:p w14:paraId="3FE79AFA" w14:textId="0EBDFAB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1.51c</w:t>
            </w:r>
          </w:p>
        </w:tc>
        <w:tc>
          <w:tcPr>
            <w:tcW w:w="1185" w:type="dxa"/>
          </w:tcPr>
          <w:p w14:paraId="33313E51" w14:textId="2947D1E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4.99</w:t>
            </w:r>
          </w:p>
        </w:tc>
        <w:tc>
          <w:tcPr>
            <w:tcW w:w="1111" w:type="dxa"/>
          </w:tcPr>
          <w:p w14:paraId="03306692" w14:textId="434BD88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92.12</w:t>
            </w:r>
          </w:p>
        </w:tc>
        <w:tc>
          <w:tcPr>
            <w:tcW w:w="1205" w:type="dxa"/>
          </w:tcPr>
          <w:p w14:paraId="72DBAAE7" w14:textId="4FBE9A2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0.25c</w:t>
            </w:r>
          </w:p>
        </w:tc>
        <w:tc>
          <w:tcPr>
            <w:tcW w:w="1048" w:type="dxa"/>
          </w:tcPr>
          <w:p w14:paraId="70386524" w14:textId="5E2DC4D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2.64</w:t>
            </w:r>
          </w:p>
        </w:tc>
        <w:tc>
          <w:tcPr>
            <w:tcW w:w="1144" w:type="dxa"/>
          </w:tcPr>
          <w:p w14:paraId="3E8D0559" w14:textId="1CE5DFD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97.11</w:t>
            </w:r>
          </w:p>
        </w:tc>
      </w:tr>
      <w:tr w:rsidR="008163F3" w:rsidRPr="004A0C12" w14:paraId="1FF142F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29D8C8B" w14:textId="77777777" w:rsidR="008163F3" w:rsidRPr="006B3061" w:rsidRDefault="008163F3" w:rsidP="006B3061">
            <w:pPr>
              <w:pStyle w:val="Tablebody"/>
            </w:pPr>
            <w:r w:rsidRPr="006B3061">
              <w:t>D31</w:t>
            </w:r>
          </w:p>
        </w:tc>
        <w:tc>
          <w:tcPr>
            <w:tcW w:w="4819" w:type="dxa"/>
          </w:tcPr>
          <w:p w14:paraId="1125853E"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who stay in abusive relationships deserve less help from counselling and support services than women who leave their abusive partner^</w:t>
            </w:r>
          </w:p>
        </w:tc>
        <w:tc>
          <w:tcPr>
            <w:tcW w:w="737" w:type="dxa"/>
          </w:tcPr>
          <w:p w14:paraId="67755FB5"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1CE587D6"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7DA9A3D0" w14:textId="18E5EB8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1.40c</w:t>
            </w:r>
          </w:p>
        </w:tc>
        <w:tc>
          <w:tcPr>
            <w:tcW w:w="1201" w:type="dxa"/>
          </w:tcPr>
          <w:p w14:paraId="0E0E604B" w14:textId="478A69D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4.16c</w:t>
            </w:r>
          </w:p>
        </w:tc>
        <w:tc>
          <w:tcPr>
            <w:tcW w:w="1185" w:type="dxa"/>
          </w:tcPr>
          <w:p w14:paraId="4927FDE9" w14:textId="240C6E3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4.04c</w:t>
            </w:r>
          </w:p>
        </w:tc>
        <w:tc>
          <w:tcPr>
            <w:tcW w:w="1111" w:type="dxa"/>
          </w:tcPr>
          <w:p w14:paraId="4B5304A2" w14:textId="41ED403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86.90</w:t>
            </w:r>
          </w:p>
        </w:tc>
        <w:tc>
          <w:tcPr>
            <w:tcW w:w="1205" w:type="dxa"/>
          </w:tcPr>
          <w:p w14:paraId="64ED9751" w14:textId="055398B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3.50c</w:t>
            </w:r>
          </w:p>
        </w:tc>
        <w:tc>
          <w:tcPr>
            <w:tcW w:w="1048" w:type="dxa"/>
          </w:tcPr>
          <w:p w14:paraId="7971B25B" w14:textId="7315C89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5.56c</w:t>
            </w:r>
          </w:p>
        </w:tc>
        <w:tc>
          <w:tcPr>
            <w:tcW w:w="1144" w:type="dxa"/>
          </w:tcPr>
          <w:p w14:paraId="7CC80192" w14:textId="45C6326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90.94</w:t>
            </w:r>
          </w:p>
        </w:tc>
      </w:tr>
      <w:tr w:rsidR="008163F3" w:rsidRPr="004A0C12" w14:paraId="2DC8CC3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4B8CFC2" w14:textId="69410A78" w:rsidR="008163F3" w:rsidRPr="006B3061" w:rsidRDefault="008163F3" w:rsidP="006B3061">
            <w:pPr>
              <w:pStyle w:val="Tablebody"/>
            </w:pPr>
            <w:r w:rsidRPr="006B3061">
              <w:t>D31</w:t>
            </w:r>
          </w:p>
        </w:tc>
        <w:tc>
          <w:tcPr>
            <w:tcW w:w="4819" w:type="dxa"/>
          </w:tcPr>
          <w:p w14:paraId="210739FE" w14:textId="54F9078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who stay in abusive relationships deserve less help from counselling and support services than women who leave their abusive partner^</w:t>
            </w:r>
          </w:p>
        </w:tc>
        <w:tc>
          <w:tcPr>
            <w:tcW w:w="737" w:type="dxa"/>
          </w:tcPr>
          <w:p w14:paraId="2D488A0F" w14:textId="70A2E50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52E5318C" w14:textId="34399B6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3DAAA85E" w14:textId="210BB87A"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2.25c</w:t>
            </w:r>
          </w:p>
        </w:tc>
        <w:tc>
          <w:tcPr>
            <w:tcW w:w="1201" w:type="dxa"/>
          </w:tcPr>
          <w:p w14:paraId="5709F630" w14:textId="59B0F60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3.61</w:t>
            </w:r>
          </w:p>
        </w:tc>
        <w:tc>
          <w:tcPr>
            <w:tcW w:w="1185" w:type="dxa"/>
          </w:tcPr>
          <w:p w14:paraId="343679B0" w14:textId="74DBAFA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8.57</w:t>
            </w:r>
          </w:p>
        </w:tc>
        <w:tc>
          <w:tcPr>
            <w:tcW w:w="1111" w:type="dxa"/>
          </w:tcPr>
          <w:p w14:paraId="28E71E25" w14:textId="2AEF7C1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84.23</w:t>
            </w:r>
          </w:p>
        </w:tc>
        <w:tc>
          <w:tcPr>
            <w:tcW w:w="1205" w:type="dxa"/>
          </w:tcPr>
          <w:p w14:paraId="457C36AD" w14:textId="4077EB6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1.24c</w:t>
            </w:r>
          </w:p>
        </w:tc>
        <w:tc>
          <w:tcPr>
            <w:tcW w:w="1048" w:type="dxa"/>
          </w:tcPr>
          <w:p w14:paraId="494A5E64" w14:textId="538E839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5.86</w:t>
            </w:r>
          </w:p>
        </w:tc>
        <w:tc>
          <w:tcPr>
            <w:tcW w:w="1144" w:type="dxa"/>
          </w:tcPr>
          <w:p w14:paraId="45141079" w14:textId="1D5C1CE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92.80</w:t>
            </w:r>
          </w:p>
        </w:tc>
      </w:tr>
      <w:tr w:rsidR="008163F3" w:rsidRPr="004A0C12" w14:paraId="62A9E76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A00F62D" w14:textId="77777777" w:rsidR="008163F3" w:rsidRPr="006B3061" w:rsidRDefault="008163F3" w:rsidP="006B3061">
            <w:pPr>
              <w:pStyle w:val="Tablebody"/>
            </w:pPr>
            <w:r w:rsidRPr="006B3061">
              <w:t>D32</w:t>
            </w:r>
          </w:p>
        </w:tc>
        <w:tc>
          <w:tcPr>
            <w:tcW w:w="4819" w:type="dxa"/>
          </w:tcPr>
          <w:p w14:paraId="41F10DCA" w14:textId="543B7B6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acceptable for police to give lower priority to domestic violence cases they’ve attended many times before^</w:t>
            </w:r>
          </w:p>
        </w:tc>
        <w:tc>
          <w:tcPr>
            <w:tcW w:w="737" w:type="dxa"/>
          </w:tcPr>
          <w:p w14:paraId="57AAD85F"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503B941F"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6F039D1E" w14:textId="461C72C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2.27c</w:t>
            </w:r>
          </w:p>
        </w:tc>
        <w:tc>
          <w:tcPr>
            <w:tcW w:w="1201" w:type="dxa"/>
          </w:tcPr>
          <w:p w14:paraId="7DDA83A9" w14:textId="4C6BB66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10.11c</w:t>
            </w:r>
          </w:p>
        </w:tc>
        <w:tc>
          <w:tcPr>
            <w:tcW w:w="1185" w:type="dxa"/>
          </w:tcPr>
          <w:p w14:paraId="059624C5" w14:textId="5B404D4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12.89c</w:t>
            </w:r>
          </w:p>
        </w:tc>
        <w:tc>
          <w:tcPr>
            <w:tcW w:w="1111" w:type="dxa"/>
          </w:tcPr>
          <w:p w14:paraId="5309EAEC" w14:textId="2D45283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73.45</w:t>
            </w:r>
          </w:p>
        </w:tc>
        <w:tc>
          <w:tcPr>
            <w:tcW w:w="1205" w:type="dxa"/>
          </w:tcPr>
          <w:p w14:paraId="3D309B86" w14:textId="24A1D72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1.28c</w:t>
            </w:r>
          </w:p>
        </w:tc>
        <w:tc>
          <w:tcPr>
            <w:tcW w:w="1048" w:type="dxa"/>
          </w:tcPr>
          <w:p w14:paraId="6CEF9E62" w14:textId="6FC6E4E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12.39c</w:t>
            </w:r>
          </w:p>
        </w:tc>
        <w:tc>
          <w:tcPr>
            <w:tcW w:w="1144" w:type="dxa"/>
          </w:tcPr>
          <w:p w14:paraId="5D4607E6" w14:textId="5123E08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86.34</w:t>
            </w:r>
          </w:p>
        </w:tc>
      </w:tr>
      <w:tr w:rsidR="008163F3" w:rsidRPr="004A0C12" w14:paraId="4C0290A1"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64D89C7" w14:textId="48747B8B" w:rsidR="008163F3" w:rsidRPr="006B3061" w:rsidRDefault="008163F3" w:rsidP="006B3061">
            <w:pPr>
              <w:pStyle w:val="Tablebody"/>
            </w:pPr>
            <w:r w:rsidRPr="006B3061">
              <w:t>D32</w:t>
            </w:r>
          </w:p>
        </w:tc>
        <w:tc>
          <w:tcPr>
            <w:tcW w:w="4819" w:type="dxa"/>
          </w:tcPr>
          <w:p w14:paraId="37AB5A0E" w14:textId="2DD2483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acceptable for police to give lower priority to domestic violence cases they’ve attended many times before^</w:t>
            </w:r>
          </w:p>
        </w:tc>
        <w:tc>
          <w:tcPr>
            <w:tcW w:w="737" w:type="dxa"/>
          </w:tcPr>
          <w:p w14:paraId="43AA9EDB" w14:textId="7728CE4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039D1440" w14:textId="737F50E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3C1E82D0" w14:textId="764F0A7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3.59</w:t>
            </w:r>
          </w:p>
        </w:tc>
        <w:tc>
          <w:tcPr>
            <w:tcW w:w="1201" w:type="dxa"/>
          </w:tcPr>
          <w:p w14:paraId="798D3BCD" w14:textId="5151C77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7.05</w:t>
            </w:r>
          </w:p>
        </w:tc>
        <w:tc>
          <w:tcPr>
            <w:tcW w:w="1185" w:type="dxa"/>
          </w:tcPr>
          <w:p w14:paraId="3A3C2A4C" w14:textId="495DA4F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15.33</w:t>
            </w:r>
          </w:p>
        </w:tc>
        <w:tc>
          <w:tcPr>
            <w:tcW w:w="1111" w:type="dxa"/>
          </w:tcPr>
          <w:p w14:paraId="312F8525" w14:textId="288DE92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71.48</w:t>
            </w:r>
          </w:p>
        </w:tc>
        <w:tc>
          <w:tcPr>
            <w:tcW w:w="1205" w:type="dxa"/>
          </w:tcPr>
          <w:p w14:paraId="0713A6A0" w14:textId="67354B3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2.40c</w:t>
            </w:r>
          </w:p>
        </w:tc>
        <w:tc>
          <w:tcPr>
            <w:tcW w:w="1048" w:type="dxa"/>
          </w:tcPr>
          <w:p w14:paraId="17EBF4DC" w14:textId="0293479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10.65</w:t>
            </w:r>
          </w:p>
        </w:tc>
        <w:tc>
          <w:tcPr>
            <w:tcW w:w="1144" w:type="dxa"/>
          </w:tcPr>
          <w:p w14:paraId="521D6041" w14:textId="672F023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86.81</w:t>
            </w:r>
          </w:p>
        </w:tc>
      </w:tr>
      <w:tr w:rsidR="008163F3" w:rsidRPr="004A0C12" w14:paraId="6A8BC0C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AE4EB97" w14:textId="31FAB61F" w:rsidR="008163F3" w:rsidRPr="006B3061" w:rsidRDefault="008163F3" w:rsidP="006B3061">
            <w:pPr>
              <w:pStyle w:val="Tablebody"/>
            </w:pPr>
            <w:r w:rsidRPr="006B3061">
              <w:t>S9</w:t>
            </w:r>
          </w:p>
        </w:tc>
        <w:tc>
          <w:tcPr>
            <w:tcW w:w="4819" w:type="dxa"/>
          </w:tcPr>
          <w:p w14:paraId="3B2EE96E" w14:textId="7A29899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who are sexually harassed should deal with it themselves rather than report it^</w:t>
            </w:r>
          </w:p>
        </w:tc>
        <w:tc>
          <w:tcPr>
            <w:tcW w:w="737" w:type="dxa"/>
          </w:tcPr>
          <w:p w14:paraId="11BDF841" w14:textId="269161B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3FE9A08B" w14:textId="325F8CD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134</w:t>
            </w:r>
          </w:p>
        </w:tc>
        <w:tc>
          <w:tcPr>
            <w:tcW w:w="1129" w:type="dxa"/>
          </w:tcPr>
          <w:p w14:paraId="00C0C08D" w14:textId="16ABE82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0.58c</w:t>
            </w:r>
          </w:p>
        </w:tc>
        <w:tc>
          <w:tcPr>
            <w:tcW w:w="1201" w:type="dxa"/>
          </w:tcPr>
          <w:p w14:paraId="7DA7A2B5" w14:textId="5BF51EC4"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1.14c</w:t>
            </w:r>
          </w:p>
        </w:tc>
        <w:tc>
          <w:tcPr>
            <w:tcW w:w="1185" w:type="dxa"/>
          </w:tcPr>
          <w:p w14:paraId="2319F085" w14:textId="65AA2AC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7.62c</w:t>
            </w:r>
          </w:p>
        </w:tc>
        <w:tc>
          <w:tcPr>
            <w:tcW w:w="1111" w:type="dxa"/>
          </w:tcPr>
          <w:p w14:paraId="352CD996" w14:textId="4C39065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88.41</w:t>
            </w:r>
          </w:p>
        </w:tc>
        <w:tc>
          <w:tcPr>
            <w:tcW w:w="1205" w:type="dxa"/>
          </w:tcPr>
          <w:p w14:paraId="14A41CF9" w14:textId="42B5FC5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2.26c</w:t>
            </w:r>
          </w:p>
        </w:tc>
        <w:tc>
          <w:tcPr>
            <w:tcW w:w="1048" w:type="dxa"/>
          </w:tcPr>
          <w:p w14:paraId="76F828E3" w14:textId="5A9E9EA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1.72c</w:t>
            </w:r>
          </w:p>
        </w:tc>
        <w:tc>
          <w:tcPr>
            <w:tcW w:w="1144" w:type="dxa"/>
          </w:tcPr>
          <w:p w14:paraId="294581A8" w14:textId="1239289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96.03</w:t>
            </w:r>
          </w:p>
        </w:tc>
      </w:tr>
      <w:tr w:rsidR="008163F3" w:rsidRPr="004A0C12" w14:paraId="74ED437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FB95E4" w14:textId="44C6B770" w:rsidR="008163F3" w:rsidRPr="006B3061" w:rsidRDefault="008163F3" w:rsidP="006B3061">
            <w:pPr>
              <w:pStyle w:val="Tablebody"/>
            </w:pPr>
            <w:r w:rsidRPr="006B3061">
              <w:t>S9</w:t>
            </w:r>
          </w:p>
        </w:tc>
        <w:tc>
          <w:tcPr>
            <w:tcW w:w="4819" w:type="dxa"/>
          </w:tcPr>
          <w:p w14:paraId="67B23FBD" w14:textId="55957E6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Women who are sexually harassed should deal with it themselves rather than report it^</w:t>
            </w:r>
          </w:p>
        </w:tc>
        <w:tc>
          <w:tcPr>
            <w:tcW w:w="737" w:type="dxa"/>
          </w:tcPr>
          <w:p w14:paraId="3C4435DD" w14:textId="631E667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1FD330F6" w14:textId="204CEC0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977</w:t>
            </w:r>
          </w:p>
        </w:tc>
        <w:tc>
          <w:tcPr>
            <w:tcW w:w="1129" w:type="dxa"/>
          </w:tcPr>
          <w:p w14:paraId="040A0066" w14:textId="4207560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0.71c</w:t>
            </w:r>
          </w:p>
        </w:tc>
        <w:tc>
          <w:tcPr>
            <w:tcW w:w="1201" w:type="dxa"/>
          </w:tcPr>
          <w:p w14:paraId="0EBDF0EB" w14:textId="2E7C3F0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1.70c</w:t>
            </w:r>
          </w:p>
        </w:tc>
        <w:tc>
          <w:tcPr>
            <w:tcW w:w="1185" w:type="dxa"/>
          </w:tcPr>
          <w:p w14:paraId="27D03320" w14:textId="6F8BE73B"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8.42</w:t>
            </w:r>
          </w:p>
        </w:tc>
        <w:tc>
          <w:tcPr>
            <w:tcW w:w="1111" w:type="dxa"/>
          </w:tcPr>
          <w:p w14:paraId="79461E99" w14:textId="6532B8E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88.10</w:t>
            </w:r>
          </w:p>
        </w:tc>
        <w:tc>
          <w:tcPr>
            <w:tcW w:w="1205" w:type="dxa"/>
          </w:tcPr>
          <w:p w14:paraId="1210DAD5" w14:textId="65EC09C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1.08c</w:t>
            </w:r>
          </w:p>
        </w:tc>
        <w:tc>
          <w:tcPr>
            <w:tcW w:w="1048" w:type="dxa"/>
          </w:tcPr>
          <w:p w14:paraId="2BA7CB9C" w14:textId="2B3FCFF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2.41</w:t>
            </w:r>
          </w:p>
        </w:tc>
        <w:tc>
          <w:tcPr>
            <w:tcW w:w="1144" w:type="dxa"/>
          </w:tcPr>
          <w:p w14:paraId="5F3AFC48" w14:textId="4A19105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96.51</w:t>
            </w:r>
          </w:p>
        </w:tc>
      </w:tr>
      <w:tr w:rsidR="008163F3" w:rsidRPr="004A0C12" w14:paraId="4AB8D6D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DE04C9B" w14:textId="77777777" w:rsidR="008163F3" w:rsidRPr="006B3061" w:rsidRDefault="008163F3" w:rsidP="006B3061">
            <w:pPr>
              <w:pStyle w:val="Tablebody"/>
            </w:pPr>
            <w:r w:rsidRPr="006B3061">
              <w:t>S19</w:t>
            </w:r>
          </w:p>
        </w:tc>
        <w:tc>
          <w:tcPr>
            <w:tcW w:w="4819" w:type="dxa"/>
          </w:tcPr>
          <w:p w14:paraId="20E7C6EE" w14:textId="7BA4B47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A man is less responsible for rape if he is drunk or affected by drugs at the time^</w:t>
            </w:r>
          </w:p>
        </w:tc>
        <w:tc>
          <w:tcPr>
            <w:tcW w:w="737" w:type="dxa"/>
          </w:tcPr>
          <w:p w14:paraId="76C74C3C"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56C48757"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w:t>
            </w:r>
          </w:p>
        </w:tc>
        <w:tc>
          <w:tcPr>
            <w:tcW w:w="1129" w:type="dxa"/>
          </w:tcPr>
          <w:p w14:paraId="3F6C37D7" w14:textId="2D9B2DD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12.96c</w:t>
            </w:r>
          </w:p>
        </w:tc>
        <w:tc>
          <w:tcPr>
            <w:tcW w:w="1201" w:type="dxa"/>
          </w:tcPr>
          <w:p w14:paraId="64F32E39" w14:textId="353A783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4.17c</w:t>
            </w:r>
          </w:p>
        </w:tc>
        <w:tc>
          <w:tcPr>
            <w:tcW w:w="1185" w:type="dxa"/>
          </w:tcPr>
          <w:p w14:paraId="3DC3B199" w14:textId="1F2260B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19.32*</w:t>
            </w:r>
          </w:p>
        </w:tc>
        <w:tc>
          <w:tcPr>
            <w:tcW w:w="1111" w:type="dxa"/>
          </w:tcPr>
          <w:p w14:paraId="4F63749C" w14:textId="04E4658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63.56*</w:t>
            </w:r>
          </w:p>
        </w:tc>
        <w:tc>
          <w:tcPr>
            <w:tcW w:w="1205" w:type="dxa"/>
          </w:tcPr>
          <w:p w14:paraId="283A7B43" w14:textId="5670DB40"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0.00</w:t>
            </w:r>
          </w:p>
        </w:tc>
        <w:tc>
          <w:tcPr>
            <w:tcW w:w="1048" w:type="dxa"/>
          </w:tcPr>
          <w:p w14:paraId="5A981B33" w14:textId="3281E49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17.13*</w:t>
            </w:r>
          </w:p>
        </w:tc>
        <w:tc>
          <w:tcPr>
            <w:tcW w:w="1144" w:type="dxa"/>
          </w:tcPr>
          <w:p w14:paraId="108B4A94" w14:textId="3C2AF17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82.87*</w:t>
            </w:r>
          </w:p>
        </w:tc>
      </w:tr>
      <w:tr w:rsidR="008163F3" w:rsidRPr="004A0C12" w14:paraId="7C17A94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29ECE13" w14:textId="0520A63B" w:rsidR="008163F3" w:rsidRPr="006B3061" w:rsidRDefault="008163F3" w:rsidP="006B3061">
            <w:pPr>
              <w:pStyle w:val="Tablebody"/>
            </w:pPr>
            <w:r w:rsidRPr="006B3061">
              <w:t>S19</w:t>
            </w:r>
          </w:p>
        </w:tc>
        <w:tc>
          <w:tcPr>
            <w:tcW w:w="4819" w:type="dxa"/>
          </w:tcPr>
          <w:p w14:paraId="01549DCD" w14:textId="4A6DF3E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A man is less responsible for rape if he is drunk or affected by drugs at the time^</w:t>
            </w:r>
          </w:p>
        </w:tc>
        <w:tc>
          <w:tcPr>
            <w:tcW w:w="737" w:type="dxa"/>
          </w:tcPr>
          <w:p w14:paraId="26366E5B" w14:textId="773315D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11346B56" w14:textId="7DD913D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734</w:t>
            </w:r>
          </w:p>
        </w:tc>
        <w:tc>
          <w:tcPr>
            <w:tcW w:w="1129" w:type="dxa"/>
          </w:tcPr>
          <w:p w14:paraId="23066BCB" w14:textId="0BDC322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3.53</w:t>
            </w:r>
          </w:p>
        </w:tc>
        <w:tc>
          <w:tcPr>
            <w:tcW w:w="1201" w:type="dxa"/>
          </w:tcPr>
          <w:p w14:paraId="486206A7" w14:textId="197C911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3.40</w:t>
            </w:r>
          </w:p>
        </w:tc>
        <w:tc>
          <w:tcPr>
            <w:tcW w:w="1185" w:type="dxa"/>
          </w:tcPr>
          <w:p w14:paraId="73A603D4" w14:textId="5AD68BB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7.48*</w:t>
            </w:r>
          </w:p>
        </w:tc>
        <w:tc>
          <w:tcPr>
            <w:tcW w:w="1111" w:type="dxa"/>
          </w:tcPr>
          <w:p w14:paraId="42EDC55D" w14:textId="73BB21C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84.65*</w:t>
            </w:r>
          </w:p>
        </w:tc>
        <w:tc>
          <w:tcPr>
            <w:tcW w:w="1205" w:type="dxa"/>
          </w:tcPr>
          <w:p w14:paraId="36B9699C" w14:textId="6D0BCCD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0.65c</w:t>
            </w:r>
          </w:p>
        </w:tc>
        <w:tc>
          <w:tcPr>
            <w:tcW w:w="1048" w:type="dxa"/>
          </w:tcPr>
          <w:p w14:paraId="021563F0" w14:textId="78BF715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6.93*</w:t>
            </w:r>
          </w:p>
        </w:tc>
        <w:tc>
          <w:tcPr>
            <w:tcW w:w="1144" w:type="dxa"/>
          </w:tcPr>
          <w:p w14:paraId="09A78EA3" w14:textId="636BC07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92.13*</w:t>
            </w:r>
          </w:p>
        </w:tc>
      </w:tr>
      <w:tr w:rsidR="008163F3" w:rsidRPr="004A0C12" w14:paraId="2F11C1C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3E27C6A" w14:textId="77777777" w:rsidR="008163F3" w:rsidRPr="006B3061" w:rsidRDefault="008163F3" w:rsidP="006B3061">
            <w:pPr>
              <w:pStyle w:val="Tablebody"/>
            </w:pPr>
            <w:r w:rsidRPr="006B3061">
              <w:t>V8</w:t>
            </w:r>
          </w:p>
        </w:tc>
        <w:tc>
          <w:tcPr>
            <w:tcW w:w="4819" w:type="dxa"/>
          </w:tcPr>
          <w:p w14:paraId="52CBED83"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only really stalking if it’s by a stranger^</w:t>
            </w:r>
          </w:p>
        </w:tc>
        <w:tc>
          <w:tcPr>
            <w:tcW w:w="737" w:type="dxa"/>
          </w:tcPr>
          <w:p w14:paraId="74638FEE"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16–17</w:t>
            </w:r>
          </w:p>
        </w:tc>
        <w:tc>
          <w:tcPr>
            <w:tcW w:w="646" w:type="dxa"/>
          </w:tcPr>
          <w:p w14:paraId="2A959965" w14:textId="7777777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134</w:t>
            </w:r>
          </w:p>
        </w:tc>
        <w:tc>
          <w:tcPr>
            <w:tcW w:w="1129" w:type="dxa"/>
          </w:tcPr>
          <w:p w14:paraId="20E20553" w14:textId="62A07C1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0.62c</w:t>
            </w:r>
          </w:p>
        </w:tc>
        <w:tc>
          <w:tcPr>
            <w:tcW w:w="1201" w:type="dxa"/>
          </w:tcPr>
          <w:p w14:paraId="1DF218DD" w14:textId="41C4BE11"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2.96c</w:t>
            </w:r>
          </w:p>
        </w:tc>
        <w:tc>
          <w:tcPr>
            <w:tcW w:w="1185" w:type="dxa"/>
          </w:tcPr>
          <w:p w14:paraId="6F094ADA" w14:textId="33BC71D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4.57c</w:t>
            </w:r>
          </w:p>
        </w:tc>
        <w:tc>
          <w:tcPr>
            <w:tcW w:w="1111" w:type="dxa"/>
          </w:tcPr>
          <w:p w14:paraId="02BA4B87" w14:textId="33A9312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91.20</w:t>
            </w:r>
          </w:p>
        </w:tc>
        <w:tc>
          <w:tcPr>
            <w:tcW w:w="1205" w:type="dxa"/>
          </w:tcPr>
          <w:p w14:paraId="7DC12575" w14:textId="7CCFBA9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0.00</w:t>
            </w:r>
          </w:p>
        </w:tc>
        <w:tc>
          <w:tcPr>
            <w:tcW w:w="1048" w:type="dxa"/>
          </w:tcPr>
          <w:p w14:paraId="6F82CE2F" w14:textId="45CAE77E"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3.59c</w:t>
            </w:r>
          </w:p>
        </w:tc>
        <w:tc>
          <w:tcPr>
            <w:tcW w:w="1144" w:type="dxa"/>
          </w:tcPr>
          <w:p w14:paraId="3CA8B418" w14:textId="48357A96"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95.77</w:t>
            </w:r>
          </w:p>
        </w:tc>
      </w:tr>
      <w:tr w:rsidR="008163F3" w:rsidRPr="004A0C12" w14:paraId="7B02B4D0"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4EA412C" w14:textId="467C8EA5" w:rsidR="008163F3" w:rsidRPr="006B3061" w:rsidRDefault="008163F3" w:rsidP="006B3061">
            <w:pPr>
              <w:pStyle w:val="Tablebody"/>
            </w:pPr>
            <w:r w:rsidRPr="006B3061">
              <w:t>V8</w:t>
            </w:r>
          </w:p>
        </w:tc>
        <w:tc>
          <w:tcPr>
            <w:tcW w:w="4819" w:type="dxa"/>
          </w:tcPr>
          <w:p w14:paraId="29D2DE6C" w14:textId="11CD67B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It’s only really stalking if it’s by a stranger^</w:t>
            </w:r>
          </w:p>
        </w:tc>
        <w:tc>
          <w:tcPr>
            <w:tcW w:w="737" w:type="dxa"/>
          </w:tcPr>
          <w:p w14:paraId="19AB99DF" w14:textId="100FF195"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18–24</w:t>
            </w:r>
          </w:p>
        </w:tc>
        <w:tc>
          <w:tcPr>
            <w:tcW w:w="646" w:type="dxa"/>
          </w:tcPr>
          <w:p w14:paraId="673AC22C" w14:textId="4EB39368"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977</w:t>
            </w:r>
          </w:p>
        </w:tc>
        <w:tc>
          <w:tcPr>
            <w:tcW w:w="1129" w:type="dxa"/>
          </w:tcPr>
          <w:p w14:paraId="5437FABC" w14:textId="5A2AD20C"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1.65c</w:t>
            </w:r>
          </w:p>
        </w:tc>
        <w:tc>
          <w:tcPr>
            <w:tcW w:w="1201" w:type="dxa"/>
          </w:tcPr>
          <w:p w14:paraId="029AD598" w14:textId="37C90B53"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3.13</w:t>
            </w:r>
          </w:p>
        </w:tc>
        <w:tc>
          <w:tcPr>
            <w:tcW w:w="1185" w:type="dxa"/>
          </w:tcPr>
          <w:p w14:paraId="0900CCCA" w14:textId="36C43762"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6.95</w:t>
            </w:r>
          </w:p>
        </w:tc>
        <w:tc>
          <w:tcPr>
            <w:tcW w:w="1111" w:type="dxa"/>
          </w:tcPr>
          <w:p w14:paraId="7EBD0712" w14:textId="208D8857"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87.33</w:t>
            </w:r>
          </w:p>
        </w:tc>
        <w:tc>
          <w:tcPr>
            <w:tcW w:w="1205" w:type="dxa"/>
          </w:tcPr>
          <w:p w14:paraId="34C53C62" w14:textId="70B42DFF"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0.93c</w:t>
            </w:r>
          </w:p>
        </w:tc>
        <w:tc>
          <w:tcPr>
            <w:tcW w:w="1048" w:type="dxa"/>
          </w:tcPr>
          <w:p w14:paraId="0DAA5A17" w14:textId="4B5578E9"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4.78</w:t>
            </w:r>
          </w:p>
        </w:tc>
        <w:tc>
          <w:tcPr>
            <w:tcW w:w="1144" w:type="dxa"/>
          </w:tcPr>
          <w:p w14:paraId="5B4ED9B4" w14:textId="290C646D" w:rsidR="008163F3" w:rsidRPr="006B3061" w:rsidRDefault="008163F3" w:rsidP="006B3061">
            <w:pPr>
              <w:pStyle w:val="Tablebody"/>
              <w:cnfStyle w:val="000000000000" w:firstRow="0" w:lastRow="0" w:firstColumn="0" w:lastColumn="0" w:oddVBand="0" w:evenVBand="0" w:oddHBand="0" w:evenHBand="0" w:firstRowFirstColumn="0" w:firstRowLastColumn="0" w:lastRowFirstColumn="0" w:lastRowLastColumn="0"/>
            </w:pPr>
            <w:r w:rsidRPr="006B3061">
              <w:t>94.29</w:t>
            </w:r>
          </w:p>
        </w:tc>
      </w:tr>
    </w:tbl>
    <w:p w14:paraId="3FD7BFA8" w14:textId="3F36C7E7" w:rsidR="008A2612" w:rsidRDefault="00FF698F" w:rsidP="006B3061">
      <w:pPr>
        <w:pStyle w:val="Tablesubheading0"/>
      </w:pPr>
      <w:r>
        <w:lastRenderedPageBreak/>
        <w:t xml:space="preserve">Subscale: </w:t>
      </w:r>
      <w:r w:rsidRPr="00531840">
        <w:t>Mistrust Women</w:t>
      </w:r>
    </w:p>
    <w:tbl>
      <w:tblPr>
        <w:tblStyle w:val="Table-SingleHeaderRow"/>
        <w:tblW w:w="0" w:type="auto"/>
        <w:tblLayout w:type="fixed"/>
        <w:tblLook w:val="00A0" w:firstRow="1" w:lastRow="0" w:firstColumn="1" w:lastColumn="0" w:noHBand="0" w:noVBand="0"/>
      </w:tblPr>
      <w:tblGrid>
        <w:gridCol w:w="737"/>
        <w:gridCol w:w="4819"/>
        <w:gridCol w:w="737"/>
        <w:gridCol w:w="646"/>
        <w:gridCol w:w="1129"/>
        <w:gridCol w:w="1201"/>
        <w:gridCol w:w="1185"/>
        <w:gridCol w:w="1111"/>
        <w:gridCol w:w="1205"/>
        <w:gridCol w:w="1048"/>
        <w:gridCol w:w="1144"/>
      </w:tblGrid>
      <w:tr w:rsidR="00FF698F" w:rsidRPr="004A0C12" w14:paraId="7C4D3BA1" w14:textId="77777777" w:rsidTr="006B3061">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37" w:type="dxa"/>
          </w:tcPr>
          <w:p w14:paraId="476A4942" w14:textId="77777777" w:rsidR="00FF698F" w:rsidRPr="004A0C12" w:rsidRDefault="00FF698F" w:rsidP="006B3061">
            <w:pPr>
              <w:pStyle w:val="Tablebody"/>
              <w:rPr>
                <w:b w:val="0"/>
                <w:lang w:val="en-GB"/>
              </w:rPr>
            </w:pPr>
            <w:r w:rsidRPr="004A0C12">
              <w:t>Code</w:t>
            </w:r>
          </w:p>
        </w:tc>
        <w:tc>
          <w:tcPr>
            <w:tcW w:w="4819" w:type="dxa"/>
          </w:tcPr>
          <w:p w14:paraId="5389448A"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Abbreviated item wording</w:t>
            </w:r>
          </w:p>
        </w:tc>
        <w:tc>
          <w:tcPr>
            <w:tcW w:w="737" w:type="dxa"/>
          </w:tcPr>
          <w:p w14:paraId="54173A9F"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Age</w:t>
            </w:r>
          </w:p>
        </w:tc>
        <w:tc>
          <w:tcPr>
            <w:tcW w:w="646" w:type="dxa"/>
          </w:tcPr>
          <w:p w14:paraId="1A30D376" w14:textId="77777777" w:rsidR="00FF698F" w:rsidRPr="004E25BA" w:rsidRDefault="00FF698F" w:rsidP="006B306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4E25BA">
              <w:rPr>
                <w:rStyle w:val="Emphasis"/>
              </w:rPr>
              <w:t>N</w:t>
            </w:r>
          </w:p>
        </w:tc>
        <w:tc>
          <w:tcPr>
            <w:tcW w:w="1129" w:type="dxa"/>
          </w:tcPr>
          <w:p w14:paraId="5E2D0658"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agree</w:t>
            </w:r>
          </w:p>
        </w:tc>
        <w:tc>
          <w:tcPr>
            <w:tcW w:w="1201" w:type="dxa"/>
          </w:tcPr>
          <w:p w14:paraId="00594BD1" w14:textId="5A38A1E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agree</w:t>
            </w:r>
          </w:p>
        </w:tc>
        <w:tc>
          <w:tcPr>
            <w:tcW w:w="1185" w:type="dxa"/>
          </w:tcPr>
          <w:p w14:paraId="7CBE4F56" w14:textId="49A7EE3D"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disagree</w:t>
            </w:r>
          </w:p>
        </w:tc>
        <w:tc>
          <w:tcPr>
            <w:tcW w:w="1111" w:type="dxa"/>
          </w:tcPr>
          <w:p w14:paraId="2BF6A236" w14:textId="4A6B7366"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disagree</w:t>
            </w:r>
          </w:p>
        </w:tc>
        <w:tc>
          <w:tcPr>
            <w:tcW w:w="1205" w:type="dxa"/>
          </w:tcPr>
          <w:p w14:paraId="2FB9BF2B" w14:textId="1736F6B6"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Undecided</w:t>
            </w:r>
          </w:p>
        </w:tc>
        <w:tc>
          <w:tcPr>
            <w:tcW w:w="1048" w:type="dxa"/>
          </w:tcPr>
          <w:p w14:paraId="03E7AE64"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agree</w:t>
            </w:r>
            <w:r w:rsidRPr="004A0C12">
              <w:rPr>
                <w:vertAlign w:val="superscript"/>
              </w:rPr>
              <w:t>a</w:t>
            </w:r>
          </w:p>
        </w:tc>
        <w:tc>
          <w:tcPr>
            <w:tcW w:w="1144" w:type="dxa"/>
          </w:tcPr>
          <w:p w14:paraId="6A19D6AB"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disagree</w:t>
            </w:r>
            <w:r w:rsidRPr="004A0C12">
              <w:rPr>
                <w:vertAlign w:val="superscript"/>
              </w:rPr>
              <w:t>b</w:t>
            </w:r>
          </w:p>
        </w:tc>
      </w:tr>
      <w:tr w:rsidR="00046322" w:rsidRPr="004A0C12" w14:paraId="76E9467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12F730D" w14:textId="77777777" w:rsidR="00046322" w:rsidRPr="004A0C12" w:rsidRDefault="00046322" w:rsidP="006B3061">
            <w:pPr>
              <w:pStyle w:val="Tablebody"/>
              <w:rPr>
                <w:rFonts w:cs="Open Sans"/>
                <w:szCs w:val="18"/>
                <w:lang w:val="en-GB"/>
              </w:rPr>
            </w:pPr>
            <w:r w:rsidRPr="004A0C12">
              <w:rPr>
                <w:rFonts w:cs="Open Sans"/>
                <w:szCs w:val="18"/>
              </w:rPr>
              <w:t>D23</w:t>
            </w:r>
          </w:p>
        </w:tc>
        <w:tc>
          <w:tcPr>
            <w:tcW w:w="4819" w:type="dxa"/>
          </w:tcPr>
          <w:p w14:paraId="145D5D3E" w14:textId="77777777"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going through custody battles often make up or exaggerate claims of domestic violence in order to improve their case^</w:t>
            </w:r>
          </w:p>
        </w:tc>
        <w:tc>
          <w:tcPr>
            <w:tcW w:w="737" w:type="dxa"/>
          </w:tcPr>
          <w:p w14:paraId="5CCECABF" w14:textId="77777777"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444E1B6" w14:textId="77777777"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7ACDD704" w14:textId="4C46FBD9"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3.17</w:t>
            </w:r>
            <w:r w:rsidRPr="004A0C12">
              <w:rPr>
                <w:rFonts w:cs="Open Sans"/>
                <w:szCs w:val="18"/>
                <w:vertAlign w:val="superscript"/>
              </w:rPr>
              <w:t>c</w:t>
            </w:r>
          </w:p>
        </w:tc>
        <w:tc>
          <w:tcPr>
            <w:tcW w:w="1201" w:type="dxa"/>
          </w:tcPr>
          <w:p w14:paraId="40B23C5E" w14:textId="64D7F7B6"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22.41</w:t>
            </w:r>
          </w:p>
        </w:tc>
        <w:tc>
          <w:tcPr>
            <w:tcW w:w="1185" w:type="dxa"/>
          </w:tcPr>
          <w:p w14:paraId="181D5CD2" w14:textId="4BF3D8FB"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43.25</w:t>
            </w:r>
          </w:p>
        </w:tc>
        <w:tc>
          <w:tcPr>
            <w:tcW w:w="1111" w:type="dxa"/>
          </w:tcPr>
          <w:p w14:paraId="495762F4" w14:textId="09D5037F"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18.51</w:t>
            </w:r>
          </w:p>
        </w:tc>
        <w:tc>
          <w:tcPr>
            <w:tcW w:w="1205" w:type="dxa"/>
          </w:tcPr>
          <w:p w14:paraId="0654F06C" w14:textId="38149CED"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12.35</w:t>
            </w:r>
            <w:r w:rsidRPr="004A0C12">
              <w:rPr>
                <w:rFonts w:cs="Open Sans"/>
                <w:szCs w:val="18"/>
                <w:vertAlign w:val="superscript"/>
              </w:rPr>
              <w:t>c</w:t>
            </w:r>
          </w:p>
        </w:tc>
        <w:tc>
          <w:tcPr>
            <w:tcW w:w="1048" w:type="dxa"/>
          </w:tcPr>
          <w:p w14:paraId="7DCA6E00" w14:textId="3CF25787"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25.58</w:t>
            </w:r>
          </w:p>
        </w:tc>
        <w:tc>
          <w:tcPr>
            <w:tcW w:w="1144" w:type="dxa"/>
          </w:tcPr>
          <w:p w14:paraId="2361B854" w14:textId="4E3AB303" w:rsidR="00046322" w:rsidRPr="004A0C12" w:rsidRDefault="00046322"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61.76</w:t>
            </w:r>
          </w:p>
        </w:tc>
      </w:tr>
      <w:tr w:rsidR="008163F3" w:rsidRPr="004A0C12" w14:paraId="5B34C0B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5F870CA" w14:textId="645AA481" w:rsidR="008163F3" w:rsidRPr="004A0C12" w:rsidRDefault="008163F3" w:rsidP="006B3061">
            <w:pPr>
              <w:pStyle w:val="Tablebody"/>
              <w:rPr>
                <w:rFonts w:cs="Open Sans"/>
                <w:szCs w:val="18"/>
              </w:rPr>
            </w:pPr>
            <w:r w:rsidRPr="004A0C12">
              <w:rPr>
                <w:rFonts w:cs="Open Sans"/>
                <w:szCs w:val="18"/>
              </w:rPr>
              <w:t>D23</w:t>
            </w:r>
          </w:p>
        </w:tc>
        <w:tc>
          <w:tcPr>
            <w:tcW w:w="4819" w:type="dxa"/>
          </w:tcPr>
          <w:p w14:paraId="070BE3D5" w14:textId="3D8957BF" w:rsidR="008163F3" w:rsidRPr="0073256E"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going through custody battles often make up or exaggerate claims of domestic violence in order to improve their case^</w:t>
            </w:r>
          </w:p>
        </w:tc>
        <w:tc>
          <w:tcPr>
            <w:tcW w:w="737" w:type="dxa"/>
          </w:tcPr>
          <w:p w14:paraId="6E300BD0" w14:textId="58F807A3"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4442158F" w14:textId="3E49DC78"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3641F77A" w14:textId="39FE4493"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5.99</w:t>
            </w:r>
          </w:p>
        </w:tc>
        <w:tc>
          <w:tcPr>
            <w:tcW w:w="1201" w:type="dxa"/>
          </w:tcPr>
          <w:p w14:paraId="1BBFC5B6" w14:textId="6A9981C2"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25.55</w:t>
            </w:r>
          </w:p>
        </w:tc>
        <w:tc>
          <w:tcPr>
            <w:tcW w:w="1185" w:type="dxa"/>
          </w:tcPr>
          <w:p w14:paraId="2710880C" w14:textId="1E13DED3"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31.22</w:t>
            </w:r>
          </w:p>
        </w:tc>
        <w:tc>
          <w:tcPr>
            <w:tcW w:w="1111" w:type="dxa"/>
          </w:tcPr>
          <w:p w14:paraId="403FFF4A" w14:textId="7B57F4FA"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23.59</w:t>
            </w:r>
          </w:p>
        </w:tc>
        <w:tc>
          <w:tcPr>
            <w:tcW w:w="1205" w:type="dxa"/>
          </w:tcPr>
          <w:p w14:paraId="723185EF" w14:textId="785E2117"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13.42</w:t>
            </w:r>
          </w:p>
        </w:tc>
        <w:tc>
          <w:tcPr>
            <w:tcW w:w="1048" w:type="dxa"/>
          </w:tcPr>
          <w:p w14:paraId="70EC09AC" w14:textId="4E285C60"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31.54</w:t>
            </w:r>
          </w:p>
        </w:tc>
        <w:tc>
          <w:tcPr>
            <w:tcW w:w="1144" w:type="dxa"/>
          </w:tcPr>
          <w:p w14:paraId="2A3C0266" w14:textId="7D6CB3CD" w:rsidR="008163F3" w:rsidRPr="009B0154"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54.81</w:t>
            </w:r>
          </w:p>
        </w:tc>
      </w:tr>
      <w:tr w:rsidR="008163F3" w:rsidRPr="004A0C12" w14:paraId="44452EC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9534554" w14:textId="77777777" w:rsidR="008163F3" w:rsidRPr="004A0C12" w:rsidRDefault="008163F3" w:rsidP="006B3061">
            <w:pPr>
              <w:pStyle w:val="Tablebody"/>
              <w:rPr>
                <w:rFonts w:cs="Open Sans"/>
                <w:szCs w:val="18"/>
                <w:lang w:val="en-GB"/>
              </w:rPr>
            </w:pPr>
            <w:r w:rsidRPr="004A0C12">
              <w:rPr>
                <w:rFonts w:cs="Open Sans"/>
                <w:szCs w:val="18"/>
              </w:rPr>
              <w:t>D27</w:t>
            </w:r>
          </w:p>
        </w:tc>
        <w:tc>
          <w:tcPr>
            <w:tcW w:w="4819" w:type="dxa"/>
          </w:tcPr>
          <w:p w14:paraId="3A97A386" w14:textId="77777777"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keeps going back to her abusive partner, then the violence can’t be very serious^</w:t>
            </w:r>
          </w:p>
        </w:tc>
        <w:tc>
          <w:tcPr>
            <w:tcW w:w="737" w:type="dxa"/>
          </w:tcPr>
          <w:p w14:paraId="666916C1" w14:textId="77777777"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689AEA77" w14:textId="77777777"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1A702741" w14:textId="7084E764"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2.69</w:t>
            </w:r>
            <w:r w:rsidRPr="004A0C12">
              <w:rPr>
                <w:rFonts w:cs="Open Sans"/>
                <w:szCs w:val="18"/>
                <w:vertAlign w:val="superscript"/>
              </w:rPr>
              <w:t>c</w:t>
            </w:r>
          </w:p>
        </w:tc>
        <w:tc>
          <w:tcPr>
            <w:tcW w:w="1201" w:type="dxa"/>
          </w:tcPr>
          <w:p w14:paraId="72F5E090" w14:textId="35ADED60"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12.85</w:t>
            </w:r>
            <w:r w:rsidRPr="004A0C12">
              <w:rPr>
                <w:rFonts w:cs="Open Sans"/>
                <w:szCs w:val="18"/>
                <w:vertAlign w:val="superscript"/>
              </w:rPr>
              <w:t>c</w:t>
            </w:r>
          </w:p>
        </w:tc>
        <w:tc>
          <w:tcPr>
            <w:tcW w:w="1185" w:type="dxa"/>
          </w:tcPr>
          <w:p w14:paraId="7F943A76" w14:textId="6C785410"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25.77</w:t>
            </w:r>
          </w:p>
        </w:tc>
        <w:tc>
          <w:tcPr>
            <w:tcW w:w="1111" w:type="dxa"/>
          </w:tcPr>
          <w:p w14:paraId="630F451C" w14:textId="5F3DE1FF"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57.53</w:t>
            </w:r>
          </w:p>
        </w:tc>
        <w:tc>
          <w:tcPr>
            <w:tcW w:w="1205" w:type="dxa"/>
          </w:tcPr>
          <w:p w14:paraId="02A6AEBA" w14:textId="6413DAF6"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1.17</w:t>
            </w:r>
            <w:r w:rsidRPr="004A0C12">
              <w:rPr>
                <w:rFonts w:cs="Open Sans"/>
                <w:szCs w:val="18"/>
                <w:vertAlign w:val="superscript"/>
              </w:rPr>
              <w:t>c</w:t>
            </w:r>
          </w:p>
        </w:tc>
        <w:tc>
          <w:tcPr>
            <w:tcW w:w="1048" w:type="dxa"/>
          </w:tcPr>
          <w:p w14:paraId="75235552" w14:textId="1969D21D"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15.54</w:t>
            </w:r>
            <w:r w:rsidRPr="004A0C12">
              <w:rPr>
                <w:rFonts w:cs="Open Sans"/>
                <w:szCs w:val="18"/>
                <w:vertAlign w:val="superscript"/>
              </w:rPr>
              <w:t>c</w:t>
            </w:r>
          </w:p>
        </w:tc>
        <w:tc>
          <w:tcPr>
            <w:tcW w:w="1144" w:type="dxa"/>
          </w:tcPr>
          <w:p w14:paraId="2EDF36C7" w14:textId="0BAE54F7" w:rsidR="008163F3" w:rsidRPr="004A0C12" w:rsidRDefault="008163F3"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83.29</w:t>
            </w:r>
          </w:p>
        </w:tc>
      </w:tr>
      <w:tr w:rsidR="00FB49CB" w:rsidRPr="004A0C12" w14:paraId="7F46BEA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52FBABE" w14:textId="5CAEA892" w:rsidR="00FB49CB" w:rsidRPr="004A0C12" w:rsidRDefault="00FB49CB" w:rsidP="006B3061">
            <w:pPr>
              <w:pStyle w:val="Tablebody"/>
              <w:rPr>
                <w:rFonts w:cs="Open Sans"/>
                <w:szCs w:val="18"/>
              </w:rPr>
            </w:pPr>
            <w:r w:rsidRPr="004A0C12">
              <w:rPr>
                <w:rFonts w:cs="Open Sans"/>
                <w:szCs w:val="18"/>
              </w:rPr>
              <w:t>D27</w:t>
            </w:r>
          </w:p>
        </w:tc>
        <w:tc>
          <w:tcPr>
            <w:tcW w:w="4819" w:type="dxa"/>
          </w:tcPr>
          <w:p w14:paraId="331BC2C5" w14:textId="407AEA01"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keeps going back to her abusive partner, then the violence can’t be very serious^</w:t>
            </w:r>
          </w:p>
        </w:tc>
        <w:tc>
          <w:tcPr>
            <w:tcW w:w="737" w:type="dxa"/>
          </w:tcPr>
          <w:p w14:paraId="4B0BDECD" w14:textId="466FFA0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216F3325" w14:textId="50D804A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4209CFA8" w14:textId="0A3795A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3.87</w:t>
            </w:r>
          </w:p>
        </w:tc>
        <w:tc>
          <w:tcPr>
            <w:tcW w:w="1201" w:type="dxa"/>
          </w:tcPr>
          <w:p w14:paraId="0D70493C" w14:textId="1173C08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8.11</w:t>
            </w:r>
          </w:p>
        </w:tc>
        <w:tc>
          <w:tcPr>
            <w:tcW w:w="1185" w:type="dxa"/>
          </w:tcPr>
          <w:p w14:paraId="27B6372C" w14:textId="20AD53E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17.02</w:t>
            </w:r>
          </w:p>
        </w:tc>
        <w:tc>
          <w:tcPr>
            <w:tcW w:w="1111" w:type="dxa"/>
          </w:tcPr>
          <w:p w14:paraId="146F6B8D" w14:textId="3479B25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69.63</w:t>
            </w:r>
          </w:p>
        </w:tc>
        <w:tc>
          <w:tcPr>
            <w:tcW w:w="1205" w:type="dxa"/>
          </w:tcPr>
          <w:p w14:paraId="117DCE87" w14:textId="3BBBAE7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1.38</w:t>
            </w:r>
            <w:r w:rsidRPr="004A0C12">
              <w:rPr>
                <w:rFonts w:cs="Open Sans"/>
                <w:szCs w:val="18"/>
                <w:vertAlign w:val="superscript"/>
              </w:rPr>
              <w:t>c</w:t>
            </w:r>
          </w:p>
        </w:tc>
        <w:tc>
          <w:tcPr>
            <w:tcW w:w="1048" w:type="dxa"/>
          </w:tcPr>
          <w:p w14:paraId="2268BD67" w14:textId="2A21C70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11.98</w:t>
            </w:r>
          </w:p>
        </w:tc>
        <w:tc>
          <w:tcPr>
            <w:tcW w:w="1144" w:type="dxa"/>
          </w:tcPr>
          <w:p w14:paraId="2736E047" w14:textId="6CDE2F2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86.64</w:t>
            </w:r>
          </w:p>
        </w:tc>
      </w:tr>
      <w:tr w:rsidR="00FB49CB" w:rsidRPr="004A0C12" w14:paraId="55EA186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19051EE" w14:textId="77777777" w:rsidR="00FB49CB" w:rsidRPr="004A0C12" w:rsidRDefault="00FB49CB" w:rsidP="006B3061">
            <w:pPr>
              <w:pStyle w:val="Tablebody"/>
              <w:rPr>
                <w:rFonts w:cs="Open Sans"/>
                <w:szCs w:val="18"/>
                <w:lang w:val="en-GB"/>
              </w:rPr>
            </w:pPr>
            <w:r w:rsidRPr="004A0C12">
              <w:rPr>
                <w:rFonts w:cs="Open Sans"/>
                <w:szCs w:val="18"/>
              </w:rPr>
              <w:t>D28</w:t>
            </w:r>
          </w:p>
        </w:tc>
        <w:tc>
          <w:tcPr>
            <w:tcW w:w="4819" w:type="dxa"/>
          </w:tcPr>
          <w:p w14:paraId="18A3BFC6"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It’s easy for a woman to leave an abusive relationship^</w:t>
            </w:r>
          </w:p>
        </w:tc>
        <w:tc>
          <w:tcPr>
            <w:tcW w:w="737" w:type="dxa"/>
          </w:tcPr>
          <w:p w14:paraId="5D00DE21"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5567D1C"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3E4D40F0" w14:textId="542DF2A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5.65</w:t>
            </w:r>
            <w:r w:rsidRPr="004A0C12">
              <w:rPr>
                <w:rFonts w:cs="Open Sans"/>
                <w:szCs w:val="18"/>
                <w:vertAlign w:val="superscript"/>
              </w:rPr>
              <w:t>c</w:t>
            </w:r>
          </w:p>
        </w:tc>
        <w:tc>
          <w:tcPr>
            <w:tcW w:w="1201" w:type="dxa"/>
          </w:tcPr>
          <w:p w14:paraId="6C1BFDB5" w14:textId="01C289C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3.46</w:t>
            </w:r>
            <w:r w:rsidRPr="004A0C12">
              <w:rPr>
                <w:rFonts w:cs="Open Sans"/>
                <w:szCs w:val="18"/>
                <w:vertAlign w:val="superscript"/>
              </w:rPr>
              <w:t>c</w:t>
            </w:r>
          </w:p>
        </w:tc>
        <w:tc>
          <w:tcPr>
            <w:tcW w:w="1185" w:type="dxa"/>
          </w:tcPr>
          <w:p w14:paraId="38643BE4" w14:textId="1F2C1EA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15.43</w:t>
            </w:r>
            <w:r w:rsidRPr="004A0C12">
              <w:rPr>
                <w:rFonts w:cs="Open Sans"/>
                <w:szCs w:val="18"/>
                <w:vertAlign w:val="superscript"/>
              </w:rPr>
              <w:t>c</w:t>
            </w:r>
          </w:p>
        </w:tc>
        <w:tc>
          <w:tcPr>
            <w:tcW w:w="1111" w:type="dxa"/>
          </w:tcPr>
          <w:p w14:paraId="41C950A5" w14:textId="0FA1E53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74.29</w:t>
            </w:r>
          </w:p>
        </w:tc>
        <w:tc>
          <w:tcPr>
            <w:tcW w:w="1205" w:type="dxa"/>
          </w:tcPr>
          <w:p w14:paraId="040AB297" w14:textId="6CC827F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1.17</w:t>
            </w:r>
            <w:r w:rsidRPr="004A0C12">
              <w:rPr>
                <w:rFonts w:cs="Open Sans"/>
                <w:szCs w:val="18"/>
                <w:vertAlign w:val="superscript"/>
              </w:rPr>
              <w:t>c</w:t>
            </w:r>
          </w:p>
        </w:tc>
        <w:tc>
          <w:tcPr>
            <w:tcW w:w="1048" w:type="dxa"/>
          </w:tcPr>
          <w:p w14:paraId="13BB65A0" w14:textId="55B18A6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9.12</w:t>
            </w:r>
            <w:r w:rsidRPr="004A0C12">
              <w:rPr>
                <w:rFonts w:cs="Open Sans"/>
                <w:szCs w:val="18"/>
                <w:vertAlign w:val="superscript"/>
              </w:rPr>
              <w:t>c</w:t>
            </w:r>
          </w:p>
        </w:tc>
        <w:tc>
          <w:tcPr>
            <w:tcW w:w="1144" w:type="dxa"/>
          </w:tcPr>
          <w:p w14:paraId="1CCF407F" w14:textId="50E34A1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89.72</w:t>
            </w:r>
          </w:p>
        </w:tc>
      </w:tr>
      <w:tr w:rsidR="00FB49CB" w:rsidRPr="004A0C12" w14:paraId="3111AA10"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249C6BB" w14:textId="488CE417" w:rsidR="00FB49CB" w:rsidRPr="004A0C12" w:rsidRDefault="00FB49CB" w:rsidP="006B3061">
            <w:pPr>
              <w:pStyle w:val="Tablebody"/>
              <w:rPr>
                <w:rFonts w:cs="Open Sans"/>
                <w:szCs w:val="18"/>
              </w:rPr>
            </w:pPr>
            <w:r w:rsidRPr="004A0C12">
              <w:rPr>
                <w:rFonts w:cs="Open Sans"/>
                <w:szCs w:val="18"/>
              </w:rPr>
              <w:t>D28</w:t>
            </w:r>
          </w:p>
        </w:tc>
        <w:tc>
          <w:tcPr>
            <w:tcW w:w="4819" w:type="dxa"/>
          </w:tcPr>
          <w:p w14:paraId="33599E7E" w14:textId="4D8F5694"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It’s easy for a woman to leave an abusive relationship^</w:t>
            </w:r>
          </w:p>
        </w:tc>
        <w:tc>
          <w:tcPr>
            <w:tcW w:w="737" w:type="dxa"/>
          </w:tcPr>
          <w:p w14:paraId="10222836" w14:textId="0EF941B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096D4A54" w14:textId="0B5AA3B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40C94086" w14:textId="2F47204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5.76</w:t>
            </w:r>
          </w:p>
        </w:tc>
        <w:tc>
          <w:tcPr>
            <w:tcW w:w="1201" w:type="dxa"/>
          </w:tcPr>
          <w:p w14:paraId="03BD1D84" w14:textId="56AD651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3.89</w:t>
            </w:r>
          </w:p>
        </w:tc>
        <w:tc>
          <w:tcPr>
            <w:tcW w:w="1185" w:type="dxa"/>
          </w:tcPr>
          <w:p w14:paraId="0921F359" w14:textId="550BC00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22.93</w:t>
            </w:r>
          </w:p>
        </w:tc>
        <w:tc>
          <w:tcPr>
            <w:tcW w:w="1111" w:type="dxa"/>
          </w:tcPr>
          <w:p w14:paraId="76815F1E" w14:textId="3ED3A25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65.64</w:t>
            </w:r>
          </w:p>
        </w:tc>
        <w:tc>
          <w:tcPr>
            <w:tcW w:w="1205" w:type="dxa"/>
          </w:tcPr>
          <w:p w14:paraId="5C2AEE2B" w14:textId="5808BC5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1.78</w:t>
            </w:r>
            <w:r w:rsidRPr="004A0C12">
              <w:rPr>
                <w:rFonts w:cs="Open Sans"/>
                <w:szCs w:val="18"/>
                <w:vertAlign w:val="superscript"/>
              </w:rPr>
              <w:t>c</w:t>
            </w:r>
          </w:p>
        </w:tc>
        <w:tc>
          <w:tcPr>
            <w:tcW w:w="1048" w:type="dxa"/>
          </w:tcPr>
          <w:p w14:paraId="75FFD397" w14:textId="622E981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9.65</w:t>
            </w:r>
          </w:p>
        </w:tc>
        <w:tc>
          <w:tcPr>
            <w:tcW w:w="1144" w:type="dxa"/>
          </w:tcPr>
          <w:p w14:paraId="72653E3D" w14:textId="308EA56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88.58</w:t>
            </w:r>
          </w:p>
        </w:tc>
      </w:tr>
      <w:tr w:rsidR="00FB49CB" w:rsidRPr="004A0C12" w14:paraId="2ED0A1A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4C0E5D3" w14:textId="77777777" w:rsidR="00FB49CB" w:rsidRPr="004A0C12" w:rsidRDefault="00FB49CB" w:rsidP="006B3061">
            <w:pPr>
              <w:pStyle w:val="Tablebody"/>
              <w:rPr>
                <w:rFonts w:cs="Open Sans"/>
                <w:szCs w:val="18"/>
                <w:lang w:val="en-GB"/>
              </w:rPr>
            </w:pPr>
            <w:r w:rsidRPr="004A0C12">
              <w:rPr>
                <w:rFonts w:cs="Open Sans"/>
                <w:szCs w:val="18"/>
              </w:rPr>
              <w:t>D29</w:t>
            </w:r>
          </w:p>
        </w:tc>
        <w:tc>
          <w:tcPr>
            <w:tcW w:w="4819" w:type="dxa"/>
          </w:tcPr>
          <w:p w14:paraId="073DA885"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A female victim who does not leave an abusive partner is partly responsible for the abuse continuing</w:t>
            </w:r>
          </w:p>
        </w:tc>
        <w:tc>
          <w:tcPr>
            <w:tcW w:w="737" w:type="dxa"/>
          </w:tcPr>
          <w:p w14:paraId="6376BA20"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5CCF4639"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417270C5" w14:textId="3F69092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3.48</w:t>
            </w:r>
            <w:r w:rsidRPr="004A0C12">
              <w:rPr>
                <w:rFonts w:cs="Open Sans"/>
                <w:szCs w:val="18"/>
                <w:vertAlign w:val="superscript"/>
              </w:rPr>
              <w:t>c</w:t>
            </w:r>
          </w:p>
        </w:tc>
        <w:tc>
          <w:tcPr>
            <w:tcW w:w="1201" w:type="dxa"/>
          </w:tcPr>
          <w:p w14:paraId="30F7338B" w14:textId="2718705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24.43</w:t>
            </w:r>
          </w:p>
        </w:tc>
        <w:tc>
          <w:tcPr>
            <w:tcW w:w="1185" w:type="dxa"/>
          </w:tcPr>
          <w:p w14:paraId="74EB014B" w14:textId="6F9A030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22.75</w:t>
            </w:r>
          </w:p>
        </w:tc>
        <w:tc>
          <w:tcPr>
            <w:tcW w:w="1111" w:type="dxa"/>
          </w:tcPr>
          <w:p w14:paraId="1404E484" w14:textId="0274274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48.07</w:t>
            </w:r>
          </w:p>
        </w:tc>
        <w:tc>
          <w:tcPr>
            <w:tcW w:w="1205" w:type="dxa"/>
          </w:tcPr>
          <w:p w14:paraId="37BBC79E" w14:textId="3BF70AF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1.28</w:t>
            </w:r>
            <w:r w:rsidRPr="004A0C12">
              <w:rPr>
                <w:rFonts w:cs="Open Sans"/>
                <w:szCs w:val="18"/>
                <w:vertAlign w:val="superscript"/>
              </w:rPr>
              <w:t>c</w:t>
            </w:r>
          </w:p>
        </w:tc>
        <w:tc>
          <w:tcPr>
            <w:tcW w:w="1048" w:type="dxa"/>
          </w:tcPr>
          <w:p w14:paraId="3F88CDCD" w14:textId="3D14682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27.90</w:t>
            </w:r>
          </w:p>
        </w:tc>
        <w:tc>
          <w:tcPr>
            <w:tcW w:w="1144" w:type="dxa"/>
          </w:tcPr>
          <w:p w14:paraId="43FF28E5" w14:textId="52EC55F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70.82</w:t>
            </w:r>
          </w:p>
        </w:tc>
      </w:tr>
      <w:tr w:rsidR="00FB49CB" w:rsidRPr="004A0C12" w14:paraId="67AC065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E32D1BB" w14:textId="7246FA70" w:rsidR="00FB49CB" w:rsidRPr="004A0C12" w:rsidRDefault="00FB49CB" w:rsidP="006B3061">
            <w:pPr>
              <w:pStyle w:val="Tablebody"/>
              <w:rPr>
                <w:rFonts w:cs="Open Sans"/>
                <w:szCs w:val="18"/>
              </w:rPr>
            </w:pPr>
            <w:r w:rsidRPr="004A0C12">
              <w:rPr>
                <w:rFonts w:cs="Open Sans"/>
                <w:szCs w:val="18"/>
              </w:rPr>
              <w:t>D29</w:t>
            </w:r>
          </w:p>
        </w:tc>
        <w:tc>
          <w:tcPr>
            <w:tcW w:w="4819" w:type="dxa"/>
          </w:tcPr>
          <w:p w14:paraId="6EA4B193" w14:textId="3CCBA5D6"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A female victim who does not leave an abusive partner is partly responsible for the abuse continuing</w:t>
            </w:r>
          </w:p>
        </w:tc>
        <w:tc>
          <w:tcPr>
            <w:tcW w:w="737" w:type="dxa"/>
          </w:tcPr>
          <w:p w14:paraId="3F3D3F8D" w14:textId="6BA5D78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2BBBD479" w14:textId="544B7A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5FD2EE09" w14:textId="6EA6084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5.02</w:t>
            </w:r>
          </w:p>
        </w:tc>
        <w:tc>
          <w:tcPr>
            <w:tcW w:w="1201" w:type="dxa"/>
          </w:tcPr>
          <w:p w14:paraId="3A02C56F" w14:textId="7297D4C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21.05</w:t>
            </w:r>
          </w:p>
        </w:tc>
        <w:tc>
          <w:tcPr>
            <w:tcW w:w="1185" w:type="dxa"/>
          </w:tcPr>
          <w:p w14:paraId="175CF7F6" w14:textId="45CB63A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20.64</w:t>
            </w:r>
          </w:p>
        </w:tc>
        <w:tc>
          <w:tcPr>
            <w:tcW w:w="1111" w:type="dxa"/>
          </w:tcPr>
          <w:p w14:paraId="64A15A87" w14:textId="26BB243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50.88</w:t>
            </w:r>
          </w:p>
        </w:tc>
        <w:tc>
          <w:tcPr>
            <w:tcW w:w="1205" w:type="dxa"/>
          </w:tcPr>
          <w:p w14:paraId="1D1AD5CC" w14:textId="7469E3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2.41</w:t>
            </w:r>
          </w:p>
        </w:tc>
        <w:tc>
          <w:tcPr>
            <w:tcW w:w="1048" w:type="dxa"/>
          </w:tcPr>
          <w:p w14:paraId="2988A40A" w14:textId="1D484BF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26.07</w:t>
            </w:r>
          </w:p>
        </w:tc>
        <w:tc>
          <w:tcPr>
            <w:tcW w:w="1144" w:type="dxa"/>
          </w:tcPr>
          <w:p w14:paraId="7A09DE8F" w14:textId="7997D0D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71.52</w:t>
            </w:r>
          </w:p>
        </w:tc>
      </w:tr>
      <w:tr w:rsidR="00FB49CB" w:rsidRPr="004A0C12" w14:paraId="61A7438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045AC36" w14:textId="77777777" w:rsidR="00FB49CB" w:rsidRPr="004A0C12" w:rsidRDefault="00FB49CB" w:rsidP="006B3061">
            <w:pPr>
              <w:pStyle w:val="Tablebody"/>
              <w:rPr>
                <w:rFonts w:cs="Open Sans"/>
                <w:szCs w:val="18"/>
                <w:lang w:val="en-GB"/>
              </w:rPr>
            </w:pPr>
            <w:r w:rsidRPr="004A0C12">
              <w:rPr>
                <w:rFonts w:cs="Open Sans"/>
                <w:szCs w:val="18"/>
              </w:rPr>
              <w:t>S1</w:t>
            </w:r>
          </w:p>
        </w:tc>
        <w:tc>
          <w:tcPr>
            <w:tcW w:w="4819" w:type="dxa"/>
          </w:tcPr>
          <w:p w14:paraId="0BEC42AD"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with mental health issues who report being sexually assaulted are probably lying</w:t>
            </w:r>
            <w:r w:rsidRPr="0073256E">
              <w:rPr>
                <w:rFonts w:ascii="Montserrat" w:hAnsi="Montserrat" w:cs="Montserrat"/>
                <w:szCs w:val="18"/>
                <w:lang w:val="en-US"/>
              </w:rPr>
              <w:t>~</w:t>
            </w:r>
          </w:p>
        </w:tc>
        <w:tc>
          <w:tcPr>
            <w:tcW w:w="737" w:type="dxa"/>
          </w:tcPr>
          <w:p w14:paraId="01C69D07"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B82BD8C"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44</w:t>
            </w:r>
          </w:p>
        </w:tc>
        <w:tc>
          <w:tcPr>
            <w:tcW w:w="1129" w:type="dxa"/>
          </w:tcPr>
          <w:p w14:paraId="3BCA134E" w14:textId="6E84F8F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A0C12">
              <w:rPr>
                <w:rFonts w:cs="Open Sans"/>
                <w:szCs w:val="18"/>
              </w:rPr>
              <w:t>0.00</w:t>
            </w:r>
          </w:p>
        </w:tc>
        <w:tc>
          <w:tcPr>
            <w:tcW w:w="1201" w:type="dxa"/>
          </w:tcPr>
          <w:p w14:paraId="65606612" w14:textId="73BFE30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7.57</w:t>
            </w:r>
            <w:r w:rsidRPr="004A0C12">
              <w:rPr>
                <w:rFonts w:cs="Open Sans"/>
                <w:szCs w:val="18"/>
                <w:vertAlign w:val="superscript"/>
              </w:rPr>
              <w:t>c</w:t>
            </w:r>
          </w:p>
        </w:tc>
        <w:tc>
          <w:tcPr>
            <w:tcW w:w="1185" w:type="dxa"/>
          </w:tcPr>
          <w:p w14:paraId="1F72AB4A" w14:textId="2374E2A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24.71</w:t>
            </w:r>
            <w:r w:rsidRPr="004A0C12">
              <w:rPr>
                <w:rFonts w:cs="Open Sans"/>
                <w:szCs w:val="18"/>
                <w:vertAlign w:val="superscript"/>
              </w:rPr>
              <w:t>c</w:t>
            </w:r>
          </w:p>
        </w:tc>
        <w:tc>
          <w:tcPr>
            <w:tcW w:w="1111" w:type="dxa"/>
          </w:tcPr>
          <w:p w14:paraId="69587C36" w14:textId="01A7CA7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65.06</w:t>
            </w:r>
          </w:p>
        </w:tc>
        <w:tc>
          <w:tcPr>
            <w:tcW w:w="1205" w:type="dxa"/>
          </w:tcPr>
          <w:p w14:paraId="1FEC107B" w14:textId="1D0F3AA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61A47D5F" w14:textId="1C2FDC4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7.57</w:t>
            </w:r>
            <w:r w:rsidRPr="004A0C12">
              <w:rPr>
                <w:rFonts w:cs="Open Sans"/>
                <w:szCs w:val="18"/>
                <w:vertAlign w:val="superscript"/>
              </w:rPr>
              <w:t>c</w:t>
            </w:r>
          </w:p>
        </w:tc>
        <w:tc>
          <w:tcPr>
            <w:tcW w:w="1144" w:type="dxa"/>
          </w:tcPr>
          <w:p w14:paraId="5902F614" w14:textId="6C4A096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89.77</w:t>
            </w:r>
          </w:p>
        </w:tc>
      </w:tr>
      <w:tr w:rsidR="00FB49CB" w:rsidRPr="004A0C12" w14:paraId="435E0ED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045E9E1" w14:textId="44B1A772" w:rsidR="00FB49CB" w:rsidRPr="004A0C12" w:rsidRDefault="00FB49CB" w:rsidP="006B3061">
            <w:pPr>
              <w:pStyle w:val="Tablebody"/>
              <w:rPr>
                <w:rFonts w:cs="Open Sans"/>
                <w:szCs w:val="18"/>
              </w:rPr>
            </w:pPr>
            <w:r w:rsidRPr="004A0C12">
              <w:rPr>
                <w:rFonts w:cs="Open Sans"/>
                <w:szCs w:val="18"/>
              </w:rPr>
              <w:t>S1</w:t>
            </w:r>
          </w:p>
        </w:tc>
        <w:tc>
          <w:tcPr>
            <w:tcW w:w="4819" w:type="dxa"/>
          </w:tcPr>
          <w:p w14:paraId="152A002F" w14:textId="75692337"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with mental health issues who report being sexually assaulted are probably lying</w:t>
            </w:r>
            <w:r w:rsidRPr="0073256E">
              <w:rPr>
                <w:rFonts w:ascii="Montserrat" w:hAnsi="Montserrat" w:cs="Montserrat"/>
                <w:szCs w:val="18"/>
                <w:lang w:val="en-US"/>
              </w:rPr>
              <w:t>~</w:t>
            </w:r>
          </w:p>
        </w:tc>
        <w:tc>
          <w:tcPr>
            <w:tcW w:w="737" w:type="dxa"/>
          </w:tcPr>
          <w:p w14:paraId="0755BB55" w14:textId="5D78FDB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7F006CD2" w14:textId="05AA8F1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364</w:t>
            </w:r>
          </w:p>
        </w:tc>
        <w:tc>
          <w:tcPr>
            <w:tcW w:w="1129" w:type="dxa"/>
          </w:tcPr>
          <w:p w14:paraId="4E5BA87C" w14:textId="7B3FC92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1.66</w:t>
            </w:r>
            <w:r w:rsidRPr="004A0C12">
              <w:rPr>
                <w:rFonts w:cs="Open Sans"/>
                <w:szCs w:val="18"/>
                <w:vertAlign w:val="superscript"/>
              </w:rPr>
              <w:t>c</w:t>
            </w:r>
          </w:p>
        </w:tc>
        <w:tc>
          <w:tcPr>
            <w:tcW w:w="1201" w:type="dxa"/>
          </w:tcPr>
          <w:p w14:paraId="2D5B7431" w14:textId="5915DE8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6.86</w:t>
            </w:r>
          </w:p>
        </w:tc>
        <w:tc>
          <w:tcPr>
            <w:tcW w:w="1185" w:type="dxa"/>
          </w:tcPr>
          <w:p w14:paraId="288538CB" w14:textId="37069B6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20.64</w:t>
            </w:r>
          </w:p>
        </w:tc>
        <w:tc>
          <w:tcPr>
            <w:tcW w:w="1111" w:type="dxa"/>
          </w:tcPr>
          <w:p w14:paraId="19E0980B" w14:textId="1384F81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67.25</w:t>
            </w:r>
          </w:p>
        </w:tc>
        <w:tc>
          <w:tcPr>
            <w:tcW w:w="1205" w:type="dxa"/>
          </w:tcPr>
          <w:p w14:paraId="58359EBC" w14:textId="6F2E683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3.35</w:t>
            </w:r>
            <w:r w:rsidRPr="004A0C12">
              <w:rPr>
                <w:rFonts w:cs="Open Sans"/>
                <w:szCs w:val="18"/>
                <w:vertAlign w:val="superscript"/>
              </w:rPr>
              <w:t>c</w:t>
            </w:r>
          </w:p>
        </w:tc>
        <w:tc>
          <w:tcPr>
            <w:tcW w:w="1048" w:type="dxa"/>
          </w:tcPr>
          <w:p w14:paraId="1C1769BE" w14:textId="6261DCD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8.51</w:t>
            </w:r>
          </w:p>
        </w:tc>
        <w:tc>
          <w:tcPr>
            <w:tcW w:w="1144" w:type="dxa"/>
          </w:tcPr>
          <w:p w14:paraId="49405086" w14:textId="5F62783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87.88</w:t>
            </w:r>
          </w:p>
        </w:tc>
      </w:tr>
      <w:tr w:rsidR="00FB49CB" w:rsidRPr="004A0C12" w14:paraId="5C241425"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A3D0254" w14:textId="77777777" w:rsidR="00FB49CB" w:rsidRPr="004A0C12" w:rsidRDefault="00FB49CB" w:rsidP="006B3061">
            <w:pPr>
              <w:pStyle w:val="Tablebody"/>
              <w:rPr>
                <w:rFonts w:cs="Open Sans"/>
                <w:szCs w:val="18"/>
                <w:lang w:val="en-GB"/>
              </w:rPr>
            </w:pPr>
            <w:r w:rsidRPr="004A0C12">
              <w:rPr>
                <w:rFonts w:cs="Open Sans"/>
                <w:szCs w:val="18"/>
              </w:rPr>
              <w:t>S2</w:t>
            </w:r>
          </w:p>
        </w:tc>
        <w:tc>
          <w:tcPr>
            <w:tcW w:w="4819" w:type="dxa"/>
          </w:tcPr>
          <w:p w14:paraId="218F1BD2"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When lesbian or bisexual women claim to have been sexually assaulted by their partner, they probably shouldn’t be taken too seriously</w:t>
            </w:r>
            <w:r w:rsidRPr="0073256E">
              <w:rPr>
                <w:rFonts w:ascii="Montserrat" w:hAnsi="Montserrat" w:cs="Montserrat"/>
                <w:szCs w:val="18"/>
                <w:lang w:val="en-US"/>
              </w:rPr>
              <w:t>~</w:t>
            </w:r>
          </w:p>
        </w:tc>
        <w:tc>
          <w:tcPr>
            <w:tcW w:w="737" w:type="dxa"/>
          </w:tcPr>
          <w:p w14:paraId="0A2B0FD3"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10ABE89"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44</w:t>
            </w:r>
          </w:p>
        </w:tc>
        <w:tc>
          <w:tcPr>
            <w:tcW w:w="1129" w:type="dxa"/>
          </w:tcPr>
          <w:p w14:paraId="1B3D4A68" w14:textId="1E0E902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2.49</w:t>
            </w:r>
            <w:r w:rsidRPr="004A0C12">
              <w:rPr>
                <w:rFonts w:cs="Open Sans"/>
                <w:szCs w:val="18"/>
                <w:vertAlign w:val="superscript"/>
              </w:rPr>
              <w:t>c</w:t>
            </w:r>
          </w:p>
        </w:tc>
        <w:tc>
          <w:tcPr>
            <w:tcW w:w="1201" w:type="dxa"/>
          </w:tcPr>
          <w:p w14:paraId="04C57D2C" w14:textId="785AE03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185" w:type="dxa"/>
          </w:tcPr>
          <w:p w14:paraId="1D0E0AE1" w14:textId="7ABC00B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11.30</w:t>
            </w:r>
            <w:r w:rsidRPr="004A0C12">
              <w:rPr>
                <w:rFonts w:cs="Open Sans"/>
                <w:szCs w:val="18"/>
                <w:vertAlign w:val="superscript"/>
              </w:rPr>
              <w:t>c</w:t>
            </w:r>
          </w:p>
        </w:tc>
        <w:tc>
          <w:tcPr>
            <w:tcW w:w="1111" w:type="dxa"/>
          </w:tcPr>
          <w:p w14:paraId="03AE97F9" w14:textId="5159131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86.21</w:t>
            </w:r>
          </w:p>
        </w:tc>
        <w:tc>
          <w:tcPr>
            <w:tcW w:w="1205" w:type="dxa"/>
          </w:tcPr>
          <w:p w14:paraId="5C1DDFD4" w14:textId="613D791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607A4BDA" w14:textId="1D8138C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2.49</w:t>
            </w:r>
            <w:r w:rsidRPr="004A0C12">
              <w:rPr>
                <w:rFonts w:cs="Open Sans"/>
                <w:szCs w:val="18"/>
                <w:vertAlign w:val="superscript"/>
              </w:rPr>
              <w:t>c</w:t>
            </w:r>
          </w:p>
        </w:tc>
        <w:tc>
          <w:tcPr>
            <w:tcW w:w="1144" w:type="dxa"/>
          </w:tcPr>
          <w:p w14:paraId="3D7F6A76" w14:textId="0E5A981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97.51</w:t>
            </w:r>
          </w:p>
        </w:tc>
      </w:tr>
      <w:tr w:rsidR="00FB49CB" w:rsidRPr="004A0C12" w14:paraId="122116C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3D3A39F" w14:textId="6F8BAC24" w:rsidR="00FB49CB" w:rsidRPr="004A0C12" w:rsidRDefault="00FB49CB" w:rsidP="006B3061">
            <w:pPr>
              <w:pStyle w:val="Tablebody"/>
              <w:rPr>
                <w:rFonts w:cs="Open Sans"/>
                <w:szCs w:val="18"/>
              </w:rPr>
            </w:pPr>
            <w:r w:rsidRPr="004A0C12">
              <w:rPr>
                <w:rFonts w:cs="Open Sans"/>
                <w:szCs w:val="18"/>
              </w:rPr>
              <w:t>S2</w:t>
            </w:r>
          </w:p>
        </w:tc>
        <w:tc>
          <w:tcPr>
            <w:tcW w:w="4819" w:type="dxa"/>
          </w:tcPr>
          <w:p w14:paraId="2938F576" w14:textId="3B63D94E"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When lesbian or bisexual women claim to have been sexually assaulted by their partner, they probably shouldn’t be taken too seriously</w:t>
            </w:r>
            <w:r w:rsidRPr="0073256E">
              <w:rPr>
                <w:rFonts w:ascii="Montserrat" w:hAnsi="Montserrat" w:cs="Montserrat"/>
                <w:szCs w:val="18"/>
                <w:lang w:val="en-US"/>
              </w:rPr>
              <w:t>~</w:t>
            </w:r>
          </w:p>
        </w:tc>
        <w:tc>
          <w:tcPr>
            <w:tcW w:w="737" w:type="dxa"/>
          </w:tcPr>
          <w:p w14:paraId="092D7C86" w14:textId="0094658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10ECD30" w14:textId="5808680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364</w:t>
            </w:r>
          </w:p>
        </w:tc>
        <w:tc>
          <w:tcPr>
            <w:tcW w:w="1129" w:type="dxa"/>
          </w:tcPr>
          <w:p w14:paraId="1FE2803C" w14:textId="558BA8E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1.55</w:t>
            </w:r>
            <w:r w:rsidRPr="004A0C12">
              <w:rPr>
                <w:rFonts w:cs="Open Sans"/>
                <w:szCs w:val="18"/>
                <w:vertAlign w:val="superscript"/>
              </w:rPr>
              <w:t>c</w:t>
            </w:r>
          </w:p>
        </w:tc>
        <w:tc>
          <w:tcPr>
            <w:tcW w:w="1201" w:type="dxa"/>
          </w:tcPr>
          <w:p w14:paraId="4F5E3073" w14:textId="69DBEC2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2.55</w:t>
            </w:r>
            <w:r w:rsidRPr="004A0C12">
              <w:rPr>
                <w:rFonts w:cs="Open Sans"/>
                <w:szCs w:val="18"/>
                <w:vertAlign w:val="superscript"/>
              </w:rPr>
              <w:t>c</w:t>
            </w:r>
          </w:p>
        </w:tc>
        <w:tc>
          <w:tcPr>
            <w:tcW w:w="1185" w:type="dxa"/>
          </w:tcPr>
          <w:p w14:paraId="6B757D86" w14:textId="35006C0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7.86</w:t>
            </w:r>
          </w:p>
        </w:tc>
        <w:tc>
          <w:tcPr>
            <w:tcW w:w="1111" w:type="dxa"/>
          </w:tcPr>
          <w:p w14:paraId="155D5E0A" w14:textId="6C3C9DF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87.37</w:t>
            </w:r>
          </w:p>
        </w:tc>
        <w:tc>
          <w:tcPr>
            <w:tcW w:w="1205" w:type="dxa"/>
          </w:tcPr>
          <w:p w14:paraId="39ED6FE3" w14:textId="6C859FC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0.68</w:t>
            </w:r>
            <w:r w:rsidRPr="004A0C12">
              <w:rPr>
                <w:rFonts w:cs="Open Sans"/>
                <w:szCs w:val="18"/>
                <w:vertAlign w:val="superscript"/>
              </w:rPr>
              <w:t>c</w:t>
            </w:r>
          </w:p>
        </w:tc>
        <w:tc>
          <w:tcPr>
            <w:tcW w:w="1048" w:type="dxa"/>
          </w:tcPr>
          <w:p w14:paraId="64EA3187" w14:textId="5D50011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4.10</w:t>
            </w:r>
            <w:r w:rsidRPr="004A0C12">
              <w:rPr>
                <w:rFonts w:cs="Open Sans"/>
                <w:szCs w:val="18"/>
                <w:vertAlign w:val="superscript"/>
              </w:rPr>
              <w:t>c</w:t>
            </w:r>
          </w:p>
        </w:tc>
        <w:tc>
          <w:tcPr>
            <w:tcW w:w="1144" w:type="dxa"/>
          </w:tcPr>
          <w:p w14:paraId="077AEEA0" w14:textId="6146C12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95.23</w:t>
            </w:r>
          </w:p>
        </w:tc>
      </w:tr>
      <w:tr w:rsidR="00FB49CB" w:rsidRPr="004A0C12" w14:paraId="08FD173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0047F07" w14:textId="77777777" w:rsidR="00FB49CB" w:rsidRPr="004A0C12" w:rsidRDefault="00FB49CB" w:rsidP="006B3061">
            <w:pPr>
              <w:pStyle w:val="Tablebody"/>
              <w:rPr>
                <w:rFonts w:cs="Open Sans"/>
                <w:szCs w:val="18"/>
                <w:lang w:val="en-GB"/>
              </w:rPr>
            </w:pPr>
            <w:r w:rsidRPr="004A0C12">
              <w:rPr>
                <w:rFonts w:cs="Open Sans"/>
                <w:szCs w:val="18"/>
              </w:rPr>
              <w:t>S10</w:t>
            </w:r>
          </w:p>
        </w:tc>
        <w:tc>
          <w:tcPr>
            <w:tcW w:w="4819" w:type="dxa"/>
          </w:tcPr>
          <w:p w14:paraId="1789EB6A"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who wait weeks or months to report sexual harassment are probably lying</w:t>
            </w:r>
          </w:p>
        </w:tc>
        <w:tc>
          <w:tcPr>
            <w:tcW w:w="737" w:type="dxa"/>
          </w:tcPr>
          <w:p w14:paraId="21190582"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57F50CB4"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4DFDF932" w14:textId="67A41F1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2.62</w:t>
            </w:r>
            <w:r w:rsidRPr="004A0C12">
              <w:rPr>
                <w:rFonts w:cs="Open Sans"/>
                <w:szCs w:val="18"/>
                <w:vertAlign w:val="superscript"/>
              </w:rPr>
              <w:t>c</w:t>
            </w:r>
          </w:p>
        </w:tc>
        <w:tc>
          <w:tcPr>
            <w:tcW w:w="1201" w:type="dxa"/>
          </w:tcPr>
          <w:p w14:paraId="799EFDF7" w14:textId="1E4A85B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7.36</w:t>
            </w:r>
            <w:r w:rsidRPr="004A0C12">
              <w:rPr>
                <w:rFonts w:cs="Open Sans"/>
                <w:szCs w:val="18"/>
                <w:vertAlign w:val="superscript"/>
              </w:rPr>
              <w:t>c</w:t>
            </w:r>
          </w:p>
        </w:tc>
        <w:tc>
          <w:tcPr>
            <w:tcW w:w="1185" w:type="dxa"/>
          </w:tcPr>
          <w:p w14:paraId="08DEB06C" w14:textId="0F44DEB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12.82</w:t>
            </w:r>
          </w:p>
        </w:tc>
        <w:tc>
          <w:tcPr>
            <w:tcW w:w="1111" w:type="dxa"/>
          </w:tcPr>
          <w:p w14:paraId="6CF1C22D" w14:textId="6020287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76.28</w:t>
            </w:r>
          </w:p>
        </w:tc>
        <w:tc>
          <w:tcPr>
            <w:tcW w:w="1205" w:type="dxa"/>
          </w:tcPr>
          <w:p w14:paraId="1F9698B3" w14:textId="2670D2A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0.91</w:t>
            </w:r>
            <w:r w:rsidRPr="004A0C12">
              <w:rPr>
                <w:rFonts w:cs="Open Sans"/>
                <w:szCs w:val="18"/>
                <w:vertAlign w:val="superscript"/>
              </w:rPr>
              <w:t>c</w:t>
            </w:r>
          </w:p>
        </w:tc>
        <w:tc>
          <w:tcPr>
            <w:tcW w:w="1048" w:type="dxa"/>
          </w:tcPr>
          <w:p w14:paraId="3B64BA8F" w14:textId="4CBCE98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9.99</w:t>
            </w:r>
          </w:p>
        </w:tc>
        <w:tc>
          <w:tcPr>
            <w:tcW w:w="1144" w:type="dxa"/>
          </w:tcPr>
          <w:p w14:paraId="52E7282D" w14:textId="0657651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89.10</w:t>
            </w:r>
          </w:p>
        </w:tc>
      </w:tr>
      <w:tr w:rsidR="00FB49CB" w:rsidRPr="004A0C12" w14:paraId="0AD155D1"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9B19F35" w14:textId="5C4B5664" w:rsidR="00FB49CB" w:rsidRPr="004A0C12" w:rsidRDefault="00FB49CB" w:rsidP="006B3061">
            <w:pPr>
              <w:pStyle w:val="Tablebody"/>
              <w:rPr>
                <w:rFonts w:cs="Open Sans"/>
                <w:szCs w:val="18"/>
              </w:rPr>
            </w:pPr>
            <w:r w:rsidRPr="004A0C12">
              <w:rPr>
                <w:rFonts w:cs="Open Sans"/>
                <w:szCs w:val="18"/>
              </w:rPr>
              <w:t>S10</w:t>
            </w:r>
          </w:p>
        </w:tc>
        <w:tc>
          <w:tcPr>
            <w:tcW w:w="4819" w:type="dxa"/>
          </w:tcPr>
          <w:p w14:paraId="4E357750" w14:textId="53ECE756"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who wait weeks or months to report sexual harassment are probably lying</w:t>
            </w:r>
          </w:p>
        </w:tc>
        <w:tc>
          <w:tcPr>
            <w:tcW w:w="737" w:type="dxa"/>
          </w:tcPr>
          <w:p w14:paraId="742F27B4" w14:textId="4273B4B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501316F5" w14:textId="6BE9C97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07648482" w14:textId="02E1EDE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0.98</w:t>
            </w:r>
            <w:r w:rsidRPr="004A0C12">
              <w:rPr>
                <w:rFonts w:cs="Open Sans"/>
                <w:szCs w:val="18"/>
                <w:vertAlign w:val="superscript"/>
              </w:rPr>
              <w:t>c</w:t>
            </w:r>
          </w:p>
        </w:tc>
        <w:tc>
          <w:tcPr>
            <w:tcW w:w="1201" w:type="dxa"/>
          </w:tcPr>
          <w:p w14:paraId="363C17FD" w14:textId="306FDE6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4.34</w:t>
            </w:r>
          </w:p>
        </w:tc>
        <w:tc>
          <w:tcPr>
            <w:tcW w:w="1185" w:type="dxa"/>
          </w:tcPr>
          <w:p w14:paraId="3A71178F" w14:textId="4EB4E7F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16.37</w:t>
            </w:r>
          </w:p>
        </w:tc>
        <w:tc>
          <w:tcPr>
            <w:tcW w:w="1111" w:type="dxa"/>
          </w:tcPr>
          <w:p w14:paraId="1FA189D7" w14:textId="0D33126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75.66</w:t>
            </w:r>
          </w:p>
        </w:tc>
        <w:tc>
          <w:tcPr>
            <w:tcW w:w="1205" w:type="dxa"/>
          </w:tcPr>
          <w:p w14:paraId="1331BC20" w14:textId="7B56751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2.60</w:t>
            </w:r>
          </w:p>
        </w:tc>
        <w:tc>
          <w:tcPr>
            <w:tcW w:w="1048" w:type="dxa"/>
          </w:tcPr>
          <w:p w14:paraId="760AC1E2" w14:textId="3ED7454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5.32</w:t>
            </w:r>
          </w:p>
        </w:tc>
        <w:tc>
          <w:tcPr>
            <w:tcW w:w="1144" w:type="dxa"/>
          </w:tcPr>
          <w:p w14:paraId="15BCE607" w14:textId="638A99A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92.04</w:t>
            </w:r>
          </w:p>
        </w:tc>
      </w:tr>
      <w:tr w:rsidR="00FB49CB" w:rsidRPr="004A0C12" w14:paraId="26FA5CE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767CA12" w14:textId="77777777" w:rsidR="00FB49CB" w:rsidRPr="004A0C12" w:rsidRDefault="00FB49CB" w:rsidP="006B3061">
            <w:pPr>
              <w:pStyle w:val="Tablebody"/>
              <w:rPr>
                <w:rFonts w:cs="Open Sans"/>
                <w:szCs w:val="18"/>
                <w:lang w:val="en-GB"/>
              </w:rPr>
            </w:pPr>
            <w:r w:rsidRPr="004A0C12">
              <w:rPr>
                <w:rFonts w:cs="Open Sans"/>
                <w:szCs w:val="18"/>
              </w:rPr>
              <w:lastRenderedPageBreak/>
              <w:t>S18</w:t>
            </w:r>
          </w:p>
        </w:tc>
        <w:tc>
          <w:tcPr>
            <w:tcW w:w="4819" w:type="dxa"/>
          </w:tcPr>
          <w:p w14:paraId="13C01592"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Many allegations of sexual assault made by women are false</w:t>
            </w:r>
            <w:r w:rsidRPr="0073256E">
              <w:rPr>
                <w:rFonts w:ascii="Montserrat" w:hAnsi="Montserrat" w:cs="Montserrat"/>
                <w:szCs w:val="18"/>
                <w:lang w:val="en-US"/>
              </w:rPr>
              <w:t>~</w:t>
            </w:r>
          </w:p>
        </w:tc>
        <w:tc>
          <w:tcPr>
            <w:tcW w:w="737" w:type="dxa"/>
          </w:tcPr>
          <w:p w14:paraId="4B082D46"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13BDA8DB"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60</w:t>
            </w:r>
          </w:p>
        </w:tc>
        <w:tc>
          <w:tcPr>
            <w:tcW w:w="1129" w:type="dxa"/>
          </w:tcPr>
          <w:p w14:paraId="1826F0E0" w14:textId="11F192B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4.65</w:t>
            </w:r>
            <w:r w:rsidRPr="004A0C12">
              <w:rPr>
                <w:rFonts w:cs="Open Sans"/>
                <w:szCs w:val="18"/>
                <w:vertAlign w:val="superscript"/>
              </w:rPr>
              <w:t>c</w:t>
            </w:r>
          </w:p>
        </w:tc>
        <w:tc>
          <w:tcPr>
            <w:tcW w:w="1201" w:type="dxa"/>
          </w:tcPr>
          <w:p w14:paraId="230F703E" w14:textId="7B9774F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14.65</w:t>
            </w:r>
            <w:r w:rsidRPr="004A0C12">
              <w:rPr>
                <w:rFonts w:cs="Open Sans"/>
                <w:szCs w:val="18"/>
                <w:vertAlign w:val="superscript"/>
              </w:rPr>
              <w:t>c</w:t>
            </w:r>
          </w:p>
        </w:tc>
        <w:tc>
          <w:tcPr>
            <w:tcW w:w="1185" w:type="dxa"/>
          </w:tcPr>
          <w:p w14:paraId="35FCA019" w14:textId="788C0AE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23.69</w:t>
            </w:r>
          </w:p>
        </w:tc>
        <w:tc>
          <w:tcPr>
            <w:tcW w:w="1111" w:type="dxa"/>
          </w:tcPr>
          <w:p w14:paraId="2CED7FA6" w14:textId="2F8BC81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57.01</w:t>
            </w:r>
          </w:p>
        </w:tc>
        <w:tc>
          <w:tcPr>
            <w:tcW w:w="1205" w:type="dxa"/>
          </w:tcPr>
          <w:p w14:paraId="6CFE0460" w14:textId="2088EC5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181225F4" w14:textId="05B5CEE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19.30</w:t>
            </w:r>
            <w:r w:rsidRPr="004A0C12">
              <w:rPr>
                <w:rFonts w:cs="Open Sans"/>
                <w:szCs w:val="18"/>
                <w:vertAlign w:val="superscript"/>
              </w:rPr>
              <w:t>c</w:t>
            </w:r>
          </w:p>
        </w:tc>
        <w:tc>
          <w:tcPr>
            <w:tcW w:w="1144" w:type="dxa"/>
          </w:tcPr>
          <w:p w14:paraId="34511E0B" w14:textId="3FE0478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80.70</w:t>
            </w:r>
          </w:p>
        </w:tc>
      </w:tr>
      <w:tr w:rsidR="00FB49CB" w:rsidRPr="004A0C12" w14:paraId="43E27BC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AD49C1D" w14:textId="71762FDD" w:rsidR="00FB49CB" w:rsidRPr="004A0C12" w:rsidRDefault="00FB49CB" w:rsidP="006B3061">
            <w:pPr>
              <w:pStyle w:val="Tablebody"/>
              <w:rPr>
                <w:rFonts w:cs="Open Sans"/>
                <w:szCs w:val="18"/>
              </w:rPr>
            </w:pPr>
            <w:r w:rsidRPr="004A0C12">
              <w:rPr>
                <w:rFonts w:cs="Open Sans"/>
                <w:szCs w:val="18"/>
              </w:rPr>
              <w:t>S18</w:t>
            </w:r>
          </w:p>
        </w:tc>
        <w:tc>
          <w:tcPr>
            <w:tcW w:w="4819" w:type="dxa"/>
          </w:tcPr>
          <w:p w14:paraId="3975CF3D" w14:textId="4BCE0583"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Many allegations of sexual assault made by women are</w:t>
            </w:r>
            <w:r>
              <w:rPr>
                <w:rFonts w:cs="Open Sans"/>
                <w:szCs w:val="18"/>
                <w:lang w:val="en-US"/>
              </w:rPr>
              <w:t> </w:t>
            </w:r>
            <w:r w:rsidRPr="0073256E">
              <w:rPr>
                <w:rFonts w:cs="Open Sans"/>
                <w:szCs w:val="18"/>
                <w:lang w:val="en-US"/>
              </w:rPr>
              <w:t>false</w:t>
            </w:r>
            <w:r w:rsidRPr="0073256E">
              <w:rPr>
                <w:rFonts w:ascii="Montserrat" w:hAnsi="Montserrat" w:cs="Montserrat"/>
                <w:szCs w:val="18"/>
                <w:lang w:val="en-US"/>
              </w:rPr>
              <w:t>~</w:t>
            </w:r>
          </w:p>
        </w:tc>
        <w:tc>
          <w:tcPr>
            <w:tcW w:w="737" w:type="dxa"/>
          </w:tcPr>
          <w:p w14:paraId="779C34AB" w14:textId="39B64B6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E9D7856" w14:textId="2176AB7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383</w:t>
            </w:r>
          </w:p>
        </w:tc>
        <w:tc>
          <w:tcPr>
            <w:tcW w:w="1129" w:type="dxa"/>
          </w:tcPr>
          <w:p w14:paraId="3A1E4A98" w14:textId="609BFAC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0.74</w:t>
            </w:r>
            <w:r w:rsidRPr="004A0C12">
              <w:rPr>
                <w:rFonts w:cs="Open Sans"/>
                <w:szCs w:val="18"/>
                <w:vertAlign w:val="superscript"/>
              </w:rPr>
              <w:t>c</w:t>
            </w:r>
          </w:p>
        </w:tc>
        <w:tc>
          <w:tcPr>
            <w:tcW w:w="1201" w:type="dxa"/>
          </w:tcPr>
          <w:p w14:paraId="37206A68" w14:textId="5AF046E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10.03</w:t>
            </w:r>
          </w:p>
        </w:tc>
        <w:tc>
          <w:tcPr>
            <w:tcW w:w="1185" w:type="dxa"/>
          </w:tcPr>
          <w:p w14:paraId="719EF2AB" w14:textId="4EDD2F5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31.64</w:t>
            </w:r>
          </w:p>
        </w:tc>
        <w:tc>
          <w:tcPr>
            <w:tcW w:w="1111" w:type="dxa"/>
          </w:tcPr>
          <w:p w14:paraId="79D0709F" w14:textId="166DD62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51.29</w:t>
            </w:r>
          </w:p>
        </w:tc>
        <w:tc>
          <w:tcPr>
            <w:tcW w:w="1205" w:type="dxa"/>
          </w:tcPr>
          <w:p w14:paraId="4C7D702F" w14:textId="0EBD5CD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5.71</w:t>
            </w:r>
          </w:p>
        </w:tc>
        <w:tc>
          <w:tcPr>
            <w:tcW w:w="1048" w:type="dxa"/>
          </w:tcPr>
          <w:p w14:paraId="03458EA0" w14:textId="119EEF8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10.77</w:t>
            </w:r>
          </w:p>
        </w:tc>
        <w:tc>
          <w:tcPr>
            <w:tcW w:w="1144" w:type="dxa"/>
          </w:tcPr>
          <w:p w14:paraId="1E7D318C" w14:textId="1957147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82.93</w:t>
            </w:r>
          </w:p>
        </w:tc>
      </w:tr>
      <w:tr w:rsidR="00FB49CB" w:rsidRPr="004A0C12" w14:paraId="3088B54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91B7D4F" w14:textId="77777777" w:rsidR="00FB49CB" w:rsidRPr="004A0C12" w:rsidRDefault="00FB49CB" w:rsidP="006B3061">
            <w:pPr>
              <w:pStyle w:val="Tablebody"/>
              <w:rPr>
                <w:rFonts w:cs="Open Sans"/>
                <w:szCs w:val="18"/>
                <w:lang w:val="en-GB"/>
              </w:rPr>
            </w:pPr>
            <w:r w:rsidRPr="004A0C12">
              <w:rPr>
                <w:rFonts w:cs="Open Sans"/>
                <w:szCs w:val="18"/>
              </w:rPr>
              <w:t>S22</w:t>
            </w:r>
          </w:p>
        </w:tc>
        <w:tc>
          <w:tcPr>
            <w:tcW w:w="4819" w:type="dxa"/>
          </w:tcPr>
          <w:p w14:paraId="2EA32E72"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claims to have been sexually assaulted but has no other physical injuries, she probably shouldn’t be taken too seriously</w:t>
            </w:r>
          </w:p>
        </w:tc>
        <w:tc>
          <w:tcPr>
            <w:tcW w:w="737" w:type="dxa"/>
          </w:tcPr>
          <w:p w14:paraId="453990DF"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4C77A376"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78E606B7" w14:textId="6605132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1.28</w:t>
            </w:r>
            <w:r w:rsidRPr="004A0C12">
              <w:rPr>
                <w:rFonts w:cs="Open Sans"/>
                <w:szCs w:val="18"/>
                <w:vertAlign w:val="superscript"/>
              </w:rPr>
              <w:t>c</w:t>
            </w:r>
          </w:p>
        </w:tc>
        <w:tc>
          <w:tcPr>
            <w:tcW w:w="1201" w:type="dxa"/>
          </w:tcPr>
          <w:p w14:paraId="2F9C97B4" w14:textId="6BBDB60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5.71</w:t>
            </w:r>
            <w:r w:rsidRPr="004A0C12">
              <w:rPr>
                <w:rFonts w:cs="Open Sans"/>
                <w:szCs w:val="18"/>
                <w:vertAlign w:val="superscript"/>
              </w:rPr>
              <w:t>c</w:t>
            </w:r>
          </w:p>
        </w:tc>
        <w:tc>
          <w:tcPr>
            <w:tcW w:w="1185" w:type="dxa"/>
          </w:tcPr>
          <w:p w14:paraId="08C8798C" w14:textId="3067445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14.24</w:t>
            </w:r>
          </w:p>
        </w:tc>
        <w:tc>
          <w:tcPr>
            <w:tcW w:w="1111" w:type="dxa"/>
          </w:tcPr>
          <w:p w14:paraId="26053379" w14:textId="04B6CF3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78.25</w:t>
            </w:r>
          </w:p>
        </w:tc>
        <w:tc>
          <w:tcPr>
            <w:tcW w:w="1205" w:type="dxa"/>
          </w:tcPr>
          <w:p w14:paraId="4A9BD29A" w14:textId="743887F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1A68B8F1" w14:textId="22AA1AE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6.99</w:t>
            </w:r>
            <w:r w:rsidRPr="004A0C12">
              <w:rPr>
                <w:rFonts w:cs="Open Sans"/>
                <w:szCs w:val="18"/>
                <w:vertAlign w:val="superscript"/>
              </w:rPr>
              <w:t>c</w:t>
            </w:r>
          </w:p>
        </w:tc>
        <w:tc>
          <w:tcPr>
            <w:tcW w:w="1144" w:type="dxa"/>
          </w:tcPr>
          <w:p w14:paraId="113EC7EE" w14:textId="37C4C26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92.50</w:t>
            </w:r>
          </w:p>
        </w:tc>
      </w:tr>
      <w:tr w:rsidR="00FB49CB" w:rsidRPr="004A0C12" w14:paraId="16903AC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85B152D" w14:textId="6FD46D9C" w:rsidR="00FB49CB" w:rsidRPr="004A0C12" w:rsidRDefault="00FB49CB" w:rsidP="006B3061">
            <w:pPr>
              <w:pStyle w:val="Tablebody"/>
              <w:rPr>
                <w:rFonts w:cs="Open Sans"/>
                <w:szCs w:val="18"/>
              </w:rPr>
            </w:pPr>
            <w:r w:rsidRPr="004A0C12">
              <w:rPr>
                <w:rFonts w:cs="Open Sans"/>
                <w:szCs w:val="18"/>
              </w:rPr>
              <w:t>S22</w:t>
            </w:r>
          </w:p>
        </w:tc>
        <w:tc>
          <w:tcPr>
            <w:tcW w:w="4819" w:type="dxa"/>
          </w:tcPr>
          <w:p w14:paraId="6948398F" w14:textId="3D056C94"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claims to have been sexually assaulted but has no other physical injuries, she probably shouldn’t be taken too seriously</w:t>
            </w:r>
          </w:p>
        </w:tc>
        <w:tc>
          <w:tcPr>
            <w:tcW w:w="737" w:type="dxa"/>
          </w:tcPr>
          <w:p w14:paraId="12D51777" w14:textId="1423302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13F1F505" w14:textId="24FA049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44516A8D" w14:textId="268F850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0.99</w:t>
            </w:r>
            <w:r w:rsidRPr="004A0C12">
              <w:rPr>
                <w:rFonts w:cs="Open Sans"/>
                <w:szCs w:val="18"/>
                <w:vertAlign w:val="superscript"/>
              </w:rPr>
              <w:t>c</w:t>
            </w:r>
          </w:p>
        </w:tc>
        <w:tc>
          <w:tcPr>
            <w:tcW w:w="1201" w:type="dxa"/>
          </w:tcPr>
          <w:p w14:paraId="027183BC" w14:textId="6AEE30E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3.49</w:t>
            </w:r>
          </w:p>
        </w:tc>
        <w:tc>
          <w:tcPr>
            <w:tcW w:w="1185" w:type="dxa"/>
          </w:tcPr>
          <w:p w14:paraId="57D774F9" w14:textId="4ED7214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9.58</w:t>
            </w:r>
          </w:p>
        </w:tc>
        <w:tc>
          <w:tcPr>
            <w:tcW w:w="1111" w:type="dxa"/>
          </w:tcPr>
          <w:p w14:paraId="7FAF5EB4" w14:textId="2E256BE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84.33</w:t>
            </w:r>
          </w:p>
        </w:tc>
        <w:tc>
          <w:tcPr>
            <w:tcW w:w="1205" w:type="dxa"/>
          </w:tcPr>
          <w:p w14:paraId="05D125F7" w14:textId="6CA94A1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1.41</w:t>
            </w:r>
          </w:p>
        </w:tc>
        <w:tc>
          <w:tcPr>
            <w:tcW w:w="1048" w:type="dxa"/>
          </w:tcPr>
          <w:p w14:paraId="43AA30E6" w14:textId="358C580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4.48</w:t>
            </w:r>
          </w:p>
        </w:tc>
        <w:tc>
          <w:tcPr>
            <w:tcW w:w="1144" w:type="dxa"/>
          </w:tcPr>
          <w:p w14:paraId="7322BBEC" w14:textId="6418FDB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93.91</w:t>
            </w:r>
          </w:p>
        </w:tc>
      </w:tr>
      <w:tr w:rsidR="00FB49CB" w:rsidRPr="004A0C12" w14:paraId="71C91054"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3402B8" w14:textId="77777777" w:rsidR="00FB49CB" w:rsidRPr="004A0C12" w:rsidRDefault="00FB49CB" w:rsidP="006B3061">
            <w:pPr>
              <w:pStyle w:val="Tablebody"/>
              <w:rPr>
                <w:rFonts w:cs="Open Sans"/>
                <w:szCs w:val="18"/>
                <w:lang w:val="en-GB"/>
              </w:rPr>
            </w:pPr>
            <w:r w:rsidRPr="004A0C12">
              <w:rPr>
                <w:rFonts w:cs="Open Sans"/>
                <w:szCs w:val="18"/>
              </w:rPr>
              <w:t>S23</w:t>
            </w:r>
          </w:p>
        </w:tc>
        <w:tc>
          <w:tcPr>
            <w:tcW w:w="4819" w:type="dxa"/>
          </w:tcPr>
          <w:p w14:paraId="7F59495F"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It is common for sexual assault accusations to be used as a way of getting back at men</w:t>
            </w:r>
          </w:p>
        </w:tc>
        <w:tc>
          <w:tcPr>
            <w:tcW w:w="737" w:type="dxa"/>
          </w:tcPr>
          <w:p w14:paraId="1F60BD85"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5D536278"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7DD1DAB5" w14:textId="13DAFDD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8.35</w:t>
            </w:r>
          </w:p>
        </w:tc>
        <w:tc>
          <w:tcPr>
            <w:tcW w:w="1201" w:type="dxa"/>
          </w:tcPr>
          <w:p w14:paraId="49D5E408" w14:textId="5348AAF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25.96</w:t>
            </w:r>
          </w:p>
        </w:tc>
        <w:tc>
          <w:tcPr>
            <w:tcW w:w="1185" w:type="dxa"/>
          </w:tcPr>
          <w:p w14:paraId="02D156C1" w14:textId="25D4D19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28.34</w:t>
            </w:r>
          </w:p>
        </w:tc>
        <w:tc>
          <w:tcPr>
            <w:tcW w:w="1111" w:type="dxa"/>
          </w:tcPr>
          <w:p w14:paraId="12130E6A" w14:textId="7078E58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34.69</w:t>
            </w:r>
          </w:p>
        </w:tc>
        <w:tc>
          <w:tcPr>
            <w:tcW w:w="1205" w:type="dxa"/>
          </w:tcPr>
          <w:p w14:paraId="688E423E" w14:textId="4B5B919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2.14</w:t>
            </w:r>
            <w:r w:rsidRPr="004A0C12">
              <w:rPr>
                <w:rFonts w:cs="Open Sans"/>
                <w:szCs w:val="18"/>
                <w:vertAlign w:val="superscript"/>
              </w:rPr>
              <w:t>c</w:t>
            </w:r>
          </w:p>
        </w:tc>
        <w:tc>
          <w:tcPr>
            <w:tcW w:w="1048" w:type="dxa"/>
          </w:tcPr>
          <w:p w14:paraId="183D1218" w14:textId="690AE9F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34.31</w:t>
            </w:r>
          </w:p>
        </w:tc>
        <w:tc>
          <w:tcPr>
            <w:tcW w:w="1144" w:type="dxa"/>
          </w:tcPr>
          <w:p w14:paraId="6BD1FC4D" w14:textId="62BEE59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63.02</w:t>
            </w:r>
          </w:p>
        </w:tc>
      </w:tr>
      <w:tr w:rsidR="00FB49CB" w:rsidRPr="004A0C12" w14:paraId="5D36B4C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1A72D42" w14:textId="2509D5CC" w:rsidR="00FB49CB" w:rsidRPr="004A0C12" w:rsidRDefault="00FB49CB" w:rsidP="006B3061">
            <w:pPr>
              <w:pStyle w:val="Tablebody"/>
              <w:rPr>
                <w:rFonts w:cs="Open Sans"/>
                <w:szCs w:val="18"/>
              </w:rPr>
            </w:pPr>
            <w:r w:rsidRPr="004A0C12">
              <w:rPr>
                <w:rFonts w:cs="Open Sans"/>
                <w:szCs w:val="18"/>
              </w:rPr>
              <w:t>S23</w:t>
            </w:r>
          </w:p>
        </w:tc>
        <w:tc>
          <w:tcPr>
            <w:tcW w:w="4819" w:type="dxa"/>
          </w:tcPr>
          <w:p w14:paraId="65801A43" w14:textId="7A577F49"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It is common for sexual assault accusations to be used as a way of getting back at men</w:t>
            </w:r>
          </w:p>
        </w:tc>
        <w:tc>
          <w:tcPr>
            <w:tcW w:w="737" w:type="dxa"/>
          </w:tcPr>
          <w:p w14:paraId="7E7C5BA5" w14:textId="09BAFD9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03D4CAF2" w14:textId="65A0780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157A5F16" w14:textId="5829986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7.06</w:t>
            </w:r>
          </w:p>
        </w:tc>
        <w:tc>
          <w:tcPr>
            <w:tcW w:w="1201" w:type="dxa"/>
          </w:tcPr>
          <w:p w14:paraId="129E992D" w14:textId="4EC7BA6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25.86</w:t>
            </w:r>
          </w:p>
        </w:tc>
        <w:tc>
          <w:tcPr>
            <w:tcW w:w="1185" w:type="dxa"/>
          </w:tcPr>
          <w:p w14:paraId="69670014" w14:textId="5F46A9E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24.38</w:t>
            </w:r>
          </w:p>
        </w:tc>
        <w:tc>
          <w:tcPr>
            <w:tcW w:w="1111" w:type="dxa"/>
          </w:tcPr>
          <w:p w14:paraId="2F7AE9F7" w14:textId="34EFF9E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36.75</w:t>
            </w:r>
          </w:p>
        </w:tc>
        <w:tc>
          <w:tcPr>
            <w:tcW w:w="1205" w:type="dxa"/>
          </w:tcPr>
          <w:p w14:paraId="196E7563" w14:textId="7551D7B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5.72</w:t>
            </w:r>
          </w:p>
        </w:tc>
        <w:tc>
          <w:tcPr>
            <w:tcW w:w="1048" w:type="dxa"/>
          </w:tcPr>
          <w:p w14:paraId="3D9A0379" w14:textId="5FCE9E4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32.92</w:t>
            </w:r>
          </w:p>
        </w:tc>
        <w:tc>
          <w:tcPr>
            <w:tcW w:w="1144" w:type="dxa"/>
          </w:tcPr>
          <w:p w14:paraId="58840EC0" w14:textId="149A757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61.13</w:t>
            </w:r>
          </w:p>
        </w:tc>
      </w:tr>
      <w:tr w:rsidR="00FB49CB" w:rsidRPr="004A0C12" w14:paraId="634329B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CC5ED67" w14:textId="77777777" w:rsidR="00FB49CB" w:rsidRPr="004A0C12" w:rsidRDefault="00FB49CB" w:rsidP="006B3061">
            <w:pPr>
              <w:pStyle w:val="Tablebody"/>
              <w:rPr>
                <w:rFonts w:cs="Open Sans"/>
                <w:szCs w:val="18"/>
                <w:lang w:val="en-GB"/>
              </w:rPr>
            </w:pPr>
            <w:r w:rsidRPr="004A0C12">
              <w:rPr>
                <w:rFonts w:cs="Open Sans"/>
                <w:szCs w:val="18"/>
              </w:rPr>
              <w:t>S24</w:t>
            </w:r>
          </w:p>
        </w:tc>
        <w:tc>
          <w:tcPr>
            <w:tcW w:w="4819" w:type="dxa"/>
          </w:tcPr>
          <w:p w14:paraId="70313885"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A lot of times, women who say they were raped had led the man on and then had regrets</w:t>
            </w:r>
          </w:p>
        </w:tc>
        <w:tc>
          <w:tcPr>
            <w:tcW w:w="737" w:type="dxa"/>
          </w:tcPr>
          <w:p w14:paraId="2B5237AF"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C2F07AC"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32BFE5F1" w14:textId="2D1FCD5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5.78</w:t>
            </w:r>
            <w:r w:rsidRPr="004A0C12">
              <w:rPr>
                <w:rFonts w:cs="Open Sans"/>
                <w:szCs w:val="18"/>
                <w:vertAlign w:val="superscript"/>
              </w:rPr>
              <w:t>c</w:t>
            </w:r>
          </w:p>
        </w:tc>
        <w:tc>
          <w:tcPr>
            <w:tcW w:w="1201" w:type="dxa"/>
          </w:tcPr>
          <w:p w14:paraId="1F401908" w14:textId="2882C2FA"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20.11</w:t>
            </w:r>
          </w:p>
        </w:tc>
        <w:tc>
          <w:tcPr>
            <w:tcW w:w="1185" w:type="dxa"/>
          </w:tcPr>
          <w:p w14:paraId="0658FF22" w14:textId="3B7EB27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25.72</w:t>
            </w:r>
          </w:p>
        </w:tc>
        <w:tc>
          <w:tcPr>
            <w:tcW w:w="1111" w:type="dxa"/>
          </w:tcPr>
          <w:p w14:paraId="06E58150" w14:textId="069110D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43.75</w:t>
            </w:r>
          </w:p>
        </w:tc>
        <w:tc>
          <w:tcPr>
            <w:tcW w:w="1205" w:type="dxa"/>
          </w:tcPr>
          <w:p w14:paraId="33FC9796" w14:textId="119792E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3.28</w:t>
            </w:r>
            <w:r w:rsidRPr="004A0C12">
              <w:rPr>
                <w:rFonts w:cs="Open Sans"/>
                <w:szCs w:val="18"/>
                <w:vertAlign w:val="superscript"/>
              </w:rPr>
              <w:t>c</w:t>
            </w:r>
          </w:p>
        </w:tc>
        <w:tc>
          <w:tcPr>
            <w:tcW w:w="1048" w:type="dxa"/>
          </w:tcPr>
          <w:p w14:paraId="28A53F0A" w14:textId="063FD5E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25.89</w:t>
            </w:r>
          </w:p>
        </w:tc>
        <w:tc>
          <w:tcPr>
            <w:tcW w:w="1144" w:type="dxa"/>
          </w:tcPr>
          <w:p w14:paraId="77D5E1C5" w14:textId="59FD076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69.47</w:t>
            </w:r>
          </w:p>
        </w:tc>
      </w:tr>
      <w:tr w:rsidR="00FB49CB" w:rsidRPr="004A0C12" w14:paraId="6036136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C6FFF8D" w14:textId="53A90FAE" w:rsidR="00FB49CB" w:rsidRPr="004A0C12" w:rsidRDefault="00FB49CB" w:rsidP="006B3061">
            <w:pPr>
              <w:pStyle w:val="Tablebody"/>
              <w:rPr>
                <w:rFonts w:cs="Open Sans"/>
                <w:szCs w:val="18"/>
              </w:rPr>
            </w:pPr>
            <w:r w:rsidRPr="004A0C12">
              <w:rPr>
                <w:rFonts w:cs="Open Sans"/>
                <w:szCs w:val="18"/>
              </w:rPr>
              <w:t>S24</w:t>
            </w:r>
          </w:p>
        </w:tc>
        <w:tc>
          <w:tcPr>
            <w:tcW w:w="4819" w:type="dxa"/>
          </w:tcPr>
          <w:p w14:paraId="1FABAD59" w14:textId="39A161AB"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A lot of times, women who say they were raped had led the man on and then had regrets</w:t>
            </w:r>
          </w:p>
        </w:tc>
        <w:tc>
          <w:tcPr>
            <w:tcW w:w="737" w:type="dxa"/>
          </w:tcPr>
          <w:p w14:paraId="1826032E" w14:textId="7F2CC27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0554B902" w14:textId="732E791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1E4A252C" w14:textId="58E9852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3.37</w:t>
            </w:r>
          </w:p>
        </w:tc>
        <w:tc>
          <w:tcPr>
            <w:tcW w:w="1201" w:type="dxa"/>
          </w:tcPr>
          <w:p w14:paraId="1D80B93E" w14:textId="11A73DB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15.74</w:t>
            </w:r>
          </w:p>
        </w:tc>
        <w:tc>
          <w:tcPr>
            <w:tcW w:w="1185" w:type="dxa"/>
          </w:tcPr>
          <w:p w14:paraId="6E4F3219" w14:textId="57F7163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24.25</w:t>
            </w:r>
          </w:p>
        </w:tc>
        <w:tc>
          <w:tcPr>
            <w:tcW w:w="1111" w:type="dxa"/>
          </w:tcPr>
          <w:p w14:paraId="6F41DA39" w14:textId="3D1CA83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47.60</w:t>
            </w:r>
          </w:p>
        </w:tc>
        <w:tc>
          <w:tcPr>
            <w:tcW w:w="1205" w:type="dxa"/>
          </w:tcPr>
          <w:p w14:paraId="4C5DA156" w14:textId="0F6EAE4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8.62</w:t>
            </w:r>
          </w:p>
        </w:tc>
        <w:tc>
          <w:tcPr>
            <w:tcW w:w="1048" w:type="dxa"/>
          </w:tcPr>
          <w:p w14:paraId="3F0337FC" w14:textId="241FF71D"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19.11</w:t>
            </w:r>
          </w:p>
        </w:tc>
        <w:tc>
          <w:tcPr>
            <w:tcW w:w="1144" w:type="dxa"/>
          </w:tcPr>
          <w:p w14:paraId="79878CEB" w14:textId="7957E4E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71.86</w:t>
            </w:r>
          </w:p>
        </w:tc>
      </w:tr>
      <w:tr w:rsidR="00FB49CB" w:rsidRPr="004A0C12" w14:paraId="58AC0B5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3D386CE" w14:textId="77777777" w:rsidR="00FB49CB" w:rsidRPr="004A0C12" w:rsidRDefault="00FB49CB" w:rsidP="006B3061">
            <w:pPr>
              <w:pStyle w:val="Tablebody"/>
              <w:rPr>
                <w:rFonts w:cs="Open Sans"/>
                <w:szCs w:val="18"/>
                <w:lang w:val="en-GB"/>
              </w:rPr>
            </w:pPr>
            <w:r w:rsidRPr="004A0C12">
              <w:rPr>
                <w:rFonts w:cs="Open Sans"/>
                <w:szCs w:val="18"/>
              </w:rPr>
              <w:t>S25</w:t>
            </w:r>
          </w:p>
        </w:tc>
        <w:tc>
          <w:tcPr>
            <w:tcW w:w="4819" w:type="dxa"/>
          </w:tcPr>
          <w:p w14:paraId="64E74003"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who wait weeks or months to report sexual assault are probably lying</w:t>
            </w:r>
          </w:p>
        </w:tc>
        <w:tc>
          <w:tcPr>
            <w:tcW w:w="737" w:type="dxa"/>
          </w:tcPr>
          <w:p w14:paraId="168F8F41"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1C777420"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237CA289" w14:textId="0F663EC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1.91</w:t>
            </w:r>
            <w:r w:rsidRPr="004A0C12">
              <w:rPr>
                <w:rFonts w:cs="Open Sans"/>
                <w:szCs w:val="18"/>
                <w:vertAlign w:val="superscript"/>
              </w:rPr>
              <w:t>c</w:t>
            </w:r>
          </w:p>
        </w:tc>
        <w:tc>
          <w:tcPr>
            <w:tcW w:w="1201" w:type="dxa"/>
          </w:tcPr>
          <w:p w14:paraId="27E64F71" w14:textId="60821AB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6.27</w:t>
            </w:r>
            <w:r w:rsidRPr="004A0C12">
              <w:rPr>
                <w:rFonts w:cs="Open Sans"/>
                <w:szCs w:val="18"/>
                <w:vertAlign w:val="superscript"/>
              </w:rPr>
              <w:t>c</w:t>
            </w:r>
          </w:p>
        </w:tc>
        <w:tc>
          <w:tcPr>
            <w:tcW w:w="1185" w:type="dxa"/>
          </w:tcPr>
          <w:p w14:paraId="2C1CFF6B" w14:textId="2921D64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15.61</w:t>
            </w:r>
          </w:p>
        </w:tc>
        <w:tc>
          <w:tcPr>
            <w:tcW w:w="1111" w:type="dxa"/>
          </w:tcPr>
          <w:p w14:paraId="078787D5" w14:textId="12272B6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74.38</w:t>
            </w:r>
          </w:p>
        </w:tc>
        <w:tc>
          <w:tcPr>
            <w:tcW w:w="1205" w:type="dxa"/>
          </w:tcPr>
          <w:p w14:paraId="499D973B" w14:textId="64D5E9F1"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1.31</w:t>
            </w:r>
            <w:r w:rsidRPr="004A0C12">
              <w:rPr>
                <w:rFonts w:cs="Open Sans"/>
                <w:szCs w:val="18"/>
                <w:vertAlign w:val="superscript"/>
              </w:rPr>
              <w:t>c</w:t>
            </w:r>
          </w:p>
        </w:tc>
        <w:tc>
          <w:tcPr>
            <w:tcW w:w="1048" w:type="dxa"/>
          </w:tcPr>
          <w:p w14:paraId="7B100D18" w14:textId="03B8E9A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8.18</w:t>
            </w:r>
          </w:p>
        </w:tc>
        <w:tc>
          <w:tcPr>
            <w:tcW w:w="1144" w:type="dxa"/>
          </w:tcPr>
          <w:p w14:paraId="135C5816" w14:textId="67E99B30"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89.99</w:t>
            </w:r>
          </w:p>
        </w:tc>
      </w:tr>
      <w:tr w:rsidR="00FB49CB" w:rsidRPr="004A0C12" w14:paraId="08AAF21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864E0A6" w14:textId="699DF7E8" w:rsidR="00FB49CB" w:rsidRPr="004A0C12" w:rsidRDefault="00FB49CB" w:rsidP="006B3061">
            <w:pPr>
              <w:pStyle w:val="Tablebody"/>
              <w:rPr>
                <w:rFonts w:cs="Open Sans"/>
                <w:szCs w:val="18"/>
              </w:rPr>
            </w:pPr>
            <w:r w:rsidRPr="004A0C12">
              <w:rPr>
                <w:rFonts w:cs="Open Sans"/>
                <w:szCs w:val="18"/>
              </w:rPr>
              <w:t>S25</w:t>
            </w:r>
          </w:p>
        </w:tc>
        <w:tc>
          <w:tcPr>
            <w:tcW w:w="4819" w:type="dxa"/>
          </w:tcPr>
          <w:p w14:paraId="110B18B9" w14:textId="784F0D45"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who wait weeks or months to report sexual assault are probably lying</w:t>
            </w:r>
          </w:p>
        </w:tc>
        <w:tc>
          <w:tcPr>
            <w:tcW w:w="737" w:type="dxa"/>
          </w:tcPr>
          <w:p w14:paraId="71C03191" w14:textId="0BBD032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753A8900" w14:textId="6D2EEF5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61A6B29E" w14:textId="3CA1E12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1.04</w:t>
            </w:r>
            <w:r w:rsidRPr="004A0C12">
              <w:rPr>
                <w:rFonts w:cs="Open Sans"/>
                <w:szCs w:val="18"/>
                <w:vertAlign w:val="superscript"/>
              </w:rPr>
              <w:t>c</w:t>
            </w:r>
          </w:p>
        </w:tc>
        <w:tc>
          <w:tcPr>
            <w:tcW w:w="1201" w:type="dxa"/>
          </w:tcPr>
          <w:p w14:paraId="531F4DB6" w14:textId="2948A19E"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4.06</w:t>
            </w:r>
          </w:p>
        </w:tc>
        <w:tc>
          <w:tcPr>
            <w:tcW w:w="1185" w:type="dxa"/>
          </w:tcPr>
          <w:p w14:paraId="72F511AF" w14:textId="626CE032"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16.42</w:t>
            </w:r>
          </w:p>
        </w:tc>
        <w:tc>
          <w:tcPr>
            <w:tcW w:w="1111" w:type="dxa"/>
          </w:tcPr>
          <w:p w14:paraId="3EB46D39" w14:textId="05E1C80B"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76.18</w:t>
            </w:r>
          </w:p>
        </w:tc>
        <w:tc>
          <w:tcPr>
            <w:tcW w:w="1205" w:type="dxa"/>
          </w:tcPr>
          <w:p w14:paraId="2ACEE6EB" w14:textId="41C3F45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2.04</w:t>
            </w:r>
          </w:p>
        </w:tc>
        <w:tc>
          <w:tcPr>
            <w:tcW w:w="1048" w:type="dxa"/>
          </w:tcPr>
          <w:p w14:paraId="5E7D9C96" w14:textId="1582474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5.09</w:t>
            </w:r>
          </w:p>
        </w:tc>
        <w:tc>
          <w:tcPr>
            <w:tcW w:w="1144" w:type="dxa"/>
          </w:tcPr>
          <w:p w14:paraId="13ED10D2" w14:textId="41F4A70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92.60</w:t>
            </w:r>
          </w:p>
        </w:tc>
      </w:tr>
      <w:tr w:rsidR="00FB49CB" w:rsidRPr="004A0C12" w14:paraId="0E50B105"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7F15766" w14:textId="77777777" w:rsidR="00FB49CB" w:rsidRPr="004A0C12" w:rsidRDefault="00FB49CB" w:rsidP="006B3061">
            <w:pPr>
              <w:pStyle w:val="Tablebody"/>
              <w:rPr>
                <w:rFonts w:cs="Open Sans"/>
                <w:szCs w:val="18"/>
                <w:lang w:val="en-GB"/>
              </w:rPr>
            </w:pPr>
            <w:r w:rsidRPr="004A0C12">
              <w:rPr>
                <w:rFonts w:cs="Open Sans"/>
                <w:szCs w:val="18"/>
              </w:rPr>
              <w:t>V3</w:t>
            </w:r>
          </w:p>
        </w:tc>
        <w:tc>
          <w:tcPr>
            <w:tcW w:w="4819" w:type="dxa"/>
          </w:tcPr>
          <w:p w14:paraId="70B2A3F7"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Many women exaggerate the extent of men’s violence against women^</w:t>
            </w:r>
          </w:p>
        </w:tc>
        <w:tc>
          <w:tcPr>
            <w:tcW w:w="737" w:type="dxa"/>
          </w:tcPr>
          <w:p w14:paraId="1049389D"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640D9881" w14:textId="7777777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w:t>
            </w:r>
          </w:p>
        </w:tc>
        <w:tc>
          <w:tcPr>
            <w:tcW w:w="1129" w:type="dxa"/>
          </w:tcPr>
          <w:p w14:paraId="3E6563FC" w14:textId="0C3CF77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5.22</w:t>
            </w:r>
            <w:r w:rsidRPr="004A0C12">
              <w:rPr>
                <w:rFonts w:cs="Open Sans"/>
                <w:szCs w:val="18"/>
                <w:vertAlign w:val="superscript"/>
              </w:rPr>
              <w:t>c</w:t>
            </w:r>
          </w:p>
        </w:tc>
        <w:tc>
          <w:tcPr>
            <w:tcW w:w="1201" w:type="dxa"/>
          </w:tcPr>
          <w:p w14:paraId="3181CE0A" w14:textId="3B6FB04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23.92</w:t>
            </w:r>
          </w:p>
        </w:tc>
        <w:tc>
          <w:tcPr>
            <w:tcW w:w="1185" w:type="dxa"/>
          </w:tcPr>
          <w:p w14:paraId="74082398" w14:textId="46CA10B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30.98</w:t>
            </w:r>
          </w:p>
        </w:tc>
        <w:tc>
          <w:tcPr>
            <w:tcW w:w="1111" w:type="dxa"/>
          </w:tcPr>
          <w:p w14:paraId="002B839F" w14:textId="50F051E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35.89</w:t>
            </w:r>
          </w:p>
        </w:tc>
        <w:tc>
          <w:tcPr>
            <w:tcW w:w="1205" w:type="dxa"/>
          </w:tcPr>
          <w:p w14:paraId="647382BE" w14:textId="3AFE41A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3.99</w:t>
            </w:r>
            <w:r w:rsidRPr="004A0C12">
              <w:rPr>
                <w:rFonts w:cs="Open Sans"/>
                <w:szCs w:val="18"/>
                <w:vertAlign w:val="superscript"/>
              </w:rPr>
              <w:t>c</w:t>
            </w:r>
          </w:p>
        </w:tc>
        <w:tc>
          <w:tcPr>
            <w:tcW w:w="1048" w:type="dxa"/>
          </w:tcPr>
          <w:p w14:paraId="420A294C" w14:textId="2E8252A6"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29.14</w:t>
            </w:r>
          </w:p>
        </w:tc>
        <w:tc>
          <w:tcPr>
            <w:tcW w:w="1144" w:type="dxa"/>
          </w:tcPr>
          <w:p w14:paraId="7E5E9A41" w14:textId="58A97455"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66.87</w:t>
            </w:r>
          </w:p>
        </w:tc>
      </w:tr>
      <w:tr w:rsidR="00FB49CB" w:rsidRPr="004A0C12" w14:paraId="52209E3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E212099" w14:textId="27EA3597" w:rsidR="00FB49CB" w:rsidRPr="004A0C12" w:rsidRDefault="00FB49CB" w:rsidP="006B3061">
            <w:pPr>
              <w:pStyle w:val="Tablebody"/>
              <w:rPr>
                <w:rFonts w:cs="Open Sans"/>
                <w:szCs w:val="18"/>
              </w:rPr>
            </w:pPr>
            <w:r w:rsidRPr="004A0C12">
              <w:rPr>
                <w:rFonts w:cs="Open Sans"/>
                <w:szCs w:val="18"/>
              </w:rPr>
              <w:t>V3</w:t>
            </w:r>
          </w:p>
        </w:tc>
        <w:tc>
          <w:tcPr>
            <w:tcW w:w="4819" w:type="dxa"/>
          </w:tcPr>
          <w:p w14:paraId="37EC6A1F" w14:textId="4A915238" w:rsidR="00FB49CB" w:rsidRPr="0073256E"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Many women exaggerate the extent of men’s violence against women^</w:t>
            </w:r>
          </w:p>
        </w:tc>
        <w:tc>
          <w:tcPr>
            <w:tcW w:w="737" w:type="dxa"/>
          </w:tcPr>
          <w:p w14:paraId="03AFE741" w14:textId="440C0F87"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0E4760BD" w14:textId="1DBC7813"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977</w:t>
            </w:r>
          </w:p>
        </w:tc>
        <w:tc>
          <w:tcPr>
            <w:tcW w:w="1129" w:type="dxa"/>
          </w:tcPr>
          <w:p w14:paraId="6356E802" w14:textId="6257360F"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3.67</w:t>
            </w:r>
          </w:p>
        </w:tc>
        <w:tc>
          <w:tcPr>
            <w:tcW w:w="1201" w:type="dxa"/>
          </w:tcPr>
          <w:p w14:paraId="180F7B28" w14:textId="46C1D064"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18.49</w:t>
            </w:r>
          </w:p>
        </w:tc>
        <w:tc>
          <w:tcPr>
            <w:tcW w:w="1185" w:type="dxa"/>
          </w:tcPr>
          <w:p w14:paraId="24F46C9F" w14:textId="1464583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26.47</w:t>
            </w:r>
          </w:p>
        </w:tc>
        <w:tc>
          <w:tcPr>
            <w:tcW w:w="1111" w:type="dxa"/>
          </w:tcPr>
          <w:p w14:paraId="4FF7E75A" w14:textId="6899A95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42.36</w:t>
            </w:r>
          </w:p>
        </w:tc>
        <w:tc>
          <w:tcPr>
            <w:tcW w:w="1205" w:type="dxa"/>
          </w:tcPr>
          <w:p w14:paraId="74734E7E" w14:textId="6A0293F8"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8.89</w:t>
            </w:r>
          </w:p>
        </w:tc>
        <w:tc>
          <w:tcPr>
            <w:tcW w:w="1048" w:type="dxa"/>
          </w:tcPr>
          <w:p w14:paraId="06974012" w14:textId="7FF38CB9"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22.16</w:t>
            </w:r>
          </w:p>
        </w:tc>
        <w:tc>
          <w:tcPr>
            <w:tcW w:w="1144" w:type="dxa"/>
          </w:tcPr>
          <w:p w14:paraId="7381B599" w14:textId="3D6A8A2C" w:rsidR="00FB49CB" w:rsidRPr="004A0C12" w:rsidRDefault="00FB49CB"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68.84</w:t>
            </w:r>
          </w:p>
        </w:tc>
      </w:tr>
    </w:tbl>
    <w:p w14:paraId="6FE136EF" w14:textId="4279F5E6" w:rsidR="008A2612" w:rsidRDefault="00FF698F" w:rsidP="006B3061">
      <w:pPr>
        <w:pStyle w:val="Tablesubheading0"/>
      </w:pPr>
      <w:r>
        <w:lastRenderedPageBreak/>
        <w:t>Subscale:</w:t>
      </w:r>
      <w:r w:rsidRPr="00FF698F">
        <w:t xml:space="preserve"> </w:t>
      </w:r>
      <w:r w:rsidRPr="00531840">
        <w:t>Objectify Women</w:t>
      </w:r>
    </w:p>
    <w:tbl>
      <w:tblPr>
        <w:tblStyle w:val="Table-SingleHeaderRow"/>
        <w:tblW w:w="0" w:type="auto"/>
        <w:tblLayout w:type="fixed"/>
        <w:tblLook w:val="00A0" w:firstRow="1" w:lastRow="0" w:firstColumn="1" w:lastColumn="0" w:noHBand="0" w:noVBand="0"/>
      </w:tblPr>
      <w:tblGrid>
        <w:gridCol w:w="737"/>
        <w:gridCol w:w="4819"/>
        <w:gridCol w:w="737"/>
        <w:gridCol w:w="646"/>
        <w:gridCol w:w="1129"/>
        <w:gridCol w:w="1201"/>
        <w:gridCol w:w="1185"/>
        <w:gridCol w:w="1111"/>
        <w:gridCol w:w="1205"/>
        <w:gridCol w:w="1048"/>
        <w:gridCol w:w="1144"/>
      </w:tblGrid>
      <w:tr w:rsidR="00FF698F" w:rsidRPr="004A0C12" w14:paraId="0D274A3E" w14:textId="77777777" w:rsidTr="006B3061">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37" w:type="dxa"/>
          </w:tcPr>
          <w:p w14:paraId="764B749C" w14:textId="77777777" w:rsidR="00FF698F" w:rsidRPr="004A0C12" w:rsidRDefault="00FF698F" w:rsidP="006B3061">
            <w:pPr>
              <w:pStyle w:val="Tablebody"/>
              <w:rPr>
                <w:b w:val="0"/>
                <w:lang w:val="en-GB"/>
              </w:rPr>
            </w:pPr>
            <w:r w:rsidRPr="004A0C12">
              <w:t>Code</w:t>
            </w:r>
          </w:p>
        </w:tc>
        <w:tc>
          <w:tcPr>
            <w:tcW w:w="4819" w:type="dxa"/>
          </w:tcPr>
          <w:p w14:paraId="47C57B5C"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Abbreviated item wording</w:t>
            </w:r>
          </w:p>
        </w:tc>
        <w:tc>
          <w:tcPr>
            <w:tcW w:w="737" w:type="dxa"/>
          </w:tcPr>
          <w:p w14:paraId="7E1A4778"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Age</w:t>
            </w:r>
          </w:p>
        </w:tc>
        <w:tc>
          <w:tcPr>
            <w:tcW w:w="646" w:type="dxa"/>
          </w:tcPr>
          <w:p w14:paraId="5134B8A2" w14:textId="77777777" w:rsidR="00FF698F" w:rsidRPr="004E25BA" w:rsidRDefault="00FF698F" w:rsidP="006B306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4E25BA">
              <w:rPr>
                <w:rStyle w:val="Emphasis"/>
              </w:rPr>
              <w:t>N</w:t>
            </w:r>
          </w:p>
        </w:tc>
        <w:tc>
          <w:tcPr>
            <w:tcW w:w="1129" w:type="dxa"/>
          </w:tcPr>
          <w:p w14:paraId="6E9C0A5F"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agree</w:t>
            </w:r>
          </w:p>
        </w:tc>
        <w:tc>
          <w:tcPr>
            <w:tcW w:w="1201" w:type="dxa"/>
          </w:tcPr>
          <w:p w14:paraId="7346D173" w14:textId="40897346"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agree</w:t>
            </w:r>
          </w:p>
        </w:tc>
        <w:tc>
          <w:tcPr>
            <w:tcW w:w="1185" w:type="dxa"/>
          </w:tcPr>
          <w:p w14:paraId="7EDE1B30" w14:textId="7418187F"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disagree</w:t>
            </w:r>
          </w:p>
        </w:tc>
        <w:tc>
          <w:tcPr>
            <w:tcW w:w="1111" w:type="dxa"/>
          </w:tcPr>
          <w:p w14:paraId="29C60EBA" w14:textId="5B70B8B2"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disagree</w:t>
            </w:r>
          </w:p>
        </w:tc>
        <w:tc>
          <w:tcPr>
            <w:tcW w:w="1205" w:type="dxa"/>
          </w:tcPr>
          <w:p w14:paraId="2E2FCD03" w14:textId="0E6A688C"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Undecided</w:t>
            </w:r>
          </w:p>
        </w:tc>
        <w:tc>
          <w:tcPr>
            <w:tcW w:w="1048" w:type="dxa"/>
          </w:tcPr>
          <w:p w14:paraId="7AD8C4F4"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agree</w:t>
            </w:r>
            <w:r w:rsidRPr="004A0C12">
              <w:rPr>
                <w:vertAlign w:val="superscript"/>
              </w:rPr>
              <w:t>a</w:t>
            </w:r>
          </w:p>
        </w:tc>
        <w:tc>
          <w:tcPr>
            <w:tcW w:w="1144" w:type="dxa"/>
          </w:tcPr>
          <w:p w14:paraId="6908AED0" w14:textId="77777777" w:rsidR="00FF698F" w:rsidRPr="004A0C12" w:rsidRDefault="00FF698F"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disagree</w:t>
            </w:r>
            <w:r w:rsidRPr="004A0C12">
              <w:rPr>
                <w:vertAlign w:val="superscript"/>
              </w:rPr>
              <w:t>b</w:t>
            </w:r>
          </w:p>
        </w:tc>
      </w:tr>
      <w:tr w:rsidR="00F465F5" w:rsidRPr="004A0C12" w14:paraId="0CFA384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D764586" w14:textId="77777777" w:rsidR="00F465F5" w:rsidRPr="004A0C12" w:rsidRDefault="00F465F5" w:rsidP="006B3061">
            <w:pPr>
              <w:pStyle w:val="Tablebody"/>
              <w:rPr>
                <w:rFonts w:cs="Open Sans"/>
                <w:szCs w:val="18"/>
                <w:lang w:val="en-GB"/>
              </w:rPr>
            </w:pPr>
            <w:r w:rsidRPr="004A0C12">
              <w:rPr>
                <w:rFonts w:cs="Open Sans"/>
                <w:szCs w:val="18"/>
              </w:rPr>
              <w:t>D26</w:t>
            </w:r>
          </w:p>
        </w:tc>
        <w:tc>
          <w:tcPr>
            <w:tcW w:w="4819" w:type="dxa"/>
          </w:tcPr>
          <w:p w14:paraId="5D55E5AB" w14:textId="5AA4BFEC"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who flirt all the time are somewhat to blame if</w:t>
            </w:r>
            <w:r w:rsidR="003D54EA">
              <w:rPr>
                <w:rFonts w:cs="Open Sans"/>
                <w:szCs w:val="18"/>
                <w:lang w:val="en-US"/>
              </w:rPr>
              <w:t> </w:t>
            </w:r>
            <w:r w:rsidRPr="0073256E">
              <w:rPr>
                <w:rFonts w:cs="Open Sans"/>
                <w:szCs w:val="18"/>
                <w:lang w:val="en-US"/>
              </w:rPr>
              <w:t>their partner gets jealous and hits them^</w:t>
            </w:r>
          </w:p>
        </w:tc>
        <w:tc>
          <w:tcPr>
            <w:tcW w:w="737" w:type="dxa"/>
          </w:tcPr>
          <w:p w14:paraId="4358AF9B" w14:textId="77777777"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C55A905" w14:textId="77777777"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29B62EFA" w14:textId="3721CFED"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2.68</w:t>
            </w:r>
            <w:r w:rsidRPr="004A0C12">
              <w:rPr>
                <w:rFonts w:cs="Open Sans"/>
                <w:szCs w:val="18"/>
                <w:vertAlign w:val="superscript"/>
              </w:rPr>
              <w:t>c</w:t>
            </w:r>
          </w:p>
        </w:tc>
        <w:tc>
          <w:tcPr>
            <w:tcW w:w="1201" w:type="dxa"/>
          </w:tcPr>
          <w:p w14:paraId="05F716F3" w14:textId="0A3D8CF9"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13.43</w:t>
            </w:r>
            <w:r w:rsidRPr="004A0C12">
              <w:rPr>
                <w:rFonts w:cs="Open Sans"/>
                <w:szCs w:val="18"/>
                <w:vertAlign w:val="superscript"/>
              </w:rPr>
              <w:t>c</w:t>
            </w:r>
          </w:p>
        </w:tc>
        <w:tc>
          <w:tcPr>
            <w:tcW w:w="1185" w:type="dxa"/>
          </w:tcPr>
          <w:p w14:paraId="4BC3FED1" w14:textId="52BF9142"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19.23</w:t>
            </w:r>
          </w:p>
        </w:tc>
        <w:tc>
          <w:tcPr>
            <w:tcW w:w="1111" w:type="dxa"/>
          </w:tcPr>
          <w:p w14:paraId="3C3F2403" w14:textId="1A346B91"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62.99</w:t>
            </w:r>
          </w:p>
        </w:tc>
        <w:tc>
          <w:tcPr>
            <w:tcW w:w="1205" w:type="dxa"/>
          </w:tcPr>
          <w:p w14:paraId="2C9A3CFC" w14:textId="680F644D"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1.67</w:t>
            </w:r>
          </w:p>
        </w:tc>
        <w:tc>
          <w:tcPr>
            <w:tcW w:w="1048" w:type="dxa"/>
          </w:tcPr>
          <w:p w14:paraId="23047CBF" w14:textId="1B7FB9F7"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16.11</w:t>
            </w:r>
            <w:r w:rsidRPr="004A0C12">
              <w:rPr>
                <w:rFonts w:cs="Open Sans"/>
                <w:szCs w:val="18"/>
                <w:vertAlign w:val="superscript"/>
              </w:rPr>
              <w:t>c</w:t>
            </w:r>
          </w:p>
        </w:tc>
        <w:tc>
          <w:tcPr>
            <w:tcW w:w="1144" w:type="dxa"/>
          </w:tcPr>
          <w:p w14:paraId="72E3171A" w14:textId="3187DAE1" w:rsidR="00F465F5" w:rsidRPr="004A0C12" w:rsidRDefault="00F465F5"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82.22</w:t>
            </w:r>
          </w:p>
        </w:tc>
      </w:tr>
      <w:tr w:rsidR="009B0154" w:rsidRPr="004A0C12" w14:paraId="516963BA"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E39DFA" w14:textId="347F1CCD" w:rsidR="009B0154" w:rsidRPr="004A0C12" w:rsidRDefault="009B0154" w:rsidP="006B3061">
            <w:pPr>
              <w:pStyle w:val="Tablebody"/>
              <w:rPr>
                <w:rFonts w:cs="Open Sans"/>
                <w:szCs w:val="18"/>
              </w:rPr>
            </w:pPr>
            <w:r w:rsidRPr="004A0C12">
              <w:rPr>
                <w:rFonts w:cs="Open Sans"/>
                <w:szCs w:val="18"/>
              </w:rPr>
              <w:t>D26</w:t>
            </w:r>
          </w:p>
        </w:tc>
        <w:tc>
          <w:tcPr>
            <w:tcW w:w="4819" w:type="dxa"/>
          </w:tcPr>
          <w:p w14:paraId="5030680B" w14:textId="46BD22C8"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who flirt all the time are somewhat to blame if</w:t>
            </w:r>
            <w:r>
              <w:rPr>
                <w:rFonts w:cs="Open Sans"/>
                <w:szCs w:val="18"/>
                <w:lang w:val="en-US"/>
              </w:rPr>
              <w:t> </w:t>
            </w:r>
            <w:r w:rsidRPr="0073256E">
              <w:rPr>
                <w:rFonts w:cs="Open Sans"/>
                <w:szCs w:val="18"/>
                <w:lang w:val="en-US"/>
              </w:rPr>
              <w:t>their partner gets jealous and hits them^</w:t>
            </w:r>
          </w:p>
        </w:tc>
        <w:tc>
          <w:tcPr>
            <w:tcW w:w="737" w:type="dxa"/>
          </w:tcPr>
          <w:p w14:paraId="6C14614F" w14:textId="60EC2F4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64E60271" w14:textId="5FDE310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66F894DF" w14:textId="6A0B8D8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1.59</w:t>
            </w:r>
            <w:r w:rsidRPr="004A0C12">
              <w:rPr>
                <w:rFonts w:cs="Open Sans"/>
                <w:szCs w:val="18"/>
                <w:vertAlign w:val="superscript"/>
              </w:rPr>
              <w:t>c</w:t>
            </w:r>
          </w:p>
        </w:tc>
        <w:tc>
          <w:tcPr>
            <w:tcW w:w="1201" w:type="dxa"/>
          </w:tcPr>
          <w:p w14:paraId="69741776" w14:textId="5841E99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6.51</w:t>
            </w:r>
          </w:p>
        </w:tc>
        <w:tc>
          <w:tcPr>
            <w:tcW w:w="1185" w:type="dxa"/>
          </w:tcPr>
          <w:p w14:paraId="25B4EBA7" w14:textId="73AADC0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13.62</w:t>
            </w:r>
          </w:p>
        </w:tc>
        <w:tc>
          <w:tcPr>
            <w:tcW w:w="1111" w:type="dxa"/>
          </w:tcPr>
          <w:p w14:paraId="28C11AB8" w14:textId="7CC8161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75.61</w:t>
            </w:r>
          </w:p>
        </w:tc>
        <w:tc>
          <w:tcPr>
            <w:tcW w:w="1205" w:type="dxa"/>
          </w:tcPr>
          <w:p w14:paraId="132ACF67" w14:textId="2305567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2.58</w:t>
            </w:r>
          </w:p>
        </w:tc>
        <w:tc>
          <w:tcPr>
            <w:tcW w:w="1048" w:type="dxa"/>
          </w:tcPr>
          <w:p w14:paraId="6C634BA0" w14:textId="1ED1E2E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8.10</w:t>
            </w:r>
          </w:p>
        </w:tc>
        <w:tc>
          <w:tcPr>
            <w:tcW w:w="1144" w:type="dxa"/>
          </w:tcPr>
          <w:p w14:paraId="38593595" w14:textId="74FB689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89.23</w:t>
            </w:r>
          </w:p>
        </w:tc>
      </w:tr>
      <w:tr w:rsidR="009B0154" w:rsidRPr="004A0C12" w14:paraId="724B4623"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B092716" w14:textId="77777777" w:rsidR="009B0154" w:rsidRPr="004A0C12" w:rsidRDefault="009B0154" w:rsidP="006B3061">
            <w:pPr>
              <w:pStyle w:val="Tablebody"/>
              <w:rPr>
                <w:rFonts w:cs="Open Sans"/>
                <w:szCs w:val="18"/>
                <w:lang w:val="en-GB"/>
              </w:rPr>
            </w:pPr>
            <w:r w:rsidRPr="004A0C12">
              <w:rPr>
                <w:rFonts w:cs="Open Sans"/>
                <w:szCs w:val="18"/>
              </w:rPr>
              <w:t>S3</w:t>
            </w:r>
          </w:p>
        </w:tc>
        <w:tc>
          <w:tcPr>
            <w:tcW w:w="4819" w:type="dxa"/>
          </w:tcPr>
          <w:p w14:paraId="492D40A5" w14:textId="77777777" w:rsidR="009B0154" w:rsidRPr="003D54EA"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GB"/>
              </w:rPr>
            </w:pPr>
            <w:r w:rsidRPr="003D54EA">
              <w:rPr>
                <w:rFonts w:cs="Open Sans"/>
                <w:spacing w:val="-2"/>
                <w:szCs w:val="18"/>
                <w:lang w:val="en-US"/>
              </w:rPr>
              <w:t>A woman should be flattered if she gets wolf-whistles or catcalls when walking past a group of men in public^</w:t>
            </w:r>
          </w:p>
        </w:tc>
        <w:tc>
          <w:tcPr>
            <w:tcW w:w="737" w:type="dxa"/>
          </w:tcPr>
          <w:p w14:paraId="6815E8FC"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2B97ECBB"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w:t>
            </w:r>
          </w:p>
        </w:tc>
        <w:tc>
          <w:tcPr>
            <w:tcW w:w="1129" w:type="dxa"/>
          </w:tcPr>
          <w:p w14:paraId="7F4347E3" w14:textId="5634C3C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1.64</w:t>
            </w:r>
            <w:r w:rsidRPr="004A0C12">
              <w:rPr>
                <w:rFonts w:cs="Open Sans"/>
                <w:szCs w:val="18"/>
                <w:vertAlign w:val="superscript"/>
              </w:rPr>
              <w:t>c</w:t>
            </w:r>
          </w:p>
        </w:tc>
        <w:tc>
          <w:tcPr>
            <w:tcW w:w="1201" w:type="dxa"/>
          </w:tcPr>
          <w:p w14:paraId="0416BBA2" w14:textId="581D9E4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6.63</w:t>
            </w:r>
            <w:r w:rsidRPr="004A0C12">
              <w:rPr>
                <w:rFonts w:cs="Open Sans"/>
                <w:szCs w:val="18"/>
                <w:vertAlign w:val="superscript"/>
              </w:rPr>
              <w:t>c</w:t>
            </w:r>
          </w:p>
        </w:tc>
        <w:tc>
          <w:tcPr>
            <w:tcW w:w="1185" w:type="dxa"/>
          </w:tcPr>
          <w:p w14:paraId="77FC2824" w14:textId="3C73918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27.75</w:t>
            </w:r>
          </w:p>
        </w:tc>
        <w:tc>
          <w:tcPr>
            <w:tcW w:w="1111" w:type="dxa"/>
          </w:tcPr>
          <w:p w14:paraId="61228218" w14:textId="38A3D77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62.95</w:t>
            </w:r>
          </w:p>
        </w:tc>
        <w:tc>
          <w:tcPr>
            <w:tcW w:w="1205" w:type="dxa"/>
          </w:tcPr>
          <w:p w14:paraId="1DD49338" w14:textId="008ECDA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0.21</w:t>
            </w:r>
          </w:p>
        </w:tc>
        <w:tc>
          <w:tcPr>
            <w:tcW w:w="1048" w:type="dxa"/>
          </w:tcPr>
          <w:p w14:paraId="1CB6AF93" w14:textId="4B1C718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8.27</w:t>
            </w:r>
            <w:r w:rsidRPr="004A0C12">
              <w:rPr>
                <w:rFonts w:cs="Open Sans"/>
                <w:szCs w:val="18"/>
                <w:vertAlign w:val="superscript"/>
              </w:rPr>
              <w:t>c</w:t>
            </w:r>
          </w:p>
        </w:tc>
        <w:tc>
          <w:tcPr>
            <w:tcW w:w="1144" w:type="dxa"/>
          </w:tcPr>
          <w:p w14:paraId="1DE1962F" w14:textId="0173263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90.71</w:t>
            </w:r>
          </w:p>
        </w:tc>
      </w:tr>
      <w:tr w:rsidR="009B0154" w:rsidRPr="004A0C12" w14:paraId="75DE6E3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C5CD365" w14:textId="2EF99F9F" w:rsidR="009B0154" w:rsidRPr="004A0C12" w:rsidRDefault="009B0154" w:rsidP="006B3061">
            <w:pPr>
              <w:pStyle w:val="Tablebody"/>
              <w:rPr>
                <w:rFonts w:cs="Open Sans"/>
                <w:szCs w:val="18"/>
              </w:rPr>
            </w:pPr>
            <w:r w:rsidRPr="004A0C12">
              <w:rPr>
                <w:rFonts w:cs="Open Sans"/>
                <w:szCs w:val="18"/>
              </w:rPr>
              <w:t>S3</w:t>
            </w:r>
          </w:p>
        </w:tc>
        <w:tc>
          <w:tcPr>
            <w:tcW w:w="4819" w:type="dxa"/>
          </w:tcPr>
          <w:p w14:paraId="7026BBBB" w14:textId="30CE9429" w:rsidR="009B0154" w:rsidRPr="003D54EA"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US"/>
              </w:rPr>
            </w:pPr>
            <w:r w:rsidRPr="0073256E">
              <w:rPr>
                <w:rFonts w:cs="Open Sans"/>
                <w:szCs w:val="18"/>
                <w:lang w:val="en-US"/>
              </w:rPr>
              <w:t>A woman should be flattered if she gets wolf-whistles or catcalls when walking past a group of men in public^</w:t>
            </w:r>
          </w:p>
        </w:tc>
        <w:tc>
          <w:tcPr>
            <w:tcW w:w="737" w:type="dxa"/>
          </w:tcPr>
          <w:p w14:paraId="18FCE04F" w14:textId="0016B88C"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835F56A" w14:textId="02B2899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977</w:t>
            </w:r>
          </w:p>
        </w:tc>
        <w:tc>
          <w:tcPr>
            <w:tcW w:w="1129" w:type="dxa"/>
          </w:tcPr>
          <w:p w14:paraId="0914BEA0" w14:textId="1653FD5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2.60</w:t>
            </w:r>
          </w:p>
        </w:tc>
        <w:tc>
          <w:tcPr>
            <w:tcW w:w="1201" w:type="dxa"/>
          </w:tcPr>
          <w:p w14:paraId="7BE1AECD" w14:textId="2F2B5B5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3.59</w:t>
            </w:r>
          </w:p>
        </w:tc>
        <w:tc>
          <w:tcPr>
            <w:tcW w:w="1185" w:type="dxa"/>
          </w:tcPr>
          <w:p w14:paraId="1BFBF4E6" w14:textId="2D5C646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18.28</w:t>
            </w:r>
          </w:p>
        </w:tc>
        <w:tc>
          <w:tcPr>
            <w:tcW w:w="1111" w:type="dxa"/>
          </w:tcPr>
          <w:p w14:paraId="2BEEC9F0" w14:textId="4C85A45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72.38</w:t>
            </w:r>
          </w:p>
        </w:tc>
        <w:tc>
          <w:tcPr>
            <w:tcW w:w="1205" w:type="dxa"/>
          </w:tcPr>
          <w:p w14:paraId="02C5C060" w14:textId="3DFE189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2.91</w:t>
            </w:r>
          </w:p>
        </w:tc>
        <w:tc>
          <w:tcPr>
            <w:tcW w:w="1048" w:type="dxa"/>
          </w:tcPr>
          <w:p w14:paraId="7771E196" w14:textId="580205D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6.20</w:t>
            </w:r>
          </w:p>
        </w:tc>
        <w:tc>
          <w:tcPr>
            <w:tcW w:w="1144" w:type="dxa"/>
          </w:tcPr>
          <w:p w14:paraId="66E838F8" w14:textId="60A5D5C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90.66</w:t>
            </w:r>
          </w:p>
        </w:tc>
      </w:tr>
      <w:tr w:rsidR="009B0154" w:rsidRPr="004A0C12" w14:paraId="112B9DD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6453D63" w14:textId="77777777" w:rsidR="009B0154" w:rsidRPr="004A0C12" w:rsidRDefault="009B0154" w:rsidP="006B3061">
            <w:pPr>
              <w:pStyle w:val="Tablebody"/>
              <w:rPr>
                <w:rFonts w:cs="Open Sans"/>
                <w:szCs w:val="18"/>
                <w:lang w:val="en-GB"/>
              </w:rPr>
            </w:pPr>
            <w:r w:rsidRPr="004A0C12">
              <w:rPr>
                <w:rFonts w:cs="Open Sans"/>
                <w:szCs w:val="18"/>
              </w:rPr>
              <w:t>S4</w:t>
            </w:r>
          </w:p>
        </w:tc>
        <w:tc>
          <w:tcPr>
            <w:tcW w:w="4819" w:type="dxa"/>
          </w:tcPr>
          <w:p w14:paraId="0950E35F"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is drunk and starts having sex with a man, but then falls asleep, it is understandable if he continues having sex with her anyway^</w:t>
            </w:r>
          </w:p>
        </w:tc>
        <w:tc>
          <w:tcPr>
            <w:tcW w:w="737" w:type="dxa"/>
          </w:tcPr>
          <w:p w14:paraId="7F2F7645"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5AD92F33"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39EC8FA6" w14:textId="3357033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1.20</w:t>
            </w:r>
            <w:r w:rsidRPr="004A0C12">
              <w:rPr>
                <w:rFonts w:cs="Open Sans"/>
                <w:szCs w:val="18"/>
                <w:vertAlign w:val="superscript"/>
              </w:rPr>
              <w:t>c</w:t>
            </w:r>
          </w:p>
        </w:tc>
        <w:tc>
          <w:tcPr>
            <w:tcW w:w="1201" w:type="dxa"/>
          </w:tcPr>
          <w:p w14:paraId="60EC0A8C" w14:textId="2C2410A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3.13</w:t>
            </w:r>
            <w:r w:rsidRPr="004A0C12">
              <w:rPr>
                <w:rFonts w:cs="Open Sans"/>
                <w:szCs w:val="18"/>
                <w:vertAlign w:val="superscript"/>
              </w:rPr>
              <w:t>c</w:t>
            </w:r>
          </w:p>
        </w:tc>
        <w:tc>
          <w:tcPr>
            <w:tcW w:w="1185" w:type="dxa"/>
          </w:tcPr>
          <w:p w14:paraId="4E660549" w14:textId="7E9FBA2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9.51</w:t>
            </w:r>
            <w:r w:rsidRPr="004A0C12">
              <w:rPr>
                <w:rFonts w:cs="Open Sans"/>
                <w:szCs w:val="18"/>
                <w:vertAlign w:val="superscript"/>
              </w:rPr>
              <w:t>c</w:t>
            </w:r>
          </w:p>
        </w:tc>
        <w:tc>
          <w:tcPr>
            <w:tcW w:w="1111" w:type="dxa"/>
          </w:tcPr>
          <w:p w14:paraId="164F210B" w14:textId="499A486C"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86.17</w:t>
            </w:r>
          </w:p>
        </w:tc>
        <w:tc>
          <w:tcPr>
            <w:tcW w:w="1205" w:type="dxa"/>
          </w:tcPr>
          <w:p w14:paraId="21BB1298" w14:textId="2E61AA6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4288645E" w14:textId="13B4953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4.33</w:t>
            </w:r>
            <w:r w:rsidRPr="004A0C12">
              <w:rPr>
                <w:rFonts w:cs="Open Sans"/>
                <w:szCs w:val="18"/>
                <w:vertAlign w:val="superscript"/>
              </w:rPr>
              <w:t>c</w:t>
            </w:r>
          </w:p>
        </w:tc>
        <w:tc>
          <w:tcPr>
            <w:tcW w:w="1144" w:type="dxa"/>
          </w:tcPr>
          <w:p w14:paraId="009938FB" w14:textId="3FC5F0B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95.67</w:t>
            </w:r>
          </w:p>
        </w:tc>
      </w:tr>
      <w:tr w:rsidR="009B0154" w:rsidRPr="004A0C12" w14:paraId="6D3348A5"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EEC36E3" w14:textId="57B894FE" w:rsidR="009B0154" w:rsidRPr="004A0C12" w:rsidRDefault="009B0154" w:rsidP="006B3061">
            <w:pPr>
              <w:pStyle w:val="Tablebody"/>
              <w:rPr>
                <w:rFonts w:cs="Open Sans"/>
                <w:szCs w:val="18"/>
              </w:rPr>
            </w:pPr>
            <w:r w:rsidRPr="004A0C12">
              <w:rPr>
                <w:rFonts w:cs="Open Sans"/>
                <w:szCs w:val="18"/>
              </w:rPr>
              <w:t>S4</w:t>
            </w:r>
          </w:p>
        </w:tc>
        <w:tc>
          <w:tcPr>
            <w:tcW w:w="4819" w:type="dxa"/>
          </w:tcPr>
          <w:p w14:paraId="4702A67D" w14:textId="0DB88D42"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is drunk and starts having sex with a man, but then falls asleep, it is understandable if he continues having sex with her anyway^</w:t>
            </w:r>
          </w:p>
        </w:tc>
        <w:tc>
          <w:tcPr>
            <w:tcW w:w="737" w:type="dxa"/>
          </w:tcPr>
          <w:p w14:paraId="4BB9E559" w14:textId="7C0FD77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5A05C4D" w14:textId="06CAF7A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6401CF0F" w14:textId="338BBDA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0.71</w:t>
            </w:r>
            <w:r w:rsidRPr="004A0C12">
              <w:rPr>
                <w:rFonts w:cs="Open Sans"/>
                <w:szCs w:val="18"/>
                <w:vertAlign w:val="superscript"/>
              </w:rPr>
              <w:t>c</w:t>
            </w:r>
          </w:p>
        </w:tc>
        <w:tc>
          <w:tcPr>
            <w:tcW w:w="1201" w:type="dxa"/>
          </w:tcPr>
          <w:p w14:paraId="34717187" w14:textId="12F860E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3.07</w:t>
            </w:r>
            <w:r w:rsidRPr="004A0C12">
              <w:rPr>
                <w:rFonts w:cs="Open Sans"/>
                <w:szCs w:val="18"/>
                <w:vertAlign w:val="superscript"/>
              </w:rPr>
              <w:t>c</w:t>
            </w:r>
          </w:p>
        </w:tc>
        <w:tc>
          <w:tcPr>
            <w:tcW w:w="1185" w:type="dxa"/>
          </w:tcPr>
          <w:p w14:paraId="7F1D2447" w14:textId="5DAB3E1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7.30</w:t>
            </w:r>
          </w:p>
        </w:tc>
        <w:tc>
          <w:tcPr>
            <w:tcW w:w="1111" w:type="dxa"/>
          </w:tcPr>
          <w:p w14:paraId="1C05A8A3" w14:textId="0D79B19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87.25</w:t>
            </w:r>
          </w:p>
        </w:tc>
        <w:tc>
          <w:tcPr>
            <w:tcW w:w="1205" w:type="dxa"/>
          </w:tcPr>
          <w:p w14:paraId="20233DF9" w14:textId="109F321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1.67</w:t>
            </w:r>
          </w:p>
        </w:tc>
        <w:tc>
          <w:tcPr>
            <w:tcW w:w="1048" w:type="dxa"/>
          </w:tcPr>
          <w:p w14:paraId="030D3B40" w14:textId="465191B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3.78</w:t>
            </w:r>
          </w:p>
        </w:tc>
        <w:tc>
          <w:tcPr>
            <w:tcW w:w="1144" w:type="dxa"/>
          </w:tcPr>
          <w:p w14:paraId="2DA6A5CC" w14:textId="424F1E6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94.55</w:t>
            </w:r>
          </w:p>
        </w:tc>
      </w:tr>
      <w:tr w:rsidR="009B0154" w:rsidRPr="004A0C12" w14:paraId="2A79F4F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E1672D3" w14:textId="77777777" w:rsidR="009B0154" w:rsidRPr="004A0C12" w:rsidRDefault="009B0154" w:rsidP="006B3061">
            <w:pPr>
              <w:pStyle w:val="Tablebody"/>
              <w:rPr>
                <w:rFonts w:cs="Open Sans"/>
                <w:szCs w:val="18"/>
                <w:lang w:val="en-GB"/>
              </w:rPr>
            </w:pPr>
            <w:r w:rsidRPr="004A0C12">
              <w:rPr>
                <w:rFonts w:cs="Open Sans"/>
                <w:szCs w:val="18"/>
              </w:rPr>
              <w:t>S5</w:t>
            </w:r>
          </w:p>
        </w:tc>
        <w:tc>
          <w:tcPr>
            <w:tcW w:w="4819" w:type="dxa"/>
          </w:tcPr>
          <w:p w14:paraId="5E3FDD05"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often say “no” when they mean “yes”^</w:t>
            </w:r>
          </w:p>
        </w:tc>
        <w:tc>
          <w:tcPr>
            <w:tcW w:w="737" w:type="dxa"/>
          </w:tcPr>
          <w:p w14:paraId="530EF6E3"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02235CA"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w:t>
            </w:r>
          </w:p>
        </w:tc>
        <w:tc>
          <w:tcPr>
            <w:tcW w:w="1129" w:type="dxa"/>
          </w:tcPr>
          <w:p w14:paraId="417F7FA1" w14:textId="48B70CE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2.02</w:t>
            </w:r>
            <w:r w:rsidRPr="004A0C12">
              <w:rPr>
                <w:rFonts w:cs="Open Sans"/>
                <w:szCs w:val="18"/>
                <w:vertAlign w:val="superscript"/>
              </w:rPr>
              <w:t>c</w:t>
            </w:r>
          </w:p>
        </w:tc>
        <w:tc>
          <w:tcPr>
            <w:tcW w:w="1201" w:type="dxa"/>
          </w:tcPr>
          <w:p w14:paraId="44C9A272" w14:textId="17F90EBC"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8.23</w:t>
            </w:r>
            <w:r w:rsidRPr="004A0C12">
              <w:rPr>
                <w:rFonts w:cs="Open Sans"/>
                <w:szCs w:val="18"/>
                <w:vertAlign w:val="superscript"/>
              </w:rPr>
              <w:t>c</w:t>
            </w:r>
          </w:p>
        </w:tc>
        <w:tc>
          <w:tcPr>
            <w:tcW w:w="1185" w:type="dxa"/>
          </w:tcPr>
          <w:p w14:paraId="21DF255C" w14:textId="3860AF3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14.02</w:t>
            </w:r>
          </w:p>
        </w:tc>
        <w:tc>
          <w:tcPr>
            <w:tcW w:w="1111" w:type="dxa"/>
          </w:tcPr>
          <w:p w14:paraId="54B2971B" w14:textId="702EF6C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73.35</w:t>
            </w:r>
          </w:p>
        </w:tc>
        <w:tc>
          <w:tcPr>
            <w:tcW w:w="1205" w:type="dxa"/>
          </w:tcPr>
          <w:p w14:paraId="738A8287" w14:textId="54BEC8D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2.37</w:t>
            </w:r>
          </w:p>
        </w:tc>
        <w:tc>
          <w:tcPr>
            <w:tcW w:w="1048" w:type="dxa"/>
          </w:tcPr>
          <w:p w14:paraId="5B2394F6" w14:textId="2F5D7CD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10.25</w:t>
            </w:r>
            <w:r w:rsidRPr="004A0C12">
              <w:rPr>
                <w:rFonts w:cs="Open Sans"/>
                <w:szCs w:val="18"/>
                <w:vertAlign w:val="superscript"/>
              </w:rPr>
              <w:t>c</w:t>
            </w:r>
          </w:p>
        </w:tc>
        <w:tc>
          <w:tcPr>
            <w:tcW w:w="1144" w:type="dxa"/>
          </w:tcPr>
          <w:p w14:paraId="1FC02C8E" w14:textId="362B22E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87.37</w:t>
            </w:r>
          </w:p>
        </w:tc>
      </w:tr>
      <w:tr w:rsidR="009B0154" w:rsidRPr="004A0C12" w14:paraId="7FC09E1F"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CC329F6" w14:textId="026A83DF" w:rsidR="009B0154" w:rsidRPr="004A0C12" w:rsidRDefault="009B0154" w:rsidP="006B3061">
            <w:pPr>
              <w:pStyle w:val="Tablebody"/>
              <w:rPr>
                <w:rFonts w:cs="Open Sans"/>
                <w:szCs w:val="18"/>
              </w:rPr>
            </w:pPr>
            <w:r w:rsidRPr="004A0C12">
              <w:rPr>
                <w:rFonts w:cs="Open Sans"/>
                <w:szCs w:val="18"/>
              </w:rPr>
              <w:t>S5</w:t>
            </w:r>
          </w:p>
        </w:tc>
        <w:tc>
          <w:tcPr>
            <w:tcW w:w="4819" w:type="dxa"/>
          </w:tcPr>
          <w:p w14:paraId="562D8A86" w14:textId="1BDCAD73"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often say “no” when they mean “yes”^</w:t>
            </w:r>
          </w:p>
        </w:tc>
        <w:tc>
          <w:tcPr>
            <w:tcW w:w="737" w:type="dxa"/>
          </w:tcPr>
          <w:p w14:paraId="2C280D73" w14:textId="7BF6D8BC"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1798B54B" w14:textId="47E59AD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977</w:t>
            </w:r>
          </w:p>
        </w:tc>
        <w:tc>
          <w:tcPr>
            <w:tcW w:w="1129" w:type="dxa"/>
          </w:tcPr>
          <w:p w14:paraId="586FC0C8" w14:textId="4E71C50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1.91</w:t>
            </w:r>
            <w:r w:rsidRPr="004A0C12">
              <w:rPr>
                <w:rFonts w:cs="Open Sans"/>
                <w:szCs w:val="18"/>
                <w:vertAlign w:val="superscript"/>
              </w:rPr>
              <w:t>c</w:t>
            </w:r>
          </w:p>
        </w:tc>
        <w:tc>
          <w:tcPr>
            <w:tcW w:w="1201" w:type="dxa"/>
          </w:tcPr>
          <w:p w14:paraId="52439DE2" w14:textId="7D9F993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7.52</w:t>
            </w:r>
          </w:p>
        </w:tc>
        <w:tc>
          <w:tcPr>
            <w:tcW w:w="1185" w:type="dxa"/>
          </w:tcPr>
          <w:p w14:paraId="070CD028" w14:textId="6EC5DBB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12.10</w:t>
            </w:r>
          </w:p>
        </w:tc>
        <w:tc>
          <w:tcPr>
            <w:tcW w:w="1111" w:type="dxa"/>
          </w:tcPr>
          <w:p w14:paraId="119A34F9" w14:textId="378B351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75.51</w:t>
            </w:r>
          </w:p>
        </w:tc>
        <w:tc>
          <w:tcPr>
            <w:tcW w:w="1205" w:type="dxa"/>
          </w:tcPr>
          <w:p w14:paraId="63EEEEE6" w14:textId="7280174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2.89</w:t>
            </w:r>
          </w:p>
        </w:tc>
        <w:tc>
          <w:tcPr>
            <w:tcW w:w="1048" w:type="dxa"/>
          </w:tcPr>
          <w:p w14:paraId="604FE178" w14:textId="3709146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9.43</w:t>
            </w:r>
          </w:p>
        </w:tc>
        <w:tc>
          <w:tcPr>
            <w:tcW w:w="1144" w:type="dxa"/>
          </w:tcPr>
          <w:p w14:paraId="7389925B" w14:textId="7260433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87.61</w:t>
            </w:r>
          </w:p>
        </w:tc>
      </w:tr>
      <w:tr w:rsidR="009B0154" w:rsidRPr="004A0C12" w14:paraId="2CFE7E5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D670BEC" w14:textId="77777777" w:rsidR="009B0154" w:rsidRPr="004A0C12" w:rsidRDefault="009B0154" w:rsidP="006B3061">
            <w:pPr>
              <w:pStyle w:val="Tablebody"/>
              <w:rPr>
                <w:rFonts w:cs="Open Sans"/>
                <w:szCs w:val="18"/>
                <w:lang w:val="en-GB"/>
              </w:rPr>
            </w:pPr>
            <w:r w:rsidRPr="004A0C12">
              <w:rPr>
                <w:rFonts w:cs="Open Sans"/>
                <w:szCs w:val="18"/>
              </w:rPr>
              <w:t>S6</w:t>
            </w:r>
          </w:p>
        </w:tc>
        <w:tc>
          <w:tcPr>
            <w:tcW w:w="4819" w:type="dxa"/>
          </w:tcPr>
          <w:p w14:paraId="154110AA"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sends a naked picture to her partner, then she is partly responsible if he shares it without her permission</w:t>
            </w:r>
          </w:p>
        </w:tc>
        <w:tc>
          <w:tcPr>
            <w:tcW w:w="737" w:type="dxa"/>
          </w:tcPr>
          <w:p w14:paraId="7C28F882"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4AD2A09E"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018030DF" w14:textId="6976574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8.02</w:t>
            </w:r>
          </w:p>
        </w:tc>
        <w:tc>
          <w:tcPr>
            <w:tcW w:w="1201" w:type="dxa"/>
          </w:tcPr>
          <w:p w14:paraId="76304EA6" w14:textId="7BFF3D3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14.20</w:t>
            </w:r>
          </w:p>
        </w:tc>
        <w:tc>
          <w:tcPr>
            <w:tcW w:w="1185" w:type="dxa"/>
          </w:tcPr>
          <w:p w14:paraId="3AB66857" w14:textId="09DB916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10.45</w:t>
            </w:r>
          </w:p>
        </w:tc>
        <w:tc>
          <w:tcPr>
            <w:tcW w:w="1111" w:type="dxa"/>
          </w:tcPr>
          <w:p w14:paraId="26B5ABE8" w14:textId="476658D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67.33</w:t>
            </w:r>
          </w:p>
        </w:tc>
        <w:tc>
          <w:tcPr>
            <w:tcW w:w="1205" w:type="dxa"/>
          </w:tcPr>
          <w:p w14:paraId="24AEA2B5" w14:textId="3C6BE97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7D9E9F2F" w14:textId="12E7F8C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22.22</w:t>
            </w:r>
          </w:p>
        </w:tc>
        <w:tc>
          <w:tcPr>
            <w:tcW w:w="1144" w:type="dxa"/>
          </w:tcPr>
          <w:p w14:paraId="48D84C93" w14:textId="6840E5B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77.78</w:t>
            </w:r>
          </w:p>
        </w:tc>
      </w:tr>
      <w:tr w:rsidR="009B0154" w:rsidRPr="004A0C12" w14:paraId="50C27D0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B2E8BC5" w14:textId="498A82B2" w:rsidR="009B0154" w:rsidRPr="004A0C12" w:rsidRDefault="009B0154" w:rsidP="006B3061">
            <w:pPr>
              <w:pStyle w:val="Tablebody"/>
              <w:rPr>
                <w:rFonts w:cs="Open Sans"/>
                <w:szCs w:val="18"/>
              </w:rPr>
            </w:pPr>
            <w:r w:rsidRPr="004A0C12">
              <w:rPr>
                <w:rFonts w:cs="Open Sans"/>
                <w:szCs w:val="18"/>
              </w:rPr>
              <w:t>S6</w:t>
            </w:r>
          </w:p>
        </w:tc>
        <w:tc>
          <w:tcPr>
            <w:tcW w:w="4819" w:type="dxa"/>
          </w:tcPr>
          <w:p w14:paraId="13B4B439" w14:textId="0150362A"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sends a naked picture to her partner, then she is partly responsible if he shares it without her permission</w:t>
            </w:r>
          </w:p>
        </w:tc>
        <w:tc>
          <w:tcPr>
            <w:tcW w:w="737" w:type="dxa"/>
          </w:tcPr>
          <w:p w14:paraId="1672B644" w14:textId="7D3A9EE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49C71416" w14:textId="4CEF063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755A7179" w14:textId="08CE72E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5.53</w:t>
            </w:r>
          </w:p>
        </w:tc>
        <w:tc>
          <w:tcPr>
            <w:tcW w:w="1201" w:type="dxa"/>
          </w:tcPr>
          <w:p w14:paraId="29C014DC" w14:textId="731BCD1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11.31</w:t>
            </w:r>
          </w:p>
        </w:tc>
        <w:tc>
          <w:tcPr>
            <w:tcW w:w="1185" w:type="dxa"/>
          </w:tcPr>
          <w:p w14:paraId="48ED16F6" w14:textId="0C986AF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10.92</w:t>
            </w:r>
          </w:p>
        </w:tc>
        <w:tc>
          <w:tcPr>
            <w:tcW w:w="1111" w:type="dxa"/>
          </w:tcPr>
          <w:p w14:paraId="4A96A971" w14:textId="4E4B42D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70.99</w:t>
            </w:r>
          </w:p>
        </w:tc>
        <w:tc>
          <w:tcPr>
            <w:tcW w:w="1205" w:type="dxa"/>
          </w:tcPr>
          <w:p w14:paraId="10EF383C" w14:textId="3850212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1.20</w:t>
            </w:r>
          </w:p>
        </w:tc>
        <w:tc>
          <w:tcPr>
            <w:tcW w:w="1048" w:type="dxa"/>
          </w:tcPr>
          <w:p w14:paraId="444D03A7" w14:textId="75148FFC"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16.84</w:t>
            </w:r>
          </w:p>
        </w:tc>
        <w:tc>
          <w:tcPr>
            <w:tcW w:w="1144" w:type="dxa"/>
          </w:tcPr>
          <w:p w14:paraId="5991FDCD" w14:textId="30E4A6F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81.91</w:t>
            </w:r>
          </w:p>
        </w:tc>
      </w:tr>
      <w:tr w:rsidR="009B0154" w:rsidRPr="004A0C12" w14:paraId="3CD8B78C"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10C0A0D" w14:textId="77777777" w:rsidR="009B0154" w:rsidRPr="004A0C12" w:rsidRDefault="009B0154" w:rsidP="006B3061">
            <w:pPr>
              <w:pStyle w:val="Tablebody"/>
              <w:rPr>
                <w:rFonts w:cs="Open Sans"/>
                <w:szCs w:val="18"/>
                <w:lang w:val="en-GB"/>
              </w:rPr>
            </w:pPr>
            <w:r w:rsidRPr="004A0C12">
              <w:rPr>
                <w:rFonts w:cs="Open Sans"/>
                <w:szCs w:val="18"/>
              </w:rPr>
              <w:t>S7</w:t>
            </w:r>
          </w:p>
        </w:tc>
        <w:tc>
          <w:tcPr>
            <w:tcW w:w="4819" w:type="dxa"/>
          </w:tcPr>
          <w:p w14:paraId="55EA6977"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Since some women are so sexual in public, it’s understandable that some men think they can touch women without permission</w:t>
            </w:r>
          </w:p>
        </w:tc>
        <w:tc>
          <w:tcPr>
            <w:tcW w:w="737" w:type="dxa"/>
          </w:tcPr>
          <w:p w14:paraId="1CDCE4C8"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61418B5F"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6E7B4D2B" w14:textId="264FA31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2.34</w:t>
            </w:r>
            <w:r w:rsidRPr="004A0C12">
              <w:rPr>
                <w:rFonts w:cs="Open Sans"/>
                <w:szCs w:val="18"/>
                <w:vertAlign w:val="superscript"/>
              </w:rPr>
              <w:t>c</w:t>
            </w:r>
          </w:p>
        </w:tc>
        <w:tc>
          <w:tcPr>
            <w:tcW w:w="1201" w:type="dxa"/>
          </w:tcPr>
          <w:p w14:paraId="08D9C9F5" w14:textId="6BFD366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8.20</w:t>
            </w:r>
          </w:p>
        </w:tc>
        <w:tc>
          <w:tcPr>
            <w:tcW w:w="1185" w:type="dxa"/>
          </w:tcPr>
          <w:p w14:paraId="07B39685" w14:textId="7B6DCD1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6.41</w:t>
            </w:r>
            <w:r w:rsidRPr="004A0C12">
              <w:rPr>
                <w:rFonts w:cs="Open Sans"/>
                <w:szCs w:val="18"/>
                <w:vertAlign w:val="superscript"/>
              </w:rPr>
              <w:t>c</w:t>
            </w:r>
          </w:p>
        </w:tc>
        <w:tc>
          <w:tcPr>
            <w:tcW w:w="1111" w:type="dxa"/>
          </w:tcPr>
          <w:p w14:paraId="59DB5E38" w14:textId="6C1D62B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81.09</w:t>
            </w:r>
          </w:p>
        </w:tc>
        <w:tc>
          <w:tcPr>
            <w:tcW w:w="1205" w:type="dxa"/>
          </w:tcPr>
          <w:p w14:paraId="3D90C603" w14:textId="3E61CB9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1.54</w:t>
            </w:r>
          </w:p>
        </w:tc>
        <w:tc>
          <w:tcPr>
            <w:tcW w:w="1048" w:type="dxa"/>
          </w:tcPr>
          <w:p w14:paraId="5B90E959" w14:textId="48CC657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10.54</w:t>
            </w:r>
          </w:p>
        </w:tc>
        <w:tc>
          <w:tcPr>
            <w:tcW w:w="1144" w:type="dxa"/>
          </w:tcPr>
          <w:p w14:paraId="0E99C9A0" w14:textId="645CE7C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87.50</w:t>
            </w:r>
          </w:p>
        </w:tc>
      </w:tr>
      <w:tr w:rsidR="009B0154" w:rsidRPr="004A0C12" w14:paraId="01E9211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AC19E48" w14:textId="54A42B87" w:rsidR="009B0154" w:rsidRPr="004A0C12" w:rsidRDefault="009B0154" w:rsidP="006B3061">
            <w:pPr>
              <w:pStyle w:val="Tablebody"/>
              <w:rPr>
                <w:rFonts w:cs="Open Sans"/>
                <w:szCs w:val="18"/>
              </w:rPr>
            </w:pPr>
            <w:r w:rsidRPr="004A0C12">
              <w:rPr>
                <w:rFonts w:cs="Open Sans"/>
                <w:szCs w:val="18"/>
              </w:rPr>
              <w:t>S7</w:t>
            </w:r>
          </w:p>
        </w:tc>
        <w:tc>
          <w:tcPr>
            <w:tcW w:w="4819" w:type="dxa"/>
          </w:tcPr>
          <w:p w14:paraId="60E1F8AF" w14:textId="0983869B"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Since some women are so sexual in public, it’s understandable that some men think they can touch women without permission</w:t>
            </w:r>
          </w:p>
        </w:tc>
        <w:tc>
          <w:tcPr>
            <w:tcW w:w="737" w:type="dxa"/>
          </w:tcPr>
          <w:p w14:paraId="580E4B2F" w14:textId="15CF9C9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7671C59" w14:textId="58B7DE4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09B746BF" w14:textId="20D6CF7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2.05</w:t>
            </w:r>
          </w:p>
        </w:tc>
        <w:tc>
          <w:tcPr>
            <w:tcW w:w="1201" w:type="dxa"/>
          </w:tcPr>
          <w:p w14:paraId="5721BAA4" w14:textId="6BE2C0C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4.15</w:t>
            </w:r>
          </w:p>
        </w:tc>
        <w:tc>
          <w:tcPr>
            <w:tcW w:w="1185" w:type="dxa"/>
          </w:tcPr>
          <w:p w14:paraId="44021AB1" w14:textId="75099DD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5.32</w:t>
            </w:r>
          </w:p>
        </w:tc>
        <w:tc>
          <w:tcPr>
            <w:tcW w:w="1111" w:type="dxa"/>
          </w:tcPr>
          <w:p w14:paraId="1FC6CE78" w14:textId="0CF9AA3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87.63</w:t>
            </w:r>
          </w:p>
        </w:tc>
        <w:tc>
          <w:tcPr>
            <w:tcW w:w="1205" w:type="dxa"/>
          </w:tcPr>
          <w:p w14:paraId="28EBA717" w14:textId="6103906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0.74</w:t>
            </w:r>
          </w:p>
        </w:tc>
        <w:tc>
          <w:tcPr>
            <w:tcW w:w="1048" w:type="dxa"/>
          </w:tcPr>
          <w:p w14:paraId="7375DA7F" w14:textId="60C71DB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6.20</w:t>
            </w:r>
          </w:p>
        </w:tc>
        <w:tc>
          <w:tcPr>
            <w:tcW w:w="1144" w:type="dxa"/>
          </w:tcPr>
          <w:p w14:paraId="0B4C1C5F" w14:textId="51CB3FE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92.95</w:t>
            </w:r>
          </w:p>
        </w:tc>
      </w:tr>
      <w:tr w:rsidR="009B0154" w:rsidRPr="004A0C12" w14:paraId="330A7577"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07DFD77" w14:textId="77777777" w:rsidR="009B0154" w:rsidRPr="004A0C12" w:rsidRDefault="009B0154" w:rsidP="006B3061">
            <w:pPr>
              <w:pStyle w:val="Tablebody"/>
              <w:rPr>
                <w:rFonts w:cs="Open Sans"/>
                <w:szCs w:val="18"/>
                <w:lang w:val="en-GB"/>
              </w:rPr>
            </w:pPr>
            <w:r w:rsidRPr="004A0C12">
              <w:rPr>
                <w:rFonts w:cs="Open Sans"/>
                <w:szCs w:val="18"/>
              </w:rPr>
              <w:t>S8</w:t>
            </w:r>
          </w:p>
        </w:tc>
        <w:tc>
          <w:tcPr>
            <w:tcW w:w="4819" w:type="dxa"/>
          </w:tcPr>
          <w:p w14:paraId="0C719587"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When a man is very sexually aroused, he may not even realise that the woman doesn’t want to have sex</w:t>
            </w:r>
          </w:p>
        </w:tc>
        <w:tc>
          <w:tcPr>
            <w:tcW w:w="737" w:type="dxa"/>
          </w:tcPr>
          <w:p w14:paraId="7C82009B"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225E2CBA"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5726F8B8" w14:textId="1ABD0ED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11.18</w:t>
            </w:r>
          </w:p>
        </w:tc>
        <w:tc>
          <w:tcPr>
            <w:tcW w:w="1201" w:type="dxa"/>
          </w:tcPr>
          <w:p w14:paraId="325E4CF5" w14:textId="69888E5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25.07</w:t>
            </w:r>
          </w:p>
        </w:tc>
        <w:tc>
          <w:tcPr>
            <w:tcW w:w="1185" w:type="dxa"/>
          </w:tcPr>
          <w:p w14:paraId="321C5587" w14:textId="55CB798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11.46</w:t>
            </w:r>
          </w:p>
        </w:tc>
        <w:tc>
          <w:tcPr>
            <w:tcW w:w="1111" w:type="dxa"/>
          </w:tcPr>
          <w:p w14:paraId="09819AF0" w14:textId="57FA923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46.89</w:t>
            </w:r>
          </w:p>
        </w:tc>
        <w:tc>
          <w:tcPr>
            <w:tcW w:w="1205" w:type="dxa"/>
          </w:tcPr>
          <w:p w14:paraId="408F76EA" w14:textId="0562F10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4.49</w:t>
            </w:r>
          </w:p>
        </w:tc>
        <w:tc>
          <w:tcPr>
            <w:tcW w:w="1048" w:type="dxa"/>
          </w:tcPr>
          <w:p w14:paraId="3A895BBB" w14:textId="2AE5B7E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36.25</w:t>
            </w:r>
          </w:p>
        </w:tc>
        <w:tc>
          <w:tcPr>
            <w:tcW w:w="1144" w:type="dxa"/>
          </w:tcPr>
          <w:p w14:paraId="4EABE203" w14:textId="62756AB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58.35</w:t>
            </w:r>
          </w:p>
        </w:tc>
      </w:tr>
      <w:tr w:rsidR="009B0154" w:rsidRPr="004A0C12" w14:paraId="5D565BE6"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F6995A7" w14:textId="77BD9B8E" w:rsidR="009B0154" w:rsidRPr="004A0C12" w:rsidRDefault="009B0154" w:rsidP="006B3061">
            <w:pPr>
              <w:pStyle w:val="Tablebody"/>
              <w:rPr>
                <w:rFonts w:cs="Open Sans"/>
                <w:szCs w:val="18"/>
              </w:rPr>
            </w:pPr>
            <w:r w:rsidRPr="004A0C12">
              <w:rPr>
                <w:rFonts w:cs="Open Sans"/>
                <w:szCs w:val="18"/>
              </w:rPr>
              <w:lastRenderedPageBreak/>
              <w:t>S8</w:t>
            </w:r>
          </w:p>
        </w:tc>
        <w:tc>
          <w:tcPr>
            <w:tcW w:w="4819" w:type="dxa"/>
          </w:tcPr>
          <w:p w14:paraId="209F0614" w14:textId="3B68CE8E"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When a man is very sexually aroused, he may not even realise that the woman doesn’t want to have sex</w:t>
            </w:r>
          </w:p>
        </w:tc>
        <w:tc>
          <w:tcPr>
            <w:tcW w:w="737" w:type="dxa"/>
          </w:tcPr>
          <w:p w14:paraId="0FB90203" w14:textId="3EC903C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478EF146" w14:textId="40A32CE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51CAEF82" w14:textId="4EFF8A6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8.59</w:t>
            </w:r>
          </w:p>
        </w:tc>
        <w:tc>
          <w:tcPr>
            <w:tcW w:w="1201" w:type="dxa"/>
          </w:tcPr>
          <w:p w14:paraId="71532956" w14:textId="3C6DEA3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18.09</w:t>
            </w:r>
          </w:p>
        </w:tc>
        <w:tc>
          <w:tcPr>
            <w:tcW w:w="1185" w:type="dxa"/>
          </w:tcPr>
          <w:p w14:paraId="1E65C3A7" w14:textId="5FBDF99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11.77</w:t>
            </w:r>
          </w:p>
        </w:tc>
        <w:tc>
          <w:tcPr>
            <w:tcW w:w="1111" w:type="dxa"/>
          </w:tcPr>
          <w:p w14:paraId="410F9770" w14:textId="161C307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57.13</w:t>
            </w:r>
          </w:p>
        </w:tc>
        <w:tc>
          <w:tcPr>
            <w:tcW w:w="1205" w:type="dxa"/>
          </w:tcPr>
          <w:p w14:paraId="0E317F41" w14:textId="527C9B6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4.15</w:t>
            </w:r>
          </w:p>
        </w:tc>
        <w:tc>
          <w:tcPr>
            <w:tcW w:w="1048" w:type="dxa"/>
          </w:tcPr>
          <w:p w14:paraId="1BEB92BE" w14:textId="116190A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26.69</w:t>
            </w:r>
          </w:p>
        </w:tc>
        <w:tc>
          <w:tcPr>
            <w:tcW w:w="1144" w:type="dxa"/>
          </w:tcPr>
          <w:p w14:paraId="37694A5B" w14:textId="66F7749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68.90</w:t>
            </w:r>
          </w:p>
        </w:tc>
      </w:tr>
      <w:tr w:rsidR="009B0154" w:rsidRPr="004A0C12" w14:paraId="35E10BEB"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0F81BCD" w14:textId="77777777" w:rsidR="009B0154" w:rsidRPr="004A0C12" w:rsidRDefault="009B0154" w:rsidP="006B3061">
            <w:pPr>
              <w:pStyle w:val="Tablebody"/>
              <w:rPr>
                <w:rFonts w:cs="Open Sans"/>
                <w:szCs w:val="18"/>
                <w:lang w:val="en-GB"/>
              </w:rPr>
            </w:pPr>
            <w:r w:rsidRPr="004A0C12">
              <w:rPr>
                <w:rFonts w:cs="Open Sans"/>
                <w:szCs w:val="18"/>
              </w:rPr>
              <w:t>S11</w:t>
            </w:r>
          </w:p>
        </w:tc>
        <w:tc>
          <w:tcPr>
            <w:tcW w:w="4819" w:type="dxa"/>
          </w:tcPr>
          <w:p w14:paraId="094F7146"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Women find it flattering to be persistently pursued, even if they are not interested^</w:t>
            </w:r>
          </w:p>
        </w:tc>
        <w:tc>
          <w:tcPr>
            <w:tcW w:w="737" w:type="dxa"/>
          </w:tcPr>
          <w:p w14:paraId="47B95030"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2B461F66"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w:t>
            </w:r>
          </w:p>
        </w:tc>
        <w:tc>
          <w:tcPr>
            <w:tcW w:w="1129" w:type="dxa"/>
          </w:tcPr>
          <w:p w14:paraId="001D229C" w14:textId="5798C4F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1.07</w:t>
            </w:r>
            <w:r w:rsidRPr="004A0C12">
              <w:rPr>
                <w:rFonts w:cs="Open Sans"/>
                <w:szCs w:val="18"/>
                <w:vertAlign w:val="superscript"/>
              </w:rPr>
              <w:t>c</w:t>
            </w:r>
          </w:p>
        </w:tc>
        <w:tc>
          <w:tcPr>
            <w:tcW w:w="1201" w:type="dxa"/>
          </w:tcPr>
          <w:p w14:paraId="4A7869F5" w14:textId="5E35DC8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9.25</w:t>
            </w:r>
            <w:r w:rsidRPr="004A0C12">
              <w:rPr>
                <w:rFonts w:cs="Open Sans"/>
                <w:szCs w:val="18"/>
                <w:vertAlign w:val="superscript"/>
              </w:rPr>
              <w:t>c</w:t>
            </w:r>
          </w:p>
        </w:tc>
        <w:tc>
          <w:tcPr>
            <w:tcW w:w="1185" w:type="dxa"/>
          </w:tcPr>
          <w:p w14:paraId="0F5591D9" w14:textId="55F4688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19.30</w:t>
            </w:r>
          </w:p>
        </w:tc>
        <w:tc>
          <w:tcPr>
            <w:tcW w:w="1111" w:type="dxa"/>
          </w:tcPr>
          <w:p w14:paraId="160659E4" w14:textId="344E289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64.62</w:t>
            </w:r>
          </w:p>
        </w:tc>
        <w:tc>
          <w:tcPr>
            <w:tcW w:w="1205" w:type="dxa"/>
          </w:tcPr>
          <w:p w14:paraId="542B2D55" w14:textId="6C9E019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A0C12">
              <w:rPr>
                <w:rFonts w:cs="Open Sans"/>
                <w:szCs w:val="18"/>
              </w:rPr>
              <w:t>5.77</w:t>
            </w:r>
          </w:p>
        </w:tc>
        <w:tc>
          <w:tcPr>
            <w:tcW w:w="1048" w:type="dxa"/>
          </w:tcPr>
          <w:p w14:paraId="48D73784" w14:textId="67C03A5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10.32</w:t>
            </w:r>
            <w:r w:rsidRPr="004A0C12">
              <w:rPr>
                <w:rFonts w:cs="Open Sans"/>
                <w:szCs w:val="18"/>
                <w:vertAlign w:val="superscript"/>
              </w:rPr>
              <w:t>c</w:t>
            </w:r>
          </w:p>
        </w:tc>
        <w:tc>
          <w:tcPr>
            <w:tcW w:w="1144" w:type="dxa"/>
          </w:tcPr>
          <w:p w14:paraId="6B6FAA31" w14:textId="09F3519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83.92</w:t>
            </w:r>
          </w:p>
        </w:tc>
      </w:tr>
      <w:tr w:rsidR="009B0154" w:rsidRPr="004A0C12" w14:paraId="0A2E67F4"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8079663" w14:textId="74C540C4" w:rsidR="009B0154" w:rsidRPr="004A0C12" w:rsidRDefault="009B0154" w:rsidP="006B3061">
            <w:pPr>
              <w:pStyle w:val="Tablebody"/>
              <w:rPr>
                <w:rFonts w:cs="Open Sans"/>
                <w:szCs w:val="18"/>
              </w:rPr>
            </w:pPr>
            <w:r w:rsidRPr="004A0C12">
              <w:rPr>
                <w:rFonts w:cs="Open Sans"/>
                <w:szCs w:val="18"/>
              </w:rPr>
              <w:t>S11</w:t>
            </w:r>
          </w:p>
        </w:tc>
        <w:tc>
          <w:tcPr>
            <w:tcW w:w="4819" w:type="dxa"/>
          </w:tcPr>
          <w:p w14:paraId="162136B9" w14:textId="0627960A"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Women find it flattering to be persistently pursued, even if they are not interested^</w:t>
            </w:r>
          </w:p>
        </w:tc>
        <w:tc>
          <w:tcPr>
            <w:tcW w:w="737" w:type="dxa"/>
          </w:tcPr>
          <w:p w14:paraId="133D1A1F" w14:textId="37B3A2A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2A1FD29B" w14:textId="017389C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734</w:t>
            </w:r>
          </w:p>
        </w:tc>
        <w:tc>
          <w:tcPr>
            <w:tcW w:w="1129" w:type="dxa"/>
          </w:tcPr>
          <w:p w14:paraId="21DF58C1" w14:textId="487A72F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1.73</w:t>
            </w:r>
            <w:r w:rsidRPr="004A0C12">
              <w:rPr>
                <w:rFonts w:cs="Open Sans"/>
                <w:szCs w:val="18"/>
                <w:vertAlign w:val="superscript"/>
              </w:rPr>
              <w:t>c</w:t>
            </w:r>
          </w:p>
        </w:tc>
        <w:tc>
          <w:tcPr>
            <w:tcW w:w="1201" w:type="dxa"/>
          </w:tcPr>
          <w:p w14:paraId="105CB2CB" w14:textId="1C991A0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9.75</w:t>
            </w:r>
          </w:p>
        </w:tc>
        <w:tc>
          <w:tcPr>
            <w:tcW w:w="1185" w:type="dxa"/>
          </w:tcPr>
          <w:p w14:paraId="4F43BE95" w14:textId="3887D7C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19.86</w:t>
            </w:r>
          </w:p>
        </w:tc>
        <w:tc>
          <w:tcPr>
            <w:tcW w:w="1111" w:type="dxa"/>
          </w:tcPr>
          <w:p w14:paraId="74F333BE" w14:textId="4E6ED73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65.11</w:t>
            </w:r>
          </w:p>
        </w:tc>
        <w:tc>
          <w:tcPr>
            <w:tcW w:w="1205" w:type="dxa"/>
          </w:tcPr>
          <w:p w14:paraId="3114E328" w14:textId="0D427F7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2.95</w:t>
            </w:r>
          </w:p>
        </w:tc>
        <w:tc>
          <w:tcPr>
            <w:tcW w:w="1048" w:type="dxa"/>
          </w:tcPr>
          <w:p w14:paraId="095B3500" w14:textId="4B1FE99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11.49</w:t>
            </w:r>
          </w:p>
        </w:tc>
        <w:tc>
          <w:tcPr>
            <w:tcW w:w="1144" w:type="dxa"/>
          </w:tcPr>
          <w:p w14:paraId="0B0CEEB6" w14:textId="22503F8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84.97</w:t>
            </w:r>
          </w:p>
        </w:tc>
      </w:tr>
      <w:tr w:rsidR="009B0154" w:rsidRPr="004A0C12" w14:paraId="6A9CEAC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161339D" w14:textId="77777777" w:rsidR="009B0154" w:rsidRPr="004A0C12" w:rsidRDefault="009B0154" w:rsidP="006B3061">
            <w:pPr>
              <w:pStyle w:val="Tablebody"/>
              <w:rPr>
                <w:rFonts w:cs="Open Sans"/>
                <w:szCs w:val="18"/>
                <w:lang w:val="en-GB"/>
              </w:rPr>
            </w:pPr>
            <w:r w:rsidRPr="004A0C12">
              <w:rPr>
                <w:rFonts w:cs="Open Sans"/>
                <w:szCs w:val="18"/>
              </w:rPr>
              <w:t>S17</w:t>
            </w:r>
          </w:p>
        </w:tc>
        <w:tc>
          <w:tcPr>
            <w:tcW w:w="4819" w:type="dxa"/>
          </w:tcPr>
          <w:p w14:paraId="39061009"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doesn’t physically resist – even if protesting verbally – then it isn’t really rape</w:t>
            </w:r>
            <w:r w:rsidRPr="0073256E">
              <w:rPr>
                <w:rFonts w:ascii="Montserrat" w:hAnsi="Montserrat" w:cs="Montserrat"/>
                <w:szCs w:val="18"/>
                <w:lang w:val="en-US"/>
              </w:rPr>
              <w:t>~</w:t>
            </w:r>
          </w:p>
        </w:tc>
        <w:tc>
          <w:tcPr>
            <w:tcW w:w="737" w:type="dxa"/>
          </w:tcPr>
          <w:p w14:paraId="38A208CE"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B389104"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60</w:t>
            </w:r>
          </w:p>
        </w:tc>
        <w:tc>
          <w:tcPr>
            <w:tcW w:w="1129" w:type="dxa"/>
          </w:tcPr>
          <w:p w14:paraId="5E80FA8E" w14:textId="535A39E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4.73</w:t>
            </w:r>
            <w:r w:rsidRPr="004A0C12">
              <w:rPr>
                <w:rFonts w:cs="Open Sans"/>
                <w:szCs w:val="18"/>
                <w:vertAlign w:val="superscript"/>
              </w:rPr>
              <w:t>c</w:t>
            </w:r>
          </w:p>
        </w:tc>
        <w:tc>
          <w:tcPr>
            <w:tcW w:w="1201" w:type="dxa"/>
          </w:tcPr>
          <w:p w14:paraId="7D0542D0" w14:textId="476C2D5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1.79</w:t>
            </w:r>
            <w:r w:rsidRPr="004A0C12">
              <w:rPr>
                <w:rFonts w:cs="Open Sans"/>
                <w:szCs w:val="18"/>
                <w:vertAlign w:val="superscript"/>
              </w:rPr>
              <w:t>c</w:t>
            </w:r>
          </w:p>
        </w:tc>
        <w:tc>
          <w:tcPr>
            <w:tcW w:w="1185" w:type="dxa"/>
          </w:tcPr>
          <w:p w14:paraId="50D768EF" w14:textId="1C14DF1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4.35</w:t>
            </w:r>
            <w:r w:rsidRPr="004A0C12">
              <w:rPr>
                <w:rFonts w:cs="Open Sans"/>
                <w:szCs w:val="18"/>
                <w:vertAlign w:val="superscript"/>
              </w:rPr>
              <w:t>c</w:t>
            </w:r>
          </w:p>
        </w:tc>
        <w:tc>
          <w:tcPr>
            <w:tcW w:w="1111" w:type="dxa"/>
          </w:tcPr>
          <w:p w14:paraId="4DCD975E" w14:textId="401E421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86.51</w:t>
            </w:r>
          </w:p>
        </w:tc>
        <w:tc>
          <w:tcPr>
            <w:tcW w:w="1205" w:type="dxa"/>
          </w:tcPr>
          <w:p w14:paraId="7ED175BF" w14:textId="7EAFF26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A0C12">
              <w:rPr>
                <w:rFonts w:cs="Open Sans"/>
                <w:szCs w:val="18"/>
              </w:rPr>
              <w:t>2.62</w:t>
            </w:r>
          </w:p>
        </w:tc>
        <w:tc>
          <w:tcPr>
            <w:tcW w:w="1048" w:type="dxa"/>
          </w:tcPr>
          <w:p w14:paraId="27225912" w14:textId="548A2D0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6.52</w:t>
            </w:r>
            <w:r w:rsidRPr="004A0C12">
              <w:rPr>
                <w:rFonts w:cs="Open Sans"/>
                <w:szCs w:val="18"/>
                <w:vertAlign w:val="superscript"/>
              </w:rPr>
              <w:t>c</w:t>
            </w:r>
          </w:p>
        </w:tc>
        <w:tc>
          <w:tcPr>
            <w:tcW w:w="1144" w:type="dxa"/>
          </w:tcPr>
          <w:p w14:paraId="3892964D" w14:textId="28454A3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90.86</w:t>
            </w:r>
          </w:p>
        </w:tc>
      </w:tr>
      <w:tr w:rsidR="009B0154" w:rsidRPr="004A0C12" w14:paraId="03C996CE"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8946FFF" w14:textId="1DD815B4" w:rsidR="009B0154" w:rsidRPr="004A0C12" w:rsidRDefault="009B0154" w:rsidP="006B3061">
            <w:pPr>
              <w:pStyle w:val="Tablebody"/>
              <w:rPr>
                <w:rFonts w:cs="Open Sans"/>
                <w:szCs w:val="18"/>
              </w:rPr>
            </w:pPr>
            <w:r w:rsidRPr="004A0C12">
              <w:rPr>
                <w:rFonts w:cs="Open Sans"/>
                <w:szCs w:val="18"/>
              </w:rPr>
              <w:t>S17</w:t>
            </w:r>
          </w:p>
        </w:tc>
        <w:tc>
          <w:tcPr>
            <w:tcW w:w="4819" w:type="dxa"/>
          </w:tcPr>
          <w:p w14:paraId="3199559D" w14:textId="1F1F8B2D"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doesn’t physically resist – even if protesting verbally – then it isn’t really rape</w:t>
            </w:r>
            <w:r w:rsidRPr="0073256E">
              <w:rPr>
                <w:rFonts w:ascii="Montserrat" w:hAnsi="Montserrat" w:cs="Montserrat"/>
                <w:szCs w:val="18"/>
                <w:lang w:val="en-US"/>
              </w:rPr>
              <w:t>~</w:t>
            </w:r>
          </w:p>
        </w:tc>
        <w:tc>
          <w:tcPr>
            <w:tcW w:w="737" w:type="dxa"/>
          </w:tcPr>
          <w:p w14:paraId="627648EA" w14:textId="182AFC7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6ED833E3" w14:textId="44232C4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383</w:t>
            </w:r>
          </w:p>
        </w:tc>
        <w:tc>
          <w:tcPr>
            <w:tcW w:w="1129" w:type="dxa"/>
          </w:tcPr>
          <w:p w14:paraId="774B8778" w14:textId="1466869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0.45</w:t>
            </w:r>
            <w:r w:rsidRPr="004A0C12">
              <w:rPr>
                <w:rFonts w:cs="Open Sans"/>
                <w:szCs w:val="18"/>
                <w:vertAlign w:val="superscript"/>
              </w:rPr>
              <w:t>c</w:t>
            </w:r>
          </w:p>
        </w:tc>
        <w:tc>
          <w:tcPr>
            <w:tcW w:w="1201" w:type="dxa"/>
          </w:tcPr>
          <w:p w14:paraId="2798F81D" w14:textId="3C46572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4.21</w:t>
            </w:r>
            <w:r w:rsidRPr="004A0C12">
              <w:rPr>
                <w:rFonts w:cs="Open Sans"/>
                <w:szCs w:val="18"/>
                <w:vertAlign w:val="superscript"/>
              </w:rPr>
              <w:t>c</w:t>
            </w:r>
          </w:p>
        </w:tc>
        <w:tc>
          <w:tcPr>
            <w:tcW w:w="1185" w:type="dxa"/>
          </w:tcPr>
          <w:p w14:paraId="32732B35" w14:textId="718A362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8.49</w:t>
            </w:r>
          </w:p>
        </w:tc>
        <w:tc>
          <w:tcPr>
            <w:tcW w:w="1111" w:type="dxa"/>
          </w:tcPr>
          <w:p w14:paraId="074D4C5A" w14:textId="5E4C5ED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85.01</w:t>
            </w:r>
          </w:p>
        </w:tc>
        <w:tc>
          <w:tcPr>
            <w:tcW w:w="1205" w:type="dxa"/>
          </w:tcPr>
          <w:p w14:paraId="3B76BFBC" w14:textId="32DF54D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1.06</w:t>
            </w:r>
          </w:p>
        </w:tc>
        <w:tc>
          <w:tcPr>
            <w:tcW w:w="1048" w:type="dxa"/>
          </w:tcPr>
          <w:p w14:paraId="55A65B20" w14:textId="3CC79EA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4.66</w:t>
            </w:r>
            <w:r w:rsidRPr="004A0C12">
              <w:rPr>
                <w:rFonts w:cs="Open Sans"/>
                <w:szCs w:val="18"/>
                <w:vertAlign w:val="superscript"/>
              </w:rPr>
              <w:t>c</w:t>
            </w:r>
          </w:p>
        </w:tc>
        <w:tc>
          <w:tcPr>
            <w:tcW w:w="1144" w:type="dxa"/>
          </w:tcPr>
          <w:p w14:paraId="6A02AD92" w14:textId="511ECDA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93.50</w:t>
            </w:r>
          </w:p>
        </w:tc>
      </w:tr>
      <w:tr w:rsidR="009B0154" w:rsidRPr="004A0C12" w14:paraId="47AB83C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E32AA53" w14:textId="77777777" w:rsidR="009B0154" w:rsidRPr="004A0C12" w:rsidRDefault="009B0154" w:rsidP="006B3061">
            <w:pPr>
              <w:pStyle w:val="Tablebody"/>
              <w:rPr>
                <w:rFonts w:cs="Open Sans"/>
                <w:szCs w:val="18"/>
                <w:lang w:val="en-GB"/>
              </w:rPr>
            </w:pPr>
            <w:r w:rsidRPr="004A0C12">
              <w:rPr>
                <w:rFonts w:cs="Open Sans"/>
                <w:szCs w:val="18"/>
              </w:rPr>
              <w:t>S20</w:t>
            </w:r>
          </w:p>
        </w:tc>
        <w:tc>
          <w:tcPr>
            <w:tcW w:w="4819" w:type="dxa"/>
          </w:tcPr>
          <w:p w14:paraId="68BD0BD7"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If a woman is raped while drunk or affected by drugs, she is at least partly responsible</w:t>
            </w:r>
          </w:p>
        </w:tc>
        <w:tc>
          <w:tcPr>
            <w:tcW w:w="737" w:type="dxa"/>
          </w:tcPr>
          <w:p w14:paraId="377C2134"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012A986"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207</w:t>
            </w:r>
          </w:p>
        </w:tc>
        <w:tc>
          <w:tcPr>
            <w:tcW w:w="1129" w:type="dxa"/>
          </w:tcPr>
          <w:p w14:paraId="73FC9C53" w14:textId="768361E8"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1.74</w:t>
            </w:r>
            <w:r w:rsidRPr="004A0C12">
              <w:rPr>
                <w:rFonts w:cs="Open Sans"/>
                <w:szCs w:val="18"/>
                <w:vertAlign w:val="superscript"/>
              </w:rPr>
              <w:t>c</w:t>
            </w:r>
          </w:p>
        </w:tc>
        <w:tc>
          <w:tcPr>
            <w:tcW w:w="1201" w:type="dxa"/>
          </w:tcPr>
          <w:p w14:paraId="2CD413BE" w14:textId="3B31086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6.51</w:t>
            </w:r>
            <w:r w:rsidRPr="004A0C12">
              <w:rPr>
                <w:rFonts w:cs="Open Sans"/>
                <w:szCs w:val="18"/>
                <w:vertAlign w:val="superscript"/>
              </w:rPr>
              <w:t>c</w:t>
            </w:r>
          </w:p>
        </w:tc>
        <w:tc>
          <w:tcPr>
            <w:tcW w:w="1185" w:type="dxa"/>
          </w:tcPr>
          <w:p w14:paraId="0BA1D393" w14:textId="5FDEECB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12.86</w:t>
            </w:r>
          </w:p>
        </w:tc>
        <w:tc>
          <w:tcPr>
            <w:tcW w:w="1111" w:type="dxa"/>
          </w:tcPr>
          <w:p w14:paraId="26F89E01" w14:textId="7CDB81FA"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77.97</w:t>
            </w:r>
          </w:p>
        </w:tc>
        <w:tc>
          <w:tcPr>
            <w:tcW w:w="1205" w:type="dxa"/>
          </w:tcPr>
          <w:p w14:paraId="64B04A2C" w14:textId="5E6DF3D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0.93</w:t>
            </w:r>
            <w:r w:rsidRPr="004A0C12">
              <w:rPr>
                <w:rFonts w:cs="Open Sans"/>
                <w:szCs w:val="18"/>
                <w:vertAlign w:val="superscript"/>
              </w:rPr>
              <w:t>c</w:t>
            </w:r>
          </w:p>
        </w:tc>
        <w:tc>
          <w:tcPr>
            <w:tcW w:w="1048" w:type="dxa"/>
          </w:tcPr>
          <w:p w14:paraId="42E2CB39" w14:textId="7729443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8.24</w:t>
            </w:r>
          </w:p>
        </w:tc>
        <w:tc>
          <w:tcPr>
            <w:tcW w:w="1144" w:type="dxa"/>
          </w:tcPr>
          <w:p w14:paraId="09BD8BDE" w14:textId="7D5C535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90.83</w:t>
            </w:r>
          </w:p>
        </w:tc>
      </w:tr>
      <w:tr w:rsidR="009B0154" w:rsidRPr="004A0C12" w14:paraId="74821688"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1E3B1E5" w14:textId="77B2CD42" w:rsidR="009B0154" w:rsidRPr="004A0C12" w:rsidRDefault="009B0154" w:rsidP="006B3061">
            <w:pPr>
              <w:pStyle w:val="Tablebody"/>
              <w:rPr>
                <w:rFonts w:cs="Open Sans"/>
                <w:szCs w:val="18"/>
              </w:rPr>
            </w:pPr>
            <w:r w:rsidRPr="004A0C12">
              <w:rPr>
                <w:rFonts w:cs="Open Sans"/>
                <w:szCs w:val="18"/>
              </w:rPr>
              <w:t>S20</w:t>
            </w:r>
          </w:p>
        </w:tc>
        <w:tc>
          <w:tcPr>
            <w:tcW w:w="4819" w:type="dxa"/>
          </w:tcPr>
          <w:p w14:paraId="072C70EB" w14:textId="21D7CA32" w:rsidR="009B0154" w:rsidRPr="0073256E"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3256E">
              <w:rPr>
                <w:rFonts w:cs="Open Sans"/>
                <w:szCs w:val="18"/>
                <w:lang w:val="en-US"/>
              </w:rPr>
              <w:t>If a woman is raped while drunk or affected by drugs, she is at least partly responsible</w:t>
            </w:r>
          </w:p>
        </w:tc>
        <w:tc>
          <w:tcPr>
            <w:tcW w:w="737" w:type="dxa"/>
          </w:tcPr>
          <w:p w14:paraId="4EF488DD" w14:textId="6E74AB0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1633678C" w14:textId="0CD1A3E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1,462</w:t>
            </w:r>
          </w:p>
        </w:tc>
        <w:tc>
          <w:tcPr>
            <w:tcW w:w="1129" w:type="dxa"/>
          </w:tcPr>
          <w:p w14:paraId="4D18107E" w14:textId="61899AA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2.26</w:t>
            </w:r>
          </w:p>
        </w:tc>
        <w:tc>
          <w:tcPr>
            <w:tcW w:w="1201" w:type="dxa"/>
          </w:tcPr>
          <w:p w14:paraId="2F3D992D" w14:textId="76FFBCCE"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4.84</w:t>
            </w:r>
          </w:p>
        </w:tc>
        <w:tc>
          <w:tcPr>
            <w:tcW w:w="1185" w:type="dxa"/>
          </w:tcPr>
          <w:p w14:paraId="692A204C" w14:textId="4BFB227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10.29</w:t>
            </w:r>
          </w:p>
        </w:tc>
        <w:tc>
          <w:tcPr>
            <w:tcW w:w="1111" w:type="dxa"/>
          </w:tcPr>
          <w:p w14:paraId="1025F25B" w14:textId="7C673F1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81.60</w:t>
            </w:r>
          </w:p>
        </w:tc>
        <w:tc>
          <w:tcPr>
            <w:tcW w:w="1205" w:type="dxa"/>
          </w:tcPr>
          <w:p w14:paraId="1ACF525F" w14:textId="1FED721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0.85</w:t>
            </w:r>
            <w:r w:rsidRPr="004A0C12">
              <w:rPr>
                <w:rFonts w:cs="Open Sans"/>
                <w:szCs w:val="18"/>
                <w:vertAlign w:val="superscript"/>
              </w:rPr>
              <w:t>c</w:t>
            </w:r>
          </w:p>
        </w:tc>
        <w:tc>
          <w:tcPr>
            <w:tcW w:w="1048" w:type="dxa"/>
          </w:tcPr>
          <w:p w14:paraId="1E97BAAA" w14:textId="733D9591"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7.11</w:t>
            </w:r>
          </w:p>
        </w:tc>
        <w:tc>
          <w:tcPr>
            <w:tcW w:w="1144" w:type="dxa"/>
          </w:tcPr>
          <w:p w14:paraId="3DE0CF6B" w14:textId="1C9FE00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91.89</w:t>
            </w:r>
          </w:p>
        </w:tc>
      </w:tr>
      <w:tr w:rsidR="009B0154" w:rsidRPr="004A0C12" w14:paraId="36FD1594"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722BF54" w14:textId="77777777" w:rsidR="009B0154" w:rsidRPr="004A0C12" w:rsidRDefault="009B0154" w:rsidP="006B3061">
            <w:pPr>
              <w:pStyle w:val="Tablebody"/>
              <w:rPr>
                <w:rFonts w:cs="Open Sans"/>
                <w:szCs w:val="18"/>
                <w:lang w:val="en-GB"/>
              </w:rPr>
            </w:pPr>
            <w:r w:rsidRPr="004A0C12">
              <w:rPr>
                <w:rFonts w:cs="Open Sans"/>
                <w:szCs w:val="18"/>
              </w:rPr>
              <w:t>S21</w:t>
            </w:r>
          </w:p>
        </w:tc>
        <w:tc>
          <w:tcPr>
            <w:tcW w:w="4819" w:type="dxa"/>
          </w:tcPr>
          <w:p w14:paraId="1B12C426" w14:textId="6E63CB31" w:rsidR="009B0154" w:rsidRPr="009B0154"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9B0154">
              <w:rPr>
                <w:rFonts w:cs="Open Sans"/>
                <w:spacing w:val="-6"/>
                <w:szCs w:val="18"/>
                <w:lang w:val="en-US"/>
              </w:rPr>
              <w:t>If a woman meets up with a man she met on a mobile dating app, she’s partly responsible if he forces sex on her^</w:t>
            </w:r>
          </w:p>
        </w:tc>
        <w:tc>
          <w:tcPr>
            <w:tcW w:w="737" w:type="dxa"/>
          </w:tcPr>
          <w:p w14:paraId="39FB95FC"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3B5B686" w14:textId="77777777"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134</w:t>
            </w:r>
          </w:p>
        </w:tc>
        <w:tc>
          <w:tcPr>
            <w:tcW w:w="1129" w:type="dxa"/>
          </w:tcPr>
          <w:p w14:paraId="2D11B116" w14:textId="6F2FC8D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2.74</w:t>
            </w:r>
            <w:r w:rsidRPr="004A0C12">
              <w:rPr>
                <w:rFonts w:cs="Open Sans"/>
                <w:szCs w:val="18"/>
                <w:vertAlign w:val="superscript"/>
              </w:rPr>
              <w:t>c</w:t>
            </w:r>
          </w:p>
        </w:tc>
        <w:tc>
          <w:tcPr>
            <w:tcW w:w="1201" w:type="dxa"/>
          </w:tcPr>
          <w:p w14:paraId="55363CC7" w14:textId="631D1EB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6.79</w:t>
            </w:r>
            <w:r w:rsidRPr="004A0C12">
              <w:rPr>
                <w:rFonts w:cs="Open Sans"/>
                <w:szCs w:val="18"/>
                <w:vertAlign w:val="superscript"/>
              </w:rPr>
              <w:t>c</w:t>
            </w:r>
          </w:p>
        </w:tc>
        <w:tc>
          <w:tcPr>
            <w:tcW w:w="1185" w:type="dxa"/>
          </w:tcPr>
          <w:p w14:paraId="052F3FB3" w14:textId="5148949B"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6.62</w:t>
            </w:r>
            <w:r w:rsidRPr="004A0C12">
              <w:rPr>
                <w:rFonts w:cs="Open Sans"/>
                <w:szCs w:val="18"/>
                <w:vertAlign w:val="superscript"/>
              </w:rPr>
              <w:t>c</w:t>
            </w:r>
          </w:p>
        </w:tc>
        <w:tc>
          <w:tcPr>
            <w:tcW w:w="1111" w:type="dxa"/>
          </w:tcPr>
          <w:p w14:paraId="4B4BC7EA" w14:textId="7CEB58E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82.18</w:t>
            </w:r>
          </w:p>
        </w:tc>
        <w:tc>
          <w:tcPr>
            <w:tcW w:w="1205" w:type="dxa"/>
          </w:tcPr>
          <w:p w14:paraId="219EE443" w14:textId="25ED1566"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0.87</w:t>
            </w:r>
            <w:r w:rsidRPr="004A0C12">
              <w:rPr>
                <w:rFonts w:cs="Open Sans"/>
                <w:szCs w:val="18"/>
                <w:vertAlign w:val="superscript"/>
              </w:rPr>
              <w:t>c</w:t>
            </w:r>
          </w:p>
        </w:tc>
        <w:tc>
          <w:tcPr>
            <w:tcW w:w="1048" w:type="dxa"/>
          </w:tcPr>
          <w:p w14:paraId="2779F816" w14:textId="1BC0DDE0"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9.53</w:t>
            </w:r>
            <w:r w:rsidRPr="004A0C12">
              <w:rPr>
                <w:rFonts w:cs="Open Sans"/>
                <w:szCs w:val="18"/>
                <w:vertAlign w:val="superscript"/>
              </w:rPr>
              <w:t>c</w:t>
            </w:r>
          </w:p>
        </w:tc>
        <w:tc>
          <w:tcPr>
            <w:tcW w:w="1144" w:type="dxa"/>
          </w:tcPr>
          <w:p w14:paraId="62E6454A" w14:textId="0012614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88.80</w:t>
            </w:r>
          </w:p>
        </w:tc>
      </w:tr>
      <w:tr w:rsidR="009B0154" w:rsidRPr="004A0C12" w14:paraId="33D11422"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149F224" w14:textId="1CD218A6" w:rsidR="009B0154" w:rsidRPr="004A0C12" w:rsidRDefault="009B0154" w:rsidP="006B3061">
            <w:pPr>
              <w:pStyle w:val="Tablebody"/>
              <w:rPr>
                <w:rFonts w:cs="Open Sans"/>
                <w:szCs w:val="18"/>
              </w:rPr>
            </w:pPr>
            <w:r w:rsidRPr="004A0C12">
              <w:rPr>
                <w:rFonts w:cs="Open Sans"/>
                <w:szCs w:val="18"/>
              </w:rPr>
              <w:t>S21</w:t>
            </w:r>
          </w:p>
        </w:tc>
        <w:tc>
          <w:tcPr>
            <w:tcW w:w="4819" w:type="dxa"/>
          </w:tcPr>
          <w:p w14:paraId="6CDB3222" w14:textId="188AFDC9" w:rsidR="009B0154" w:rsidRPr="009B0154"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9B0154">
              <w:rPr>
                <w:rFonts w:cs="Open Sans"/>
                <w:spacing w:val="-6"/>
                <w:szCs w:val="18"/>
                <w:lang w:val="en-US"/>
              </w:rPr>
              <w:t>If a woman meets up with a man she met on a mobile dating app, she’s partly responsible if he forces sex on her^</w:t>
            </w:r>
          </w:p>
        </w:tc>
        <w:tc>
          <w:tcPr>
            <w:tcW w:w="737" w:type="dxa"/>
          </w:tcPr>
          <w:p w14:paraId="301F2123" w14:textId="2736C59D"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18–24</w:t>
            </w:r>
          </w:p>
        </w:tc>
        <w:tc>
          <w:tcPr>
            <w:tcW w:w="646" w:type="dxa"/>
          </w:tcPr>
          <w:p w14:paraId="35470D03" w14:textId="7B47D759"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977</w:t>
            </w:r>
          </w:p>
        </w:tc>
        <w:tc>
          <w:tcPr>
            <w:tcW w:w="1129" w:type="dxa"/>
          </w:tcPr>
          <w:p w14:paraId="01CB0901" w14:textId="0E1D5DD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1.48</w:t>
            </w:r>
            <w:r w:rsidRPr="004A0C12">
              <w:rPr>
                <w:rFonts w:cs="Open Sans"/>
                <w:szCs w:val="18"/>
                <w:vertAlign w:val="superscript"/>
              </w:rPr>
              <w:t>c</w:t>
            </w:r>
          </w:p>
        </w:tc>
        <w:tc>
          <w:tcPr>
            <w:tcW w:w="1201" w:type="dxa"/>
          </w:tcPr>
          <w:p w14:paraId="652527D4" w14:textId="17A56875"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3.01</w:t>
            </w:r>
          </w:p>
        </w:tc>
        <w:tc>
          <w:tcPr>
            <w:tcW w:w="1185" w:type="dxa"/>
          </w:tcPr>
          <w:p w14:paraId="5D75E042" w14:textId="3FA50D3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6.68</w:t>
            </w:r>
          </w:p>
        </w:tc>
        <w:tc>
          <w:tcPr>
            <w:tcW w:w="1111" w:type="dxa"/>
          </w:tcPr>
          <w:p w14:paraId="0E293891" w14:textId="39F815F3"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88.53</w:t>
            </w:r>
          </w:p>
        </w:tc>
        <w:tc>
          <w:tcPr>
            <w:tcW w:w="1205" w:type="dxa"/>
          </w:tcPr>
          <w:p w14:paraId="5E6BDE6D" w14:textId="7D6EDC7F"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0.22</w:t>
            </w:r>
            <w:r w:rsidRPr="004A0C12">
              <w:rPr>
                <w:rFonts w:cs="Open Sans"/>
                <w:szCs w:val="18"/>
                <w:vertAlign w:val="superscript"/>
              </w:rPr>
              <w:t>c</w:t>
            </w:r>
          </w:p>
        </w:tc>
        <w:tc>
          <w:tcPr>
            <w:tcW w:w="1048" w:type="dxa"/>
          </w:tcPr>
          <w:p w14:paraId="6B40EDF0" w14:textId="210DF072"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4.49</w:t>
            </w:r>
          </w:p>
        </w:tc>
        <w:tc>
          <w:tcPr>
            <w:tcW w:w="1144" w:type="dxa"/>
          </w:tcPr>
          <w:p w14:paraId="34F4F112" w14:textId="2ECE0614" w:rsidR="009B0154" w:rsidRPr="004A0C12" w:rsidRDefault="009B0154"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0C12">
              <w:rPr>
                <w:rFonts w:cs="Open Sans"/>
                <w:szCs w:val="18"/>
              </w:rPr>
              <w:t>95.21</w:t>
            </w:r>
          </w:p>
        </w:tc>
      </w:tr>
    </w:tbl>
    <w:p w14:paraId="653B0AD7" w14:textId="7536C0CB" w:rsidR="00C93146" w:rsidRDefault="00C93146" w:rsidP="006B3061">
      <w:pPr>
        <w:pStyle w:val="Tablesubheading0"/>
        <w:keepLines/>
      </w:pPr>
      <w:r>
        <w:t>Subscale: Objectify Women</w:t>
      </w:r>
      <w:r w:rsidR="006B3061">
        <w:br/>
      </w:r>
      <w:r w:rsidR="00E358DE" w:rsidRPr="0073256E">
        <w:t>After coming home from a party, a man kisses his wife and tries to have sex with her</w:t>
      </w:r>
    </w:p>
    <w:tbl>
      <w:tblPr>
        <w:tblStyle w:val="Table-SingleHeaderRow"/>
        <w:tblW w:w="0" w:type="auto"/>
        <w:tblLayout w:type="fixed"/>
        <w:tblLook w:val="00A0" w:firstRow="1" w:lastRow="0" w:firstColumn="1" w:lastColumn="0" w:noHBand="0" w:noVBand="0"/>
      </w:tblPr>
      <w:tblGrid>
        <w:gridCol w:w="737"/>
        <w:gridCol w:w="4819"/>
        <w:gridCol w:w="737"/>
        <w:gridCol w:w="646"/>
        <w:gridCol w:w="1129"/>
        <w:gridCol w:w="1201"/>
        <w:gridCol w:w="1185"/>
        <w:gridCol w:w="1111"/>
        <w:gridCol w:w="1205"/>
        <w:gridCol w:w="1048"/>
        <w:gridCol w:w="1144"/>
      </w:tblGrid>
      <w:tr w:rsidR="00C93146" w:rsidRPr="004A0C12" w14:paraId="0C8DCBC9" w14:textId="77777777" w:rsidTr="006B3061">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37" w:type="dxa"/>
          </w:tcPr>
          <w:p w14:paraId="3BCF3DF3" w14:textId="77777777" w:rsidR="00C93146" w:rsidRPr="004A0C12" w:rsidRDefault="00C93146" w:rsidP="006B3061">
            <w:pPr>
              <w:pStyle w:val="Tablebody"/>
              <w:rPr>
                <w:b w:val="0"/>
                <w:lang w:val="en-GB"/>
              </w:rPr>
            </w:pPr>
            <w:r w:rsidRPr="004A0C12">
              <w:t>Code</w:t>
            </w:r>
          </w:p>
        </w:tc>
        <w:tc>
          <w:tcPr>
            <w:tcW w:w="4819" w:type="dxa"/>
          </w:tcPr>
          <w:p w14:paraId="18886195" w14:textId="77777777"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Abbreviated item wording</w:t>
            </w:r>
          </w:p>
        </w:tc>
        <w:tc>
          <w:tcPr>
            <w:tcW w:w="737" w:type="dxa"/>
          </w:tcPr>
          <w:p w14:paraId="43143D7D" w14:textId="77777777"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Age</w:t>
            </w:r>
          </w:p>
        </w:tc>
        <w:tc>
          <w:tcPr>
            <w:tcW w:w="646" w:type="dxa"/>
          </w:tcPr>
          <w:p w14:paraId="7A87AC43" w14:textId="77777777" w:rsidR="00C93146" w:rsidRPr="004E25BA" w:rsidRDefault="00C93146" w:rsidP="006B3061">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4E25BA">
              <w:rPr>
                <w:rStyle w:val="Emphasis"/>
              </w:rPr>
              <w:t>N</w:t>
            </w:r>
          </w:p>
        </w:tc>
        <w:tc>
          <w:tcPr>
            <w:tcW w:w="1129" w:type="dxa"/>
          </w:tcPr>
          <w:p w14:paraId="41E88DF6" w14:textId="77777777"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agree</w:t>
            </w:r>
          </w:p>
        </w:tc>
        <w:tc>
          <w:tcPr>
            <w:tcW w:w="1201" w:type="dxa"/>
          </w:tcPr>
          <w:p w14:paraId="119AE785" w14:textId="0C216E5B"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agree</w:t>
            </w:r>
          </w:p>
        </w:tc>
        <w:tc>
          <w:tcPr>
            <w:tcW w:w="1185" w:type="dxa"/>
          </w:tcPr>
          <w:p w14:paraId="7EB081ED" w14:textId="799345F0"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disagree</w:t>
            </w:r>
          </w:p>
        </w:tc>
        <w:tc>
          <w:tcPr>
            <w:tcW w:w="1111" w:type="dxa"/>
          </w:tcPr>
          <w:p w14:paraId="54754C2B" w14:textId="21EF00D3"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disagree</w:t>
            </w:r>
          </w:p>
        </w:tc>
        <w:tc>
          <w:tcPr>
            <w:tcW w:w="1205" w:type="dxa"/>
          </w:tcPr>
          <w:p w14:paraId="32F7FD31" w14:textId="68FF6336"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Undecided</w:t>
            </w:r>
          </w:p>
        </w:tc>
        <w:tc>
          <w:tcPr>
            <w:tcW w:w="1048" w:type="dxa"/>
          </w:tcPr>
          <w:p w14:paraId="6EB90608" w14:textId="77777777"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agree</w:t>
            </w:r>
            <w:r w:rsidRPr="004A0C12">
              <w:rPr>
                <w:vertAlign w:val="superscript"/>
              </w:rPr>
              <w:t>a</w:t>
            </w:r>
          </w:p>
        </w:tc>
        <w:tc>
          <w:tcPr>
            <w:tcW w:w="1144" w:type="dxa"/>
          </w:tcPr>
          <w:p w14:paraId="4B295AD0" w14:textId="77777777" w:rsidR="00C93146" w:rsidRPr="004A0C12" w:rsidRDefault="00C93146" w:rsidP="006B30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disagree</w:t>
            </w:r>
            <w:r w:rsidRPr="004A0C12">
              <w:rPr>
                <w:vertAlign w:val="superscript"/>
              </w:rPr>
              <w:t>b</w:t>
            </w:r>
          </w:p>
        </w:tc>
      </w:tr>
      <w:tr w:rsidR="00692148" w:rsidRPr="004A0C12" w14:paraId="1FC4AC2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F89C134" w14:textId="77777777" w:rsidR="00692148" w:rsidRPr="004A0C12" w:rsidRDefault="00692148" w:rsidP="006B3061">
            <w:pPr>
              <w:pStyle w:val="Tablebody"/>
              <w:rPr>
                <w:rFonts w:cs="Open Sans"/>
                <w:szCs w:val="18"/>
                <w:lang w:val="en-GB"/>
              </w:rPr>
            </w:pPr>
            <w:r w:rsidRPr="004A0C12">
              <w:rPr>
                <w:rFonts w:cs="Open Sans"/>
                <w:szCs w:val="18"/>
              </w:rPr>
              <w:t>S12</w:t>
            </w:r>
          </w:p>
        </w:tc>
        <w:tc>
          <w:tcPr>
            <w:tcW w:w="4819" w:type="dxa"/>
          </w:tcPr>
          <w:p w14:paraId="02C5B585"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lang w:val="en-GB"/>
              </w:rPr>
              <w:t>She pushes him away, but he has sex with her anyway. Do you agree or disagree that the man is justified in his behaviour? (</w:t>
            </w:r>
            <w:r w:rsidRPr="00263683">
              <w:rPr>
                <w:rStyle w:val="Emphasis"/>
                <w:szCs w:val="18"/>
              </w:rPr>
              <w:t>Married – He initiates</w:t>
            </w:r>
            <w:r w:rsidRPr="004A0C12">
              <w:rPr>
                <w:rFonts w:cs="Open Sans"/>
                <w:szCs w:val="18"/>
                <w:lang w:val="en-GB"/>
              </w:rPr>
              <w:t>)</w:t>
            </w:r>
            <w:r w:rsidRPr="004A0C12">
              <w:rPr>
                <w:rFonts w:ascii="Montserrat" w:hAnsi="Montserrat" w:cs="Montserrat"/>
                <w:szCs w:val="18"/>
              </w:rPr>
              <w:t>~</w:t>
            </w:r>
          </w:p>
        </w:tc>
        <w:tc>
          <w:tcPr>
            <w:tcW w:w="737" w:type="dxa"/>
          </w:tcPr>
          <w:p w14:paraId="75D169AF"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7DD04B85"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w:t>
            </w:r>
          </w:p>
        </w:tc>
        <w:tc>
          <w:tcPr>
            <w:tcW w:w="1129" w:type="dxa"/>
          </w:tcPr>
          <w:p w14:paraId="5CA5EC76" w14:textId="5FBF93E5"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3.03</w:t>
            </w:r>
            <w:r w:rsidRPr="004A0C12">
              <w:rPr>
                <w:rFonts w:cs="Open Sans"/>
                <w:szCs w:val="18"/>
                <w:vertAlign w:val="superscript"/>
              </w:rPr>
              <w:t>c</w:t>
            </w:r>
          </w:p>
        </w:tc>
        <w:tc>
          <w:tcPr>
            <w:tcW w:w="1201" w:type="dxa"/>
          </w:tcPr>
          <w:p w14:paraId="509272AC" w14:textId="5399ADAE"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1.71</w:t>
            </w:r>
            <w:r w:rsidRPr="004A0C12">
              <w:rPr>
                <w:rFonts w:cs="Open Sans"/>
                <w:szCs w:val="18"/>
                <w:vertAlign w:val="superscript"/>
              </w:rPr>
              <w:t>c</w:t>
            </w:r>
          </w:p>
        </w:tc>
        <w:tc>
          <w:tcPr>
            <w:tcW w:w="1185" w:type="dxa"/>
          </w:tcPr>
          <w:p w14:paraId="2565688A" w14:textId="49A8BEDB"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0.42</w:t>
            </w:r>
            <w:r w:rsidRPr="004A0C12">
              <w:rPr>
                <w:rFonts w:cs="Open Sans"/>
                <w:szCs w:val="18"/>
                <w:vertAlign w:val="superscript"/>
              </w:rPr>
              <w:t>c</w:t>
            </w:r>
          </w:p>
        </w:tc>
        <w:tc>
          <w:tcPr>
            <w:tcW w:w="1111" w:type="dxa"/>
          </w:tcPr>
          <w:p w14:paraId="3EEB6201" w14:textId="7C62EC72"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94.84</w:t>
            </w:r>
          </w:p>
        </w:tc>
        <w:tc>
          <w:tcPr>
            <w:tcW w:w="1205" w:type="dxa"/>
          </w:tcPr>
          <w:p w14:paraId="2A7B9D1B" w14:textId="42AC598D"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304A29FE" w14:textId="69AEBECF"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4.74</w:t>
            </w:r>
            <w:r w:rsidRPr="004A0C12">
              <w:rPr>
                <w:rFonts w:cs="Open Sans"/>
                <w:szCs w:val="18"/>
                <w:vertAlign w:val="superscript"/>
              </w:rPr>
              <w:t>c</w:t>
            </w:r>
          </w:p>
        </w:tc>
        <w:tc>
          <w:tcPr>
            <w:tcW w:w="1144" w:type="dxa"/>
          </w:tcPr>
          <w:p w14:paraId="486D2F84" w14:textId="49AA5BF5"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95.26</w:t>
            </w:r>
          </w:p>
        </w:tc>
      </w:tr>
      <w:tr w:rsidR="00692148" w:rsidRPr="004A0C12" w14:paraId="7127ED4D"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193CDD5" w14:textId="1DDD4C6E" w:rsidR="00692148" w:rsidRPr="004A0C12" w:rsidRDefault="00692148" w:rsidP="006B3061">
            <w:pPr>
              <w:pStyle w:val="Tablebody"/>
              <w:rPr>
                <w:rFonts w:ascii="Open Sans SemiBold" w:hAnsi="Open Sans SemiBold" w:cs="Times New Roman"/>
                <w:sz w:val="24"/>
              </w:rPr>
            </w:pPr>
            <w:r>
              <w:rPr>
                <w:rFonts w:cs="Open Sans"/>
                <w:szCs w:val="18"/>
              </w:rPr>
              <w:t xml:space="preserve">  </w:t>
            </w:r>
            <w:r w:rsidRPr="004A0C12">
              <w:rPr>
                <w:rFonts w:cs="Open Sans"/>
                <w:szCs w:val="18"/>
              </w:rPr>
              <w:t>S12</w:t>
            </w:r>
          </w:p>
        </w:tc>
        <w:tc>
          <w:tcPr>
            <w:tcW w:w="4819" w:type="dxa"/>
          </w:tcPr>
          <w:p w14:paraId="2E4C5440" w14:textId="171A6894"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A0C12">
              <w:rPr>
                <w:rFonts w:cs="Open Sans"/>
                <w:szCs w:val="18"/>
                <w:lang w:val="en-GB"/>
              </w:rPr>
              <w:t>She pushes him away, but he has sex with her anyway. Do you agree or disagree that the man is justified in his behaviour? (</w:t>
            </w:r>
            <w:r w:rsidRPr="00263683">
              <w:rPr>
                <w:rStyle w:val="Emphasis"/>
                <w:szCs w:val="18"/>
              </w:rPr>
              <w:t>Married – He initiates</w:t>
            </w:r>
            <w:r w:rsidRPr="004A0C12">
              <w:rPr>
                <w:rFonts w:cs="Open Sans"/>
                <w:szCs w:val="18"/>
                <w:lang w:val="en-GB"/>
              </w:rPr>
              <w:t>)</w:t>
            </w:r>
            <w:r w:rsidRPr="004A0C12">
              <w:rPr>
                <w:rFonts w:ascii="Montserrat" w:hAnsi="Montserrat" w:cs="Montserrat"/>
                <w:szCs w:val="18"/>
              </w:rPr>
              <w:t>~</w:t>
            </w:r>
          </w:p>
        </w:tc>
        <w:tc>
          <w:tcPr>
            <w:tcW w:w="737" w:type="dxa"/>
          </w:tcPr>
          <w:p w14:paraId="4148D5FE"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18–24</w:t>
            </w:r>
          </w:p>
        </w:tc>
        <w:tc>
          <w:tcPr>
            <w:tcW w:w="646" w:type="dxa"/>
          </w:tcPr>
          <w:p w14:paraId="22465AB3"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352</w:t>
            </w:r>
          </w:p>
        </w:tc>
        <w:tc>
          <w:tcPr>
            <w:tcW w:w="1129" w:type="dxa"/>
          </w:tcPr>
          <w:p w14:paraId="5952F8E6" w14:textId="6FDAF093"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0.40</w:t>
            </w:r>
            <w:r w:rsidRPr="004A0C12">
              <w:rPr>
                <w:rFonts w:cs="Open Sans"/>
                <w:szCs w:val="18"/>
                <w:vertAlign w:val="superscript"/>
              </w:rPr>
              <w:t>c</w:t>
            </w:r>
          </w:p>
        </w:tc>
        <w:tc>
          <w:tcPr>
            <w:tcW w:w="1201" w:type="dxa"/>
          </w:tcPr>
          <w:p w14:paraId="70BF56C2" w14:textId="3D4C2E64"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3.21</w:t>
            </w:r>
            <w:r w:rsidRPr="004A0C12">
              <w:rPr>
                <w:rFonts w:cs="Open Sans"/>
                <w:szCs w:val="18"/>
                <w:vertAlign w:val="superscript"/>
              </w:rPr>
              <w:t>c</w:t>
            </w:r>
          </w:p>
        </w:tc>
        <w:tc>
          <w:tcPr>
            <w:tcW w:w="1185" w:type="dxa"/>
          </w:tcPr>
          <w:p w14:paraId="2AB4564F" w14:textId="0FFDF1C9"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6.71</w:t>
            </w:r>
          </w:p>
        </w:tc>
        <w:tc>
          <w:tcPr>
            <w:tcW w:w="1111" w:type="dxa"/>
          </w:tcPr>
          <w:p w14:paraId="6D8C2CA3" w14:textId="3EEB95F4"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88.41</w:t>
            </w:r>
          </w:p>
        </w:tc>
        <w:tc>
          <w:tcPr>
            <w:tcW w:w="1205" w:type="dxa"/>
          </w:tcPr>
          <w:p w14:paraId="56C1DE65" w14:textId="2E9C76E4"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1.26</w:t>
            </w:r>
            <w:r w:rsidRPr="004A0C12">
              <w:rPr>
                <w:rFonts w:cs="Open Sans"/>
                <w:szCs w:val="18"/>
                <w:vertAlign w:val="superscript"/>
              </w:rPr>
              <w:t>c</w:t>
            </w:r>
          </w:p>
        </w:tc>
        <w:tc>
          <w:tcPr>
            <w:tcW w:w="1048" w:type="dxa"/>
          </w:tcPr>
          <w:p w14:paraId="010CBC54" w14:textId="4389C406"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3.62</w:t>
            </w:r>
            <w:r w:rsidRPr="004A0C12">
              <w:rPr>
                <w:rFonts w:cs="Open Sans"/>
                <w:szCs w:val="18"/>
                <w:vertAlign w:val="superscript"/>
              </w:rPr>
              <w:t>c</w:t>
            </w:r>
          </w:p>
        </w:tc>
        <w:tc>
          <w:tcPr>
            <w:tcW w:w="1144" w:type="dxa"/>
          </w:tcPr>
          <w:p w14:paraId="2F15C4B4" w14:textId="20B05563"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95.12</w:t>
            </w:r>
          </w:p>
        </w:tc>
      </w:tr>
      <w:tr w:rsidR="00692148" w:rsidRPr="004A0C12" w14:paraId="458CF5C9" w14:textId="77777777" w:rsidTr="006B30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C72AB07" w14:textId="77777777" w:rsidR="00692148" w:rsidRPr="004A0C12" w:rsidRDefault="00692148" w:rsidP="006B3061">
            <w:pPr>
              <w:pStyle w:val="Tablebody"/>
              <w:rPr>
                <w:rFonts w:cs="Open Sans"/>
                <w:szCs w:val="18"/>
                <w:lang w:val="en-GB"/>
              </w:rPr>
            </w:pPr>
            <w:r w:rsidRPr="004A0C12">
              <w:rPr>
                <w:rFonts w:cs="Open Sans"/>
                <w:szCs w:val="18"/>
              </w:rPr>
              <w:lastRenderedPageBreak/>
              <w:t>S13</w:t>
            </w:r>
          </w:p>
        </w:tc>
        <w:tc>
          <w:tcPr>
            <w:tcW w:w="4819" w:type="dxa"/>
          </w:tcPr>
          <w:p w14:paraId="16181199"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73256E">
              <w:rPr>
                <w:rFonts w:cs="Open Sans"/>
                <w:szCs w:val="18"/>
                <w:lang w:val="en-US"/>
              </w:rPr>
              <w:t xml:space="preserve">What if she had taken him into the bedroom and started kissing him before pushing him away? Do you agree or disagree that the man is justified in having sex with her anyway? </w:t>
            </w:r>
            <w:r w:rsidRPr="004A0C12">
              <w:rPr>
                <w:rFonts w:cs="Open Sans"/>
                <w:szCs w:val="18"/>
                <w:lang w:val="en-GB"/>
              </w:rPr>
              <w:t>(</w:t>
            </w:r>
            <w:r w:rsidRPr="00263683">
              <w:rPr>
                <w:rStyle w:val="Emphasis"/>
                <w:szCs w:val="18"/>
              </w:rPr>
              <w:t>Married – She initiates</w:t>
            </w:r>
            <w:r w:rsidRPr="004A0C12">
              <w:rPr>
                <w:rFonts w:cs="Open Sans"/>
                <w:szCs w:val="18"/>
                <w:lang w:val="en-GB"/>
              </w:rPr>
              <w:t>)</w:t>
            </w:r>
            <w:r w:rsidRPr="004A0C12">
              <w:rPr>
                <w:rFonts w:ascii="Montserrat" w:hAnsi="Montserrat" w:cs="Montserrat"/>
                <w:szCs w:val="18"/>
              </w:rPr>
              <w:t>~</w:t>
            </w:r>
          </w:p>
        </w:tc>
        <w:tc>
          <w:tcPr>
            <w:tcW w:w="737" w:type="dxa"/>
          </w:tcPr>
          <w:p w14:paraId="3467DD32"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0F9D8D00"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w:t>
            </w:r>
          </w:p>
        </w:tc>
        <w:tc>
          <w:tcPr>
            <w:tcW w:w="1129" w:type="dxa"/>
          </w:tcPr>
          <w:p w14:paraId="19C442DB" w14:textId="1731E0B1"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2.83</w:t>
            </w:r>
            <w:r w:rsidRPr="004A0C12">
              <w:rPr>
                <w:rFonts w:cs="Open Sans"/>
                <w:szCs w:val="18"/>
                <w:vertAlign w:val="superscript"/>
              </w:rPr>
              <w:t>c</w:t>
            </w:r>
          </w:p>
        </w:tc>
        <w:tc>
          <w:tcPr>
            <w:tcW w:w="1201" w:type="dxa"/>
          </w:tcPr>
          <w:p w14:paraId="1AAB87FF" w14:textId="6F8596DA"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17.58</w:t>
            </w:r>
            <w:r w:rsidRPr="004A0C12">
              <w:rPr>
                <w:rFonts w:cs="Open Sans"/>
                <w:szCs w:val="18"/>
                <w:vertAlign w:val="superscript"/>
              </w:rPr>
              <w:t>c</w:t>
            </w:r>
          </w:p>
        </w:tc>
        <w:tc>
          <w:tcPr>
            <w:tcW w:w="1185" w:type="dxa"/>
          </w:tcPr>
          <w:p w14:paraId="57E9281A" w14:textId="72F91E01"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14.43</w:t>
            </w:r>
            <w:r w:rsidRPr="004A0C12">
              <w:rPr>
                <w:rFonts w:cs="Open Sans"/>
                <w:szCs w:val="18"/>
                <w:vertAlign w:val="superscript"/>
              </w:rPr>
              <w:t>c</w:t>
            </w:r>
          </w:p>
        </w:tc>
        <w:tc>
          <w:tcPr>
            <w:tcW w:w="1111" w:type="dxa"/>
          </w:tcPr>
          <w:p w14:paraId="6F7B3208" w14:textId="7D592FD5"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57.13</w:t>
            </w:r>
          </w:p>
        </w:tc>
        <w:tc>
          <w:tcPr>
            <w:tcW w:w="1205" w:type="dxa"/>
          </w:tcPr>
          <w:p w14:paraId="512872AE" w14:textId="5A011375"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8.03</w:t>
            </w:r>
            <w:r w:rsidRPr="004A0C12">
              <w:rPr>
                <w:rFonts w:cs="Open Sans"/>
                <w:szCs w:val="18"/>
                <w:vertAlign w:val="superscript"/>
              </w:rPr>
              <w:t>c</w:t>
            </w:r>
          </w:p>
        </w:tc>
        <w:tc>
          <w:tcPr>
            <w:tcW w:w="1048" w:type="dxa"/>
          </w:tcPr>
          <w:p w14:paraId="6562DBD4" w14:textId="76545C86"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20.40</w:t>
            </w:r>
            <w:r w:rsidRPr="004A0C12">
              <w:rPr>
                <w:rFonts w:cs="Open Sans"/>
                <w:szCs w:val="18"/>
                <w:vertAlign w:val="superscript"/>
              </w:rPr>
              <w:t>c</w:t>
            </w:r>
          </w:p>
        </w:tc>
        <w:tc>
          <w:tcPr>
            <w:tcW w:w="1144" w:type="dxa"/>
          </w:tcPr>
          <w:p w14:paraId="17B63E9E" w14:textId="1D6E6589"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71.56*</w:t>
            </w:r>
          </w:p>
        </w:tc>
      </w:tr>
      <w:tr w:rsidR="00692148" w:rsidRPr="004A0C12" w14:paraId="4D0AC488" w14:textId="77777777" w:rsidTr="006B3061">
        <w:trPr>
          <w:trHeight w:val="1272"/>
        </w:trPr>
        <w:tc>
          <w:tcPr>
            <w:cnfStyle w:val="001000000000" w:firstRow="0" w:lastRow="0" w:firstColumn="1" w:lastColumn="0" w:oddVBand="0" w:evenVBand="0" w:oddHBand="0" w:evenHBand="0" w:firstRowFirstColumn="0" w:firstRowLastColumn="0" w:lastRowFirstColumn="0" w:lastRowLastColumn="0"/>
            <w:tcW w:w="737" w:type="dxa"/>
          </w:tcPr>
          <w:p w14:paraId="51C582FD" w14:textId="793749D6" w:rsidR="00692148" w:rsidRPr="004A0C12" w:rsidRDefault="00692148" w:rsidP="006B3061">
            <w:pPr>
              <w:pStyle w:val="Tablebody"/>
              <w:rPr>
                <w:rFonts w:ascii="Open Sans SemiBold" w:hAnsi="Open Sans SemiBold" w:cs="Times New Roman"/>
                <w:sz w:val="24"/>
              </w:rPr>
            </w:pPr>
            <w:r>
              <w:rPr>
                <w:rFonts w:cs="Open Sans"/>
                <w:szCs w:val="18"/>
              </w:rPr>
              <w:t xml:space="preserve">  </w:t>
            </w:r>
            <w:r w:rsidRPr="004A0C12">
              <w:rPr>
                <w:rFonts w:cs="Open Sans"/>
                <w:szCs w:val="18"/>
              </w:rPr>
              <w:t>S13</w:t>
            </w:r>
          </w:p>
        </w:tc>
        <w:tc>
          <w:tcPr>
            <w:tcW w:w="4819" w:type="dxa"/>
          </w:tcPr>
          <w:p w14:paraId="213F1654" w14:textId="3C8D3822"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73256E">
              <w:rPr>
                <w:rFonts w:cs="Open Sans"/>
                <w:szCs w:val="18"/>
                <w:lang w:val="en-US"/>
              </w:rPr>
              <w:t xml:space="preserve">What if she had taken him into the bedroom and started kissing him before pushing him away? Do you agree or disagree that the man is justified in having sex with her anyway? </w:t>
            </w:r>
            <w:r w:rsidRPr="004A0C12">
              <w:rPr>
                <w:rFonts w:cs="Open Sans"/>
                <w:szCs w:val="18"/>
                <w:lang w:val="en-GB"/>
              </w:rPr>
              <w:t>(</w:t>
            </w:r>
            <w:r w:rsidRPr="00263683">
              <w:rPr>
                <w:rStyle w:val="Emphasis"/>
                <w:szCs w:val="18"/>
              </w:rPr>
              <w:t>Married – She initiates</w:t>
            </w:r>
            <w:r w:rsidRPr="004A0C12">
              <w:rPr>
                <w:rFonts w:cs="Open Sans"/>
                <w:szCs w:val="18"/>
                <w:lang w:val="en-GB"/>
              </w:rPr>
              <w:t>)</w:t>
            </w:r>
            <w:r w:rsidRPr="004A0C12">
              <w:rPr>
                <w:rFonts w:ascii="Montserrat" w:hAnsi="Montserrat" w:cs="Montserrat"/>
                <w:szCs w:val="18"/>
              </w:rPr>
              <w:t>~</w:t>
            </w:r>
          </w:p>
        </w:tc>
        <w:tc>
          <w:tcPr>
            <w:tcW w:w="737" w:type="dxa"/>
          </w:tcPr>
          <w:p w14:paraId="0C485602"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18–24</w:t>
            </w:r>
          </w:p>
        </w:tc>
        <w:tc>
          <w:tcPr>
            <w:tcW w:w="646" w:type="dxa"/>
          </w:tcPr>
          <w:p w14:paraId="4E1834C3" w14:textId="7777777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352</w:t>
            </w:r>
          </w:p>
        </w:tc>
        <w:tc>
          <w:tcPr>
            <w:tcW w:w="1129" w:type="dxa"/>
          </w:tcPr>
          <w:p w14:paraId="32EDA97B" w14:textId="2F39FF21"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2.52</w:t>
            </w:r>
            <w:r w:rsidRPr="004A0C12">
              <w:rPr>
                <w:rFonts w:cs="Open Sans"/>
                <w:szCs w:val="18"/>
                <w:vertAlign w:val="superscript"/>
              </w:rPr>
              <w:t>c</w:t>
            </w:r>
          </w:p>
        </w:tc>
        <w:tc>
          <w:tcPr>
            <w:tcW w:w="1201" w:type="dxa"/>
          </w:tcPr>
          <w:p w14:paraId="207C02A9" w14:textId="00398B11"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6.51</w:t>
            </w:r>
          </w:p>
        </w:tc>
        <w:tc>
          <w:tcPr>
            <w:tcW w:w="1185" w:type="dxa"/>
          </w:tcPr>
          <w:p w14:paraId="2B88C7DD" w14:textId="30451E5D"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15.98</w:t>
            </w:r>
          </w:p>
        </w:tc>
        <w:tc>
          <w:tcPr>
            <w:tcW w:w="1111" w:type="dxa"/>
          </w:tcPr>
          <w:p w14:paraId="6E20A899" w14:textId="21E10647"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72.39</w:t>
            </w:r>
          </w:p>
        </w:tc>
        <w:tc>
          <w:tcPr>
            <w:tcW w:w="1205" w:type="dxa"/>
          </w:tcPr>
          <w:p w14:paraId="373A5B64" w14:textId="5EFD5DF8"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2.60</w:t>
            </w:r>
            <w:r w:rsidRPr="004A0C12">
              <w:rPr>
                <w:rFonts w:cs="Open Sans"/>
                <w:szCs w:val="18"/>
                <w:vertAlign w:val="superscript"/>
              </w:rPr>
              <w:t>c</w:t>
            </w:r>
          </w:p>
        </w:tc>
        <w:tc>
          <w:tcPr>
            <w:tcW w:w="1048" w:type="dxa"/>
          </w:tcPr>
          <w:p w14:paraId="6D397130" w14:textId="032E6E43"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9.03</w:t>
            </w:r>
          </w:p>
        </w:tc>
        <w:tc>
          <w:tcPr>
            <w:tcW w:w="1144" w:type="dxa"/>
          </w:tcPr>
          <w:p w14:paraId="66E3D261" w14:textId="390AC9C9" w:rsidR="00692148" w:rsidRPr="004A0C12" w:rsidRDefault="00692148" w:rsidP="006B30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88.37*</w:t>
            </w:r>
          </w:p>
        </w:tc>
      </w:tr>
    </w:tbl>
    <w:p w14:paraId="61DFB1B5" w14:textId="6CC149D2" w:rsidR="00C93146" w:rsidRDefault="00C93146" w:rsidP="005B1A66">
      <w:pPr>
        <w:pStyle w:val="Tablesubheading0"/>
      </w:pPr>
      <w:r>
        <w:t>Subscale: Objectify Women</w:t>
      </w:r>
      <w:r w:rsidRPr="0073256E">
        <w:t xml:space="preserve"> </w:t>
      </w:r>
      <w:r w:rsidR="00F75563">
        <w:br/>
      </w:r>
      <w:r w:rsidR="00E358DE" w:rsidRPr="0073256E">
        <w:t>A man and woman have just met at a party and get on well. They go back to the woman’s home where he kisses her and tries to have sex with her</w:t>
      </w:r>
    </w:p>
    <w:tbl>
      <w:tblPr>
        <w:tblStyle w:val="Table-SingleHeaderRow"/>
        <w:tblW w:w="0" w:type="auto"/>
        <w:tblLayout w:type="fixed"/>
        <w:tblLook w:val="00A0" w:firstRow="1" w:lastRow="0" w:firstColumn="1" w:lastColumn="0" w:noHBand="0" w:noVBand="0"/>
      </w:tblPr>
      <w:tblGrid>
        <w:gridCol w:w="737"/>
        <w:gridCol w:w="4819"/>
        <w:gridCol w:w="737"/>
        <w:gridCol w:w="646"/>
        <w:gridCol w:w="1129"/>
        <w:gridCol w:w="1201"/>
        <w:gridCol w:w="1185"/>
        <w:gridCol w:w="1111"/>
        <w:gridCol w:w="1205"/>
        <w:gridCol w:w="1048"/>
        <w:gridCol w:w="1144"/>
      </w:tblGrid>
      <w:tr w:rsidR="00C93146" w:rsidRPr="004A0C12" w14:paraId="2A222473" w14:textId="77777777" w:rsidTr="005B1A66">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737" w:type="dxa"/>
          </w:tcPr>
          <w:p w14:paraId="0B32CF05" w14:textId="77777777" w:rsidR="00C93146" w:rsidRPr="004A0C12" w:rsidRDefault="00C93146" w:rsidP="005B1A66">
            <w:pPr>
              <w:pStyle w:val="Tablebody"/>
              <w:rPr>
                <w:b w:val="0"/>
                <w:lang w:val="en-GB"/>
              </w:rPr>
            </w:pPr>
            <w:r w:rsidRPr="004A0C12">
              <w:t>Code</w:t>
            </w:r>
          </w:p>
        </w:tc>
        <w:tc>
          <w:tcPr>
            <w:tcW w:w="4819" w:type="dxa"/>
          </w:tcPr>
          <w:p w14:paraId="373CB162" w14:textId="77777777"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Abbreviated item wording</w:t>
            </w:r>
          </w:p>
        </w:tc>
        <w:tc>
          <w:tcPr>
            <w:tcW w:w="737" w:type="dxa"/>
          </w:tcPr>
          <w:p w14:paraId="2E6DC9C7" w14:textId="77777777"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Age</w:t>
            </w:r>
          </w:p>
        </w:tc>
        <w:tc>
          <w:tcPr>
            <w:tcW w:w="646" w:type="dxa"/>
          </w:tcPr>
          <w:p w14:paraId="44E2B494" w14:textId="77777777" w:rsidR="00C93146" w:rsidRPr="004E25BA" w:rsidRDefault="00C93146" w:rsidP="005B1A66">
            <w:pPr>
              <w:pStyle w:val="Tablebody"/>
              <w:cnfStyle w:val="100000000000" w:firstRow="1" w:lastRow="0" w:firstColumn="0" w:lastColumn="0" w:oddVBand="0" w:evenVBand="0" w:oddHBand="0" w:evenHBand="0" w:firstRowFirstColumn="0" w:firstRowLastColumn="0" w:lastRowFirstColumn="0" w:lastRowLastColumn="0"/>
              <w:rPr>
                <w:rStyle w:val="Emphasis"/>
              </w:rPr>
            </w:pPr>
            <w:r w:rsidRPr="004E25BA">
              <w:rPr>
                <w:rStyle w:val="Emphasis"/>
              </w:rPr>
              <w:t>N</w:t>
            </w:r>
          </w:p>
        </w:tc>
        <w:tc>
          <w:tcPr>
            <w:tcW w:w="1129" w:type="dxa"/>
          </w:tcPr>
          <w:p w14:paraId="48367113" w14:textId="77777777"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agree</w:t>
            </w:r>
          </w:p>
        </w:tc>
        <w:tc>
          <w:tcPr>
            <w:tcW w:w="1201" w:type="dxa"/>
          </w:tcPr>
          <w:p w14:paraId="6B9CC18A" w14:textId="2BED06D9"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agree</w:t>
            </w:r>
          </w:p>
        </w:tc>
        <w:tc>
          <w:tcPr>
            <w:tcW w:w="1185" w:type="dxa"/>
          </w:tcPr>
          <w:p w14:paraId="77B9AA97" w14:textId="3F2C7C30"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Somewhat disagree</w:t>
            </w:r>
          </w:p>
        </w:tc>
        <w:tc>
          <w:tcPr>
            <w:tcW w:w="1111" w:type="dxa"/>
          </w:tcPr>
          <w:p w14:paraId="28D24C95" w14:textId="28A5109C"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Strongly disagree</w:t>
            </w:r>
          </w:p>
        </w:tc>
        <w:tc>
          <w:tcPr>
            <w:tcW w:w="1205" w:type="dxa"/>
          </w:tcPr>
          <w:p w14:paraId="26D0AEFF" w14:textId="5F7AFBF9"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Undecided</w:t>
            </w:r>
          </w:p>
        </w:tc>
        <w:tc>
          <w:tcPr>
            <w:tcW w:w="1048" w:type="dxa"/>
          </w:tcPr>
          <w:p w14:paraId="2ED62F53" w14:textId="77777777"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agree</w:t>
            </w:r>
            <w:r w:rsidRPr="004A0C12">
              <w:rPr>
                <w:vertAlign w:val="superscript"/>
              </w:rPr>
              <w:t>a</w:t>
            </w:r>
          </w:p>
        </w:tc>
        <w:tc>
          <w:tcPr>
            <w:tcW w:w="1144" w:type="dxa"/>
          </w:tcPr>
          <w:p w14:paraId="69E24FF4" w14:textId="77777777" w:rsidR="00C93146" w:rsidRPr="004A0C12" w:rsidRDefault="00C93146" w:rsidP="005B1A66">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0C12">
              <w:t>% Net disagree</w:t>
            </w:r>
            <w:r w:rsidRPr="004A0C12">
              <w:rPr>
                <w:vertAlign w:val="superscript"/>
              </w:rPr>
              <w:t>b</w:t>
            </w:r>
          </w:p>
        </w:tc>
      </w:tr>
      <w:tr w:rsidR="00692148" w:rsidRPr="004A0C12" w14:paraId="19F597ED" w14:textId="77777777" w:rsidTr="005B1A66">
        <w:trPr>
          <w:trHeight w:val="559"/>
        </w:trPr>
        <w:tc>
          <w:tcPr>
            <w:cnfStyle w:val="001000000000" w:firstRow="0" w:lastRow="0" w:firstColumn="1" w:lastColumn="0" w:oddVBand="0" w:evenVBand="0" w:oddHBand="0" w:evenHBand="0" w:firstRowFirstColumn="0" w:firstRowLastColumn="0" w:lastRowFirstColumn="0" w:lastRowLastColumn="0"/>
            <w:tcW w:w="737" w:type="dxa"/>
          </w:tcPr>
          <w:p w14:paraId="43F8AE3C" w14:textId="77777777" w:rsidR="00692148" w:rsidRPr="004A0C12" w:rsidRDefault="00692148" w:rsidP="005B1A66">
            <w:pPr>
              <w:pStyle w:val="Tablebody"/>
              <w:rPr>
                <w:rFonts w:cs="Open Sans"/>
                <w:szCs w:val="18"/>
                <w:lang w:val="en-GB"/>
              </w:rPr>
            </w:pPr>
            <w:r w:rsidRPr="004A0C12">
              <w:rPr>
                <w:rFonts w:cs="Open Sans"/>
                <w:szCs w:val="18"/>
              </w:rPr>
              <w:t>S14</w:t>
            </w:r>
          </w:p>
        </w:tc>
        <w:tc>
          <w:tcPr>
            <w:tcW w:w="4819" w:type="dxa"/>
          </w:tcPr>
          <w:p w14:paraId="36411F9F" w14:textId="125F881F" w:rsidR="00692148" w:rsidRPr="002520E8"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520E8">
              <w:rPr>
                <w:rFonts w:cs="Open Sans"/>
                <w:spacing w:val="-6"/>
                <w:szCs w:val="18"/>
                <w:lang w:val="en-US"/>
              </w:rPr>
              <w:t>She pushes him away, but he has sex with her anyway. Do</w:t>
            </w:r>
            <w:r>
              <w:rPr>
                <w:rFonts w:cs="Open Sans"/>
                <w:spacing w:val="-6"/>
                <w:szCs w:val="18"/>
                <w:lang w:val="en-US"/>
              </w:rPr>
              <w:t> </w:t>
            </w:r>
            <w:r w:rsidRPr="002520E8">
              <w:rPr>
                <w:rFonts w:cs="Open Sans"/>
                <w:spacing w:val="-6"/>
                <w:szCs w:val="18"/>
                <w:lang w:val="en-US"/>
              </w:rPr>
              <w:t xml:space="preserve">you agree or disagree that the man is justified in his behaviour? </w:t>
            </w:r>
            <w:r w:rsidRPr="002520E8">
              <w:rPr>
                <w:rFonts w:cs="Open Sans"/>
                <w:spacing w:val="-6"/>
                <w:szCs w:val="18"/>
              </w:rPr>
              <w:t>(</w:t>
            </w:r>
            <w:r w:rsidRPr="002520E8">
              <w:rPr>
                <w:rStyle w:val="Emphasis"/>
                <w:spacing w:val="-6"/>
                <w:szCs w:val="18"/>
              </w:rPr>
              <w:t>Acquaintance – He initiates</w:t>
            </w:r>
            <w:r w:rsidRPr="002520E8">
              <w:rPr>
                <w:rFonts w:cs="Open Sans"/>
                <w:spacing w:val="-6"/>
                <w:szCs w:val="18"/>
              </w:rPr>
              <w:t>)</w:t>
            </w:r>
            <w:r w:rsidRPr="002520E8">
              <w:rPr>
                <w:rFonts w:ascii="Montserrat" w:hAnsi="Montserrat" w:cs="Montserrat"/>
                <w:spacing w:val="-6"/>
                <w:szCs w:val="18"/>
              </w:rPr>
              <w:t>~</w:t>
            </w:r>
          </w:p>
        </w:tc>
        <w:tc>
          <w:tcPr>
            <w:tcW w:w="737" w:type="dxa"/>
          </w:tcPr>
          <w:p w14:paraId="7B66D8D8"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3399DE9D"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39</w:t>
            </w:r>
          </w:p>
        </w:tc>
        <w:tc>
          <w:tcPr>
            <w:tcW w:w="1129" w:type="dxa"/>
          </w:tcPr>
          <w:p w14:paraId="1C99CE34" w14:textId="29D1176C"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4.81</w:t>
            </w:r>
            <w:r w:rsidRPr="004A0C12">
              <w:rPr>
                <w:rFonts w:cs="Open Sans"/>
                <w:szCs w:val="18"/>
                <w:vertAlign w:val="superscript"/>
              </w:rPr>
              <w:t>c</w:t>
            </w:r>
          </w:p>
        </w:tc>
        <w:tc>
          <w:tcPr>
            <w:tcW w:w="1201" w:type="dxa"/>
          </w:tcPr>
          <w:p w14:paraId="33B14270" w14:textId="167A4B86"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185" w:type="dxa"/>
          </w:tcPr>
          <w:p w14:paraId="0A9E9253" w14:textId="41F98CEA"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4.50</w:t>
            </w:r>
            <w:r w:rsidRPr="004A0C12">
              <w:rPr>
                <w:rFonts w:cs="Open Sans"/>
                <w:szCs w:val="18"/>
                <w:vertAlign w:val="superscript"/>
              </w:rPr>
              <w:t>c</w:t>
            </w:r>
          </w:p>
        </w:tc>
        <w:tc>
          <w:tcPr>
            <w:tcW w:w="1111" w:type="dxa"/>
          </w:tcPr>
          <w:p w14:paraId="063EBA18" w14:textId="021DB135"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90.68</w:t>
            </w:r>
          </w:p>
        </w:tc>
        <w:tc>
          <w:tcPr>
            <w:tcW w:w="1205" w:type="dxa"/>
          </w:tcPr>
          <w:p w14:paraId="56C050E2" w14:textId="1C6FFCC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0.00</w:t>
            </w:r>
          </w:p>
        </w:tc>
        <w:tc>
          <w:tcPr>
            <w:tcW w:w="1048" w:type="dxa"/>
          </w:tcPr>
          <w:p w14:paraId="3132F7D5" w14:textId="14EC9805"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4.81</w:t>
            </w:r>
            <w:r w:rsidRPr="004A0C12">
              <w:rPr>
                <w:rFonts w:cs="Open Sans"/>
                <w:szCs w:val="18"/>
                <w:vertAlign w:val="superscript"/>
              </w:rPr>
              <w:t>c</w:t>
            </w:r>
          </w:p>
        </w:tc>
        <w:tc>
          <w:tcPr>
            <w:tcW w:w="1144" w:type="dxa"/>
          </w:tcPr>
          <w:p w14:paraId="258928F9" w14:textId="6C37CEB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95.19</w:t>
            </w:r>
          </w:p>
        </w:tc>
      </w:tr>
      <w:tr w:rsidR="00692148" w:rsidRPr="004A0C12" w14:paraId="4CA04389" w14:textId="77777777" w:rsidTr="005B1A66">
        <w:trPr>
          <w:trHeight w:val="524"/>
        </w:trPr>
        <w:tc>
          <w:tcPr>
            <w:cnfStyle w:val="001000000000" w:firstRow="0" w:lastRow="0" w:firstColumn="1" w:lastColumn="0" w:oddVBand="0" w:evenVBand="0" w:oddHBand="0" w:evenHBand="0" w:firstRowFirstColumn="0" w:firstRowLastColumn="0" w:lastRowFirstColumn="0" w:lastRowLastColumn="0"/>
            <w:tcW w:w="737" w:type="dxa"/>
          </w:tcPr>
          <w:p w14:paraId="7E420D07" w14:textId="04D9D8D3" w:rsidR="00692148" w:rsidRPr="004A0C12" w:rsidRDefault="00692148" w:rsidP="005B1A66">
            <w:pPr>
              <w:pStyle w:val="Tablebody"/>
              <w:rPr>
                <w:rFonts w:ascii="Open Sans SemiBold" w:hAnsi="Open Sans SemiBold" w:cs="Times New Roman"/>
                <w:sz w:val="24"/>
              </w:rPr>
            </w:pPr>
            <w:r>
              <w:rPr>
                <w:rFonts w:cs="Open Sans"/>
                <w:szCs w:val="18"/>
              </w:rPr>
              <w:t xml:space="preserve">  </w:t>
            </w:r>
            <w:r w:rsidRPr="004A0C12">
              <w:rPr>
                <w:rFonts w:cs="Open Sans"/>
                <w:szCs w:val="18"/>
              </w:rPr>
              <w:t>S14</w:t>
            </w:r>
          </w:p>
        </w:tc>
        <w:tc>
          <w:tcPr>
            <w:tcW w:w="4819" w:type="dxa"/>
          </w:tcPr>
          <w:p w14:paraId="46FACFC9" w14:textId="71995130" w:rsidR="00692148" w:rsidRPr="002520E8"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pacing w:val="-6"/>
                <w:sz w:val="24"/>
              </w:rPr>
            </w:pPr>
            <w:r w:rsidRPr="002520E8">
              <w:rPr>
                <w:rFonts w:cs="Open Sans"/>
                <w:spacing w:val="-6"/>
                <w:szCs w:val="18"/>
                <w:lang w:val="en-US"/>
              </w:rPr>
              <w:t>She pushes him away, but he has sex with her anyway. Do</w:t>
            </w:r>
            <w:r>
              <w:rPr>
                <w:rFonts w:cs="Open Sans"/>
                <w:spacing w:val="-6"/>
                <w:szCs w:val="18"/>
                <w:lang w:val="en-US"/>
              </w:rPr>
              <w:t> </w:t>
            </w:r>
            <w:r w:rsidRPr="002520E8">
              <w:rPr>
                <w:rFonts w:cs="Open Sans"/>
                <w:spacing w:val="-6"/>
                <w:szCs w:val="18"/>
                <w:lang w:val="en-US"/>
              </w:rPr>
              <w:t xml:space="preserve">you agree or disagree that the man is justified in his behaviour? </w:t>
            </w:r>
            <w:r w:rsidRPr="002520E8">
              <w:rPr>
                <w:rFonts w:cs="Open Sans"/>
                <w:spacing w:val="-6"/>
                <w:szCs w:val="18"/>
              </w:rPr>
              <w:t>(</w:t>
            </w:r>
            <w:r w:rsidRPr="002520E8">
              <w:rPr>
                <w:rStyle w:val="Emphasis"/>
                <w:spacing w:val="-6"/>
                <w:szCs w:val="18"/>
              </w:rPr>
              <w:t>Acquaintance – He initiates</w:t>
            </w:r>
            <w:r w:rsidRPr="002520E8">
              <w:rPr>
                <w:rFonts w:cs="Open Sans"/>
                <w:spacing w:val="-6"/>
                <w:szCs w:val="18"/>
              </w:rPr>
              <w:t>)</w:t>
            </w:r>
            <w:r w:rsidRPr="002520E8">
              <w:rPr>
                <w:rFonts w:ascii="Montserrat" w:hAnsi="Montserrat" w:cs="Montserrat"/>
                <w:spacing w:val="-6"/>
                <w:szCs w:val="18"/>
              </w:rPr>
              <w:t>~</w:t>
            </w:r>
          </w:p>
        </w:tc>
        <w:tc>
          <w:tcPr>
            <w:tcW w:w="737" w:type="dxa"/>
          </w:tcPr>
          <w:p w14:paraId="1F0230CE"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18–24</w:t>
            </w:r>
          </w:p>
        </w:tc>
        <w:tc>
          <w:tcPr>
            <w:tcW w:w="646" w:type="dxa"/>
          </w:tcPr>
          <w:p w14:paraId="3217200F"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351</w:t>
            </w:r>
          </w:p>
        </w:tc>
        <w:tc>
          <w:tcPr>
            <w:tcW w:w="1129" w:type="dxa"/>
          </w:tcPr>
          <w:p w14:paraId="737CA447" w14:textId="557C4161"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1.67</w:t>
            </w:r>
            <w:r w:rsidRPr="004A0C12">
              <w:rPr>
                <w:rFonts w:cs="Open Sans"/>
                <w:szCs w:val="18"/>
                <w:vertAlign w:val="superscript"/>
              </w:rPr>
              <w:t>c</w:t>
            </w:r>
          </w:p>
        </w:tc>
        <w:tc>
          <w:tcPr>
            <w:tcW w:w="1201" w:type="dxa"/>
          </w:tcPr>
          <w:p w14:paraId="00795F95" w14:textId="4E20235D"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3.34</w:t>
            </w:r>
            <w:r w:rsidRPr="004A0C12">
              <w:rPr>
                <w:rFonts w:cs="Open Sans"/>
                <w:szCs w:val="18"/>
                <w:vertAlign w:val="superscript"/>
              </w:rPr>
              <w:t>c</w:t>
            </w:r>
          </w:p>
        </w:tc>
        <w:tc>
          <w:tcPr>
            <w:tcW w:w="1185" w:type="dxa"/>
          </w:tcPr>
          <w:p w14:paraId="02F7A946" w14:textId="1D9FB69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5.28</w:t>
            </w:r>
            <w:r w:rsidRPr="004A0C12">
              <w:rPr>
                <w:rFonts w:cs="Open Sans"/>
                <w:szCs w:val="18"/>
                <w:vertAlign w:val="superscript"/>
              </w:rPr>
              <w:t>c</w:t>
            </w:r>
          </w:p>
        </w:tc>
        <w:tc>
          <w:tcPr>
            <w:tcW w:w="1111" w:type="dxa"/>
          </w:tcPr>
          <w:p w14:paraId="26AFBA10" w14:textId="40EC62B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88.66</w:t>
            </w:r>
          </w:p>
        </w:tc>
        <w:tc>
          <w:tcPr>
            <w:tcW w:w="1205" w:type="dxa"/>
          </w:tcPr>
          <w:p w14:paraId="108C3C70" w14:textId="4823F8EC"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0.68</w:t>
            </w:r>
            <w:r w:rsidRPr="004A0C12">
              <w:rPr>
                <w:rFonts w:cs="Open Sans"/>
                <w:szCs w:val="18"/>
                <w:vertAlign w:val="superscript"/>
              </w:rPr>
              <w:t>c</w:t>
            </w:r>
          </w:p>
        </w:tc>
        <w:tc>
          <w:tcPr>
            <w:tcW w:w="1048" w:type="dxa"/>
          </w:tcPr>
          <w:p w14:paraId="1E28557C" w14:textId="5390A539"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5.01</w:t>
            </w:r>
            <w:r w:rsidRPr="004A0C12">
              <w:rPr>
                <w:rFonts w:cs="Open Sans"/>
                <w:szCs w:val="18"/>
                <w:vertAlign w:val="superscript"/>
              </w:rPr>
              <w:t>c</w:t>
            </w:r>
          </w:p>
        </w:tc>
        <w:tc>
          <w:tcPr>
            <w:tcW w:w="1144" w:type="dxa"/>
          </w:tcPr>
          <w:p w14:paraId="7DDE1A34" w14:textId="22443489"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93.94</w:t>
            </w:r>
          </w:p>
        </w:tc>
      </w:tr>
      <w:tr w:rsidR="00692148" w:rsidRPr="004A0C12" w14:paraId="20B3CD8F" w14:textId="77777777" w:rsidTr="005B1A66">
        <w:trPr>
          <w:trHeight w:val="822"/>
        </w:trPr>
        <w:tc>
          <w:tcPr>
            <w:cnfStyle w:val="001000000000" w:firstRow="0" w:lastRow="0" w:firstColumn="1" w:lastColumn="0" w:oddVBand="0" w:evenVBand="0" w:oddHBand="0" w:evenHBand="0" w:firstRowFirstColumn="0" w:firstRowLastColumn="0" w:lastRowFirstColumn="0" w:lastRowLastColumn="0"/>
            <w:tcW w:w="737" w:type="dxa"/>
          </w:tcPr>
          <w:p w14:paraId="6551AF2F" w14:textId="77777777" w:rsidR="00692148" w:rsidRPr="004A0C12" w:rsidRDefault="00692148" w:rsidP="005B1A66">
            <w:pPr>
              <w:pStyle w:val="Tablebody"/>
              <w:rPr>
                <w:rFonts w:cs="Open Sans"/>
                <w:szCs w:val="18"/>
                <w:lang w:val="en-GB"/>
              </w:rPr>
            </w:pPr>
            <w:r w:rsidRPr="004A0C12">
              <w:rPr>
                <w:rFonts w:cs="Open Sans"/>
                <w:szCs w:val="18"/>
              </w:rPr>
              <w:t>S15</w:t>
            </w:r>
          </w:p>
        </w:tc>
        <w:tc>
          <w:tcPr>
            <w:tcW w:w="4819" w:type="dxa"/>
          </w:tcPr>
          <w:p w14:paraId="09BA8867" w14:textId="77777777" w:rsidR="00692148" w:rsidRPr="002520E8"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520E8">
              <w:rPr>
                <w:rFonts w:cs="Open Sans"/>
                <w:spacing w:val="-6"/>
                <w:szCs w:val="18"/>
                <w:lang w:val="en-US"/>
              </w:rPr>
              <w:t xml:space="preserve">What if she had taken him into the bedroom and started kissing him before pushing him away? Do you agree or disagree that the man would have been justified in having sex with her anyway? </w:t>
            </w:r>
            <w:r w:rsidRPr="002520E8">
              <w:rPr>
                <w:rFonts w:cs="Open Sans"/>
                <w:spacing w:val="-6"/>
                <w:szCs w:val="18"/>
              </w:rPr>
              <w:t>(</w:t>
            </w:r>
            <w:r w:rsidRPr="002520E8">
              <w:rPr>
                <w:rStyle w:val="Emphasis"/>
                <w:spacing w:val="-6"/>
                <w:szCs w:val="18"/>
              </w:rPr>
              <w:t>Acquaintance – She initiates</w:t>
            </w:r>
            <w:r w:rsidRPr="002520E8">
              <w:rPr>
                <w:rFonts w:cs="Open Sans"/>
                <w:spacing w:val="-6"/>
                <w:szCs w:val="18"/>
              </w:rPr>
              <w:t>)</w:t>
            </w:r>
            <w:r w:rsidRPr="002520E8">
              <w:rPr>
                <w:rFonts w:ascii="Montserrat" w:hAnsi="Montserrat" w:cs="Montserrat"/>
                <w:spacing w:val="-6"/>
                <w:szCs w:val="18"/>
              </w:rPr>
              <w:t>~</w:t>
            </w:r>
          </w:p>
        </w:tc>
        <w:tc>
          <w:tcPr>
            <w:tcW w:w="737" w:type="dxa"/>
          </w:tcPr>
          <w:p w14:paraId="540F813A"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16–17</w:t>
            </w:r>
          </w:p>
        </w:tc>
        <w:tc>
          <w:tcPr>
            <w:tcW w:w="646" w:type="dxa"/>
          </w:tcPr>
          <w:p w14:paraId="71DD758B"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39</w:t>
            </w:r>
          </w:p>
        </w:tc>
        <w:tc>
          <w:tcPr>
            <w:tcW w:w="1129" w:type="dxa"/>
          </w:tcPr>
          <w:p w14:paraId="2C486FEB" w14:textId="1AE51A7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2.88</w:t>
            </w:r>
            <w:r w:rsidRPr="004A0C12">
              <w:rPr>
                <w:rFonts w:cs="Open Sans"/>
                <w:szCs w:val="18"/>
                <w:vertAlign w:val="superscript"/>
              </w:rPr>
              <w:t>c</w:t>
            </w:r>
          </w:p>
        </w:tc>
        <w:tc>
          <w:tcPr>
            <w:tcW w:w="1201" w:type="dxa"/>
          </w:tcPr>
          <w:p w14:paraId="2ADE0014" w14:textId="186DFA18"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5.32</w:t>
            </w:r>
            <w:r w:rsidRPr="004A0C12">
              <w:rPr>
                <w:rFonts w:cs="Open Sans"/>
                <w:szCs w:val="18"/>
                <w:vertAlign w:val="superscript"/>
              </w:rPr>
              <w:t>c</w:t>
            </w:r>
          </w:p>
        </w:tc>
        <w:tc>
          <w:tcPr>
            <w:tcW w:w="1185" w:type="dxa"/>
          </w:tcPr>
          <w:p w14:paraId="57AFF9FB" w14:textId="132C8092"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14.73</w:t>
            </w:r>
            <w:r w:rsidRPr="004A0C12">
              <w:rPr>
                <w:rFonts w:cs="Open Sans"/>
                <w:szCs w:val="18"/>
                <w:vertAlign w:val="superscript"/>
              </w:rPr>
              <w:t>c</w:t>
            </w:r>
          </w:p>
        </w:tc>
        <w:tc>
          <w:tcPr>
            <w:tcW w:w="1111" w:type="dxa"/>
          </w:tcPr>
          <w:p w14:paraId="064E655F" w14:textId="02D0A9D8"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72.26</w:t>
            </w:r>
          </w:p>
        </w:tc>
        <w:tc>
          <w:tcPr>
            <w:tcW w:w="1205" w:type="dxa"/>
          </w:tcPr>
          <w:p w14:paraId="22549E6E" w14:textId="5F71343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4.81</w:t>
            </w:r>
            <w:r w:rsidRPr="004A0C12">
              <w:rPr>
                <w:rFonts w:cs="Open Sans"/>
                <w:szCs w:val="18"/>
                <w:vertAlign w:val="superscript"/>
              </w:rPr>
              <w:t>c</w:t>
            </w:r>
          </w:p>
        </w:tc>
        <w:tc>
          <w:tcPr>
            <w:tcW w:w="1048" w:type="dxa"/>
          </w:tcPr>
          <w:p w14:paraId="1ACD2415" w14:textId="6F1F5864"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8.19</w:t>
            </w:r>
            <w:r w:rsidRPr="004A0C12">
              <w:rPr>
                <w:rFonts w:cs="Open Sans"/>
                <w:szCs w:val="18"/>
                <w:vertAlign w:val="superscript"/>
              </w:rPr>
              <w:t>c</w:t>
            </w:r>
          </w:p>
        </w:tc>
        <w:tc>
          <w:tcPr>
            <w:tcW w:w="1144" w:type="dxa"/>
          </w:tcPr>
          <w:p w14:paraId="286E0B4A" w14:textId="3B0AA9C9"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86.99</w:t>
            </w:r>
          </w:p>
        </w:tc>
      </w:tr>
      <w:tr w:rsidR="00692148" w:rsidRPr="004A0C12" w14:paraId="5576FD67" w14:textId="77777777" w:rsidTr="005B1A66">
        <w:trPr>
          <w:trHeight w:val="989"/>
        </w:trPr>
        <w:tc>
          <w:tcPr>
            <w:cnfStyle w:val="001000000000" w:firstRow="0" w:lastRow="0" w:firstColumn="1" w:lastColumn="0" w:oddVBand="0" w:evenVBand="0" w:oddHBand="0" w:evenHBand="0" w:firstRowFirstColumn="0" w:firstRowLastColumn="0" w:lastRowFirstColumn="0" w:lastRowLastColumn="0"/>
            <w:tcW w:w="737" w:type="dxa"/>
          </w:tcPr>
          <w:p w14:paraId="65B1BBFC" w14:textId="4C4177E2" w:rsidR="00692148" w:rsidRPr="004A0C12" w:rsidRDefault="00692148" w:rsidP="005B1A66">
            <w:pPr>
              <w:pStyle w:val="Tablebody"/>
              <w:rPr>
                <w:rFonts w:ascii="Open Sans SemiBold" w:hAnsi="Open Sans SemiBold" w:cs="Times New Roman"/>
                <w:sz w:val="24"/>
              </w:rPr>
            </w:pPr>
            <w:r>
              <w:rPr>
                <w:rFonts w:cs="Open Sans"/>
                <w:szCs w:val="18"/>
              </w:rPr>
              <w:t xml:space="preserve">  </w:t>
            </w:r>
            <w:r w:rsidRPr="004A0C12">
              <w:rPr>
                <w:rFonts w:cs="Open Sans"/>
                <w:szCs w:val="18"/>
              </w:rPr>
              <w:t>S15</w:t>
            </w:r>
          </w:p>
        </w:tc>
        <w:tc>
          <w:tcPr>
            <w:tcW w:w="4819" w:type="dxa"/>
          </w:tcPr>
          <w:p w14:paraId="6E8595C0" w14:textId="674A9307" w:rsidR="00692148" w:rsidRPr="002520E8"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pacing w:val="-6"/>
                <w:sz w:val="24"/>
              </w:rPr>
            </w:pPr>
            <w:r w:rsidRPr="002520E8">
              <w:rPr>
                <w:rFonts w:cs="Open Sans"/>
                <w:spacing w:val="-6"/>
                <w:szCs w:val="18"/>
                <w:lang w:val="en-US"/>
              </w:rPr>
              <w:t xml:space="preserve">What if she had taken him into the bedroom and started kissing him before pushing him away? Do you agree or disagree that the man would have been justified in having sex with her anyway? </w:t>
            </w:r>
            <w:r w:rsidRPr="002520E8">
              <w:rPr>
                <w:rFonts w:cs="Open Sans"/>
                <w:spacing w:val="-6"/>
                <w:szCs w:val="18"/>
              </w:rPr>
              <w:t>(</w:t>
            </w:r>
            <w:r w:rsidRPr="002520E8">
              <w:rPr>
                <w:rStyle w:val="Emphasis"/>
                <w:spacing w:val="-6"/>
                <w:szCs w:val="18"/>
              </w:rPr>
              <w:t>Acquaintance – She initiates</w:t>
            </w:r>
            <w:r w:rsidRPr="002520E8">
              <w:rPr>
                <w:rFonts w:cs="Open Sans"/>
                <w:spacing w:val="-6"/>
                <w:szCs w:val="18"/>
              </w:rPr>
              <w:t>)</w:t>
            </w:r>
            <w:r w:rsidRPr="002520E8">
              <w:rPr>
                <w:rFonts w:ascii="Montserrat" w:hAnsi="Montserrat" w:cs="Montserrat"/>
                <w:spacing w:val="-6"/>
                <w:szCs w:val="18"/>
              </w:rPr>
              <w:t>~</w:t>
            </w:r>
          </w:p>
        </w:tc>
        <w:tc>
          <w:tcPr>
            <w:tcW w:w="737" w:type="dxa"/>
          </w:tcPr>
          <w:p w14:paraId="15CED379"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18–24</w:t>
            </w:r>
          </w:p>
        </w:tc>
        <w:tc>
          <w:tcPr>
            <w:tcW w:w="646" w:type="dxa"/>
          </w:tcPr>
          <w:p w14:paraId="3A939203" w14:textId="7777777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351</w:t>
            </w:r>
          </w:p>
        </w:tc>
        <w:tc>
          <w:tcPr>
            <w:tcW w:w="1129" w:type="dxa"/>
          </w:tcPr>
          <w:p w14:paraId="47875389" w14:textId="6234A36A"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3.52</w:t>
            </w:r>
            <w:r w:rsidRPr="004A0C12">
              <w:rPr>
                <w:rFonts w:cs="Open Sans"/>
                <w:szCs w:val="18"/>
                <w:vertAlign w:val="superscript"/>
              </w:rPr>
              <w:t>c</w:t>
            </w:r>
          </w:p>
        </w:tc>
        <w:tc>
          <w:tcPr>
            <w:tcW w:w="1201" w:type="dxa"/>
          </w:tcPr>
          <w:p w14:paraId="6C1FD896" w14:textId="53978B1A"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8.72</w:t>
            </w:r>
          </w:p>
        </w:tc>
        <w:tc>
          <w:tcPr>
            <w:tcW w:w="1185" w:type="dxa"/>
          </w:tcPr>
          <w:p w14:paraId="4A578BB8" w14:textId="7D552679"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13.31</w:t>
            </w:r>
          </w:p>
        </w:tc>
        <w:tc>
          <w:tcPr>
            <w:tcW w:w="1111" w:type="dxa"/>
          </w:tcPr>
          <w:p w14:paraId="2E7007CA" w14:textId="5599C487"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72.07</w:t>
            </w:r>
          </w:p>
        </w:tc>
        <w:tc>
          <w:tcPr>
            <w:tcW w:w="1205" w:type="dxa"/>
          </w:tcPr>
          <w:p w14:paraId="442C81DF" w14:textId="27115832"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2.37</w:t>
            </w:r>
            <w:r w:rsidRPr="004A0C12">
              <w:rPr>
                <w:rFonts w:cs="Open Sans"/>
                <w:szCs w:val="18"/>
                <w:vertAlign w:val="superscript"/>
              </w:rPr>
              <w:t>c</w:t>
            </w:r>
          </w:p>
        </w:tc>
        <w:tc>
          <w:tcPr>
            <w:tcW w:w="1048" w:type="dxa"/>
          </w:tcPr>
          <w:p w14:paraId="799EA13C" w14:textId="6332CD61"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12.24</w:t>
            </w:r>
          </w:p>
        </w:tc>
        <w:tc>
          <w:tcPr>
            <w:tcW w:w="1144" w:type="dxa"/>
          </w:tcPr>
          <w:p w14:paraId="6FCE393E" w14:textId="59EE6622" w:rsidR="00692148" w:rsidRPr="004A0C12" w:rsidRDefault="00692148" w:rsidP="005B1A66">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0C12">
              <w:rPr>
                <w:rFonts w:cs="Open Sans"/>
                <w:szCs w:val="18"/>
              </w:rPr>
              <w:t>85.39</w:t>
            </w:r>
          </w:p>
        </w:tc>
      </w:tr>
    </w:tbl>
    <w:p w14:paraId="5E4ED54D" w14:textId="77777777" w:rsidR="004A0C12" w:rsidRPr="00567D6D" w:rsidRDefault="004A0C12" w:rsidP="009B0154">
      <w:pPr>
        <w:pStyle w:val="datatablenote"/>
      </w:pPr>
      <w:r w:rsidRPr="00ED4588">
        <w:rPr>
          <w:b/>
        </w:rPr>
        <w:t>Note</w:t>
      </w:r>
      <w:r w:rsidRPr="00567D6D">
        <w:t>: Numbers in bold reflect the significantly higher value in the comparison.</w:t>
      </w:r>
    </w:p>
    <w:p w14:paraId="1159D3F3" w14:textId="77777777" w:rsidR="004A0C12" w:rsidRPr="00567D6D" w:rsidRDefault="004A0C12" w:rsidP="009B0154">
      <w:pPr>
        <w:pStyle w:val="datatablenote"/>
      </w:pPr>
      <w:r w:rsidRPr="00567D6D">
        <w:t>Percentages may not add to 100 as the “unanswered” category is not shown in the table.</w:t>
      </w:r>
    </w:p>
    <w:p w14:paraId="3E24D71C" w14:textId="77777777" w:rsidR="004A0C12" w:rsidRPr="00567D6D" w:rsidRDefault="004A0C12" w:rsidP="009B0154">
      <w:pPr>
        <w:pStyle w:val="datatablenote"/>
      </w:pPr>
      <w:r w:rsidRPr="00567D6D">
        <w:t>a “Net agree” refers to answering “agree” either “strongly” or “somewhat”.</w:t>
      </w:r>
    </w:p>
    <w:p w14:paraId="265D321A" w14:textId="77777777" w:rsidR="004A0C12" w:rsidRPr="00567D6D" w:rsidRDefault="004A0C12" w:rsidP="009B0154">
      <w:pPr>
        <w:pStyle w:val="datatablenote"/>
      </w:pPr>
      <w:r w:rsidRPr="00567D6D">
        <w:t>b “Net disagree” refers to answering “disagree” either “strongly” or “somewhat”.</w:t>
      </w:r>
    </w:p>
    <w:p w14:paraId="6057DC9F" w14:textId="77777777" w:rsidR="004A0C12" w:rsidRPr="00567D6D" w:rsidRDefault="004A0C12" w:rsidP="009B0154">
      <w:pPr>
        <w:pStyle w:val="datatablenote"/>
      </w:pPr>
      <w:r w:rsidRPr="00567D6D">
        <w:lastRenderedPageBreak/>
        <w:t>c This result should be interpreted with caution because it has a relative standard error &gt;25%.</w:t>
      </w:r>
    </w:p>
    <w:p w14:paraId="25B79D0D" w14:textId="77777777" w:rsidR="004A0C12" w:rsidRPr="00567D6D" w:rsidRDefault="004A0C12" w:rsidP="009B0154">
      <w:pPr>
        <w:pStyle w:val="datatablenote"/>
      </w:pPr>
      <w:r w:rsidRPr="00567D6D">
        <w:t xml:space="preserve">* Statistically significant difference between 16- to 17-year-olds and 18- to 24-year-olds. </w:t>
      </w:r>
    </w:p>
    <w:p w14:paraId="1010B4AC" w14:textId="77777777" w:rsidR="004A0C12" w:rsidRPr="00567D6D" w:rsidRDefault="004A0C12" w:rsidP="009B0154">
      <w:pPr>
        <w:pStyle w:val="datatablenote"/>
      </w:pPr>
      <w:r w:rsidRPr="00567D6D">
        <w:t>^ Asked of half the sample.</w:t>
      </w:r>
    </w:p>
    <w:p w14:paraId="6BEFDFC2" w14:textId="77777777" w:rsidR="004A0C12" w:rsidRPr="00567D6D" w:rsidRDefault="004A0C12" w:rsidP="009B0154">
      <w:pPr>
        <w:pStyle w:val="datatablenote"/>
      </w:pPr>
      <w:r w:rsidRPr="00567D6D">
        <w:rPr>
          <w:rFonts w:cs="Montserrat"/>
        </w:rPr>
        <w:t>~</w:t>
      </w:r>
      <w:r w:rsidRPr="00567D6D">
        <w:t xml:space="preserve"> Asked of one quarter of the sample.</w:t>
      </w:r>
    </w:p>
    <w:bookmarkStart w:id="262" w:name="_Toc190941718"/>
    <w:bookmarkStart w:id="263" w:name="_Toc190942418"/>
    <w:p w14:paraId="5C8D5074" w14:textId="7DEEEE57" w:rsidR="00556F27" w:rsidRPr="00692148" w:rsidRDefault="00692148" w:rsidP="008C29F3">
      <w:pPr>
        <w:pStyle w:val="H2SectionTitle"/>
      </w:pPr>
      <w:r>
        <w:rPr>
          <w:noProof/>
        </w:rPr>
        <w:lastRenderedPageBreak/>
        <mc:AlternateContent>
          <mc:Choice Requires="wps">
            <w:drawing>
              <wp:anchor distT="0" distB="0" distL="114300" distR="114300" simplePos="0" relativeHeight="251658268" behindDoc="0" locked="0" layoutInCell="1" allowOverlap="1" wp14:anchorId="5F9561E5" wp14:editId="4D35FAEC">
                <wp:simplePos x="0" y="0"/>
                <wp:positionH relativeFrom="column">
                  <wp:posOffset>4730</wp:posOffset>
                </wp:positionH>
                <wp:positionV relativeFrom="paragraph">
                  <wp:posOffset>9634</wp:posOffset>
                </wp:positionV>
                <wp:extent cx="382138" cy="382138"/>
                <wp:effectExtent l="0" t="0" r="0" b="0"/>
                <wp:wrapSquare wrapText="bothSides"/>
                <wp:docPr id="124040300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C4167" id="Rectangle 2" o:spid="_x0000_s1026" alt="&quot;&quot;" style="position:absolute;margin-left:.35pt;margin-top:.75pt;width:30.1pt;height:30.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" fillcolor="#ffcd00" stroked="f" strokeweight="1pt">
                <w10:wrap type="square"/>
              </v:rect>
            </w:pict>
          </mc:Fallback>
        </mc:AlternateContent>
      </w:r>
      <w:r w:rsidR="000702B8" w:rsidRPr="008C29F3">
        <w:t xml:space="preserve">14 </w:t>
      </w:r>
      <w:r w:rsidR="00556F27" w:rsidRPr="00692148">
        <w:t>Appendix B: Item-level differences by age (between young respondents and those aged 25 years or older)</w:t>
      </w:r>
      <w:bookmarkEnd w:id="262"/>
      <w:bookmarkEnd w:id="263"/>
    </w:p>
    <w:p w14:paraId="2CB06101" w14:textId="68A584C4" w:rsidR="00882F81" w:rsidRDefault="004E25BA" w:rsidP="00F5214A">
      <w:pPr>
        <w:pStyle w:val="TableheadingTablesandfigures"/>
      </w:pPr>
      <w:bookmarkStart w:id="264" w:name="_Toc187402249"/>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1</w:t>
      </w:r>
      <w:r w:rsidR="004A7ED7">
        <w:rPr>
          <w:noProof/>
        </w:rPr>
        <w:fldChar w:fldCharType="end"/>
      </w:r>
      <w:r w:rsidR="00882F81" w:rsidRPr="00882F81">
        <w:t xml:space="preserve">: </w:t>
      </w:r>
      <w:r w:rsidR="007134A4">
        <w:tab/>
      </w:r>
      <w:r w:rsidR="00882F81" w:rsidRPr="00882F81">
        <w:t>Recognising domestic violence and violence against women by age, all ages (UVAWS subscale items), 2021</w:t>
      </w:r>
      <w:bookmarkEnd w:id="264"/>
    </w:p>
    <w:p w14:paraId="1F8039A5" w14:textId="77777777" w:rsidR="001D5BB5" w:rsidRDefault="00A2531F" w:rsidP="005649C9">
      <w:pPr>
        <w:pStyle w:val="Tablesubheading0"/>
      </w:pPr>
      <w:r>
        <w:t xml:space="preserve">Subscale: </w:t>
      </w:r>
      <w:r w:rsidRPr="00882F81">
        <w:t xml:space="preserve">Recognise Domestic Violence </w:t>
      </w:r>
    </w:p>
    <w:p w14:paraId="5F3CB883" w14:textId="6847A48A" w:rsidR="00A2531F" w:rsidRPr="00A2531F" w:rsidRDefault="00E358DE" w:rsidP="001D5BB5">
      <w:pPr>
        <w:pStyle w:val="TablesubheadingSubscale"/>
      </w:pPr>
      <w:r w:rsidRPr="00882F81">
        <w:t>Is this a form of domestic violence?</w:t>
      </w:r>
    </w:p>
    <w:tbl>
      <w:tblPr>
        <w:tblStyle w:val="Table-SingleHeaderRow"/>
        <w:tblW w:w="14960" w:type="dxa"/>
        <w:tblLayout w:type="fixed"/>
        <w:tblLook w:val="00A0" w:firstRow="1" w:lastRow="0" w:firstColumn="1" w:lastColumn="0" w:noHBand="0" w:noVBand="0"/>
      </w:tblPr>
      <w:tblGrid>
        <w:gridCol w:w="754"/>
        <w:gridCol w:w="6009"/>
        <w:gridCol w:w="794"/>
        <w:gridCol w:w="794"/>
        <w:gridCol w:w="1025"/>
        <w:gridCol w:w="1071"/>
        <w:gridCol w:w="1346"/>
        <w:gridCol w:w="932"/>
        <w:gridCol w:w="1073"/>
        <w:gridCol w:w="1162"/>
      </w:tblGrid>
      <w:tr w:rsidR="00987562" w:rsidRPr="00882F81" w14:paraId="23ED17AD" w14:textId="77777777" w:rsidTr="005649C9">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754" w:type="dxa"/>
          </w:tcPr>
          <w:p w14:paraId="070F8649" w14:textId="77777777" w:rsidR="00987562" w:rsidRPr="00882F81" w:rsidRDefault="00987562" w:rsidP="005649C9">
            <w:pPr>
              <w:pStyle w:val="Tablebody"/>
              <w:rPr>
                <w:b w:val="0"/>
                <w:lang w:val="en-GB"/>
              </w:rPr>
            </w:pPr>
            <w:r w:rsidRPr="00882F81">
              <w:t>Code</w:t>
            </w:r>
          </w:p>
        </w:tc>
        <w:tc>
          <w:tcPr>
            <w:tcW w:w="6009" w:type="dxa"/>
          </w:tcPr>
          <w:p w14:paraId="799F585C"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Abbreviated item wording</w:t>
            </w:r>
          </w:p>
        </w:tc>
        <w:tc>
          <w:tcPr>
            <w:tcW w:w="794" w:type="dxa"/>
          </w:tcPr>
          <w:p w14:paraId="710DCA50"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Age</w:t>
            </w:r>
          </w:p>
        </w:tc>
        <w:tc>
          <w:tcPr>
            <w:tcW w:w="794" w:type="dxa"/>
          </w:tcPr>
          <w:p w14:paraId="391759DF"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882F81">
              <w:rPr>
                <w:rStyle w:val="Emphasis"/>
                <w:lang w:val="en-GB"/>
              </w:rPr>
              <w:t>N</w:t>
            </w:r>
          </w:p>
        </w:tc>
        <w:tc>
          <w:tcPr>
            <w:tcW w:w="1025" w:type="dxa"/>
          </w:tcPr>
          <w:p w14:paraId="4FDF8EC3"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always</w:t>
            </w:r>
          </w:p>
        </w:tc>
        <w:tc>
          <w:tcPr>
            <w:tcW w:w="1071" w:type="dxa"/>
          </w:tcPr>
          <w:p w14:paraId="4E74A502"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usually</w:t>
            </w:r>
          </w:p>
        </w:tc>
        <w:tc>
          <w:tcPr>
            <w:tcW w:w="1346" w:type="dxa"/>
          </w:tcPr>
          <w:p w14:paraId="6BEB1338"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sometimes</w:t>
            </w:r>
          </w:p>
        </w:tc>
        <w:tc>
          <w:tcPr>
            <w:tcW w:w="932" w:type="dxa"/>
          </w:tcPr>
          <w:p w14:paraId="344D2ED9"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No</w:t>
            </w:r>
          </w:p>
        </w:tc>
        <w:tc>
          <w:tcPr>
            <w:tcW w:w="1073" w:type="dxa"/>
          </w:tcPr>
          <w:p w14:paraId="100B1D11"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Unsure</w:t>
            </w:r>
          </w:p>
        </w:tc>
        <w:tc>
          <w:tcPr>
            <w:tcW w:w="1162" w:type="dxa"/>
          </w:tcPr>
          <w:p w14:paraId="1566CDAD" w14:textId="77777777" w:rsidR="00987562" w:rsidRPr="00882F81" w:rsidRDefault="00987562"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Strong yes</w:t>
            </w:r>
            <w:r w:rsidRPr="00882F81">
              <w:rPr>
                <w:vertAlign w:val="superscript"/>
              </w:rPr>
              <w:t>a</w:t>
            </w:r>
          </w:p>
        </w:tc>
      </w:tr>
      <w:tr w:rsidR="00504F73" w:rsidRPr="00882F81" w14:paraId="43B150B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785B01E7" w14:textId="77777777" w:rsidR="00504F73" w:rsidRPr="00882F81" w:rsidRDefault="00504F73" w:rsidP="005649C9">
            <w:pPr>
              <w:pStyle w:val="Tablebody"/>
              <w:rPr>
                <w:rFonts w:cs="Open Sans"/>
                <w:szCs w:val="18"/>
                <w:lang w:val="en-GB"/>
              </w:rPr>
            </w:pPr>
            <w:r w:rsidRPr="00882F81">
              <w:rPr>
                <w:rFonts w:cs="Open Sans"/>
                <w:szCs w:val="18"/>
              </w:rPr>
              <w:t>D1</w:t>
            </w:r>
          </w:p>
        </w:tc>
        <w:tc>
          <w:tcPr>
            <w:tcW w:w="6009" w:type="dxa"/>
          </w:tcPr>
          <w:p w14:paraId="5664FA12" w14:textId="5E65BB1B"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Slaps or pushes partner to cause harm</w:t>
            </w:r>
            <w:r>
              <w:rPr>
                <w:rFonts w:cs="Open Sans"/>
                <w:szCs w:val="18"/>
                <w:lang w:val="en-US"/>
              </w:rPr>
              <w:t xml:space="preserve"> </w:t>
            </w:r>
            <w:r w:rsidRPr="00882F81">
              <w:rPr>
                <w:rFonts w:cs="Open Sans"/>
                <w:szCs w:val="18"/>
                <w:lang w:val="en-US"/>
              </w:rPr>
              <w:t>or fear</w:t>
            </w:r>
          </w:p>
        </w:tc>
        <w:tc>
          <w:tcPr>
            <w:tcW w:w="794" w:type="dxa"/>
          </w:tcPr>
          <w:p w14:paraId="7ADA67D1" w14:textId="77777777"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27CDB09E" w14:textId="77777777"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4BAF550B" w14:textId="5E301E77"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78.06</w:t>
            </w:r>
          </w:p>
        </w:tc>
        <w:tc>
          <w:tcPr>
            <w:tcW w:w="1071" w:type="dxa"/>
          </w:tcPr>
          <w:p w14:paraId="60177F04" w14:textId="0F727FA2"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13.30</w:t>
            </w:r>
          </w:p>
        </w:tc>
        <w:tc>
          <w:tcPr>
            <w:tcW w:w="1346" w:type="dxa"/>
          </w:tcPr>
          <w:p w14:paraId="7C30F6AC" w14:textId="52365B23"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6.77</w:t>
            </w:r>
          </w:p>
        </w:tc>
        <w:tc>
          <w:tcPr>
            <w:tcW w:w="932" w:type="dxa"/>
          </w:tcPr>
          <w:p w14:paraId="68E1B18D" w14:textId="3F6715DA"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1.44</w:t>
            </w:r>
          </w:p>
        </w:tc>
        <w:tc>
          <w:tcPr>
            <w:tcW w:w="1073" w:type="dxa"/>
          </w:tcPr>
          <w:p w14:paraId="0F4A1D46" w14:textId="50932531"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0.29</w:t>
            </w:r>
            <w:r w:rsidRPr="00882F81">
              <w:rPr>
                <w:rFonts w:cs="Open Sans"/>
                <w:szCs w:val="18"/>
                <w:vertAlign w:val="superscript"/>
              </w:rPr>
              <w:t>b</w:t>
            </w:r>
          </w:p>
        </w:tc>
        <w:tc>
          <w:tcPr>
            <w:tcW w:w="1162" w:type="dxa"/>
          </w:tcPr>
          <w:p w14:paraId="3F448BBB" w14:textId="3D55A6BF" w:rsidR="00504F73" w:rsidRPr="00882F81" w:rsidRDefault="00504F73"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91.36</w:t>
            </w:r>
          </w:p>
        </w:tc>
      </w:tr>
      <w:tr w:rsidR="00B6396A" w:rsidRPr="00882F81" w14:paraId="525257E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1B83B7DD" w14:textId="01D3D70F" w:rsidR="00B6396A" w:rsidRPr="00882F81" w:rsidRDefault="00B6396A" w:rsidP="005649C9">
            <w:pPr>
              <w:pStyle w:val="Tablebody"/>
              <w:rPr>
                <w:rFonts w:cs="Open Sans"/>
                <w:szCs w:val="18"/>
              </w:rPr>
            </w:pPr>
            <w:r w:rsidRPr="00882F81">
              <w:rPr>
                <w:rFonts w:cs="Open Sans"/>
                <w:szCs w:val="18"/>
              </w:rPr>
              <w:t>D1</w:t>
            </w:r>
          </w:p>
        </w:tc>
        <w:tc>
          <w:tcPr>
            <w:tcW w:w="6009" w:type="dxa"/>
          </w:tcPr>
          <w:p w14:paraId="27314917" w14:textId="6CF31D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Slaps or pushes partner to cause harm</w:t>
            </w:r>
            <w:r>
              <w:rPr>
                <w:rFonts w:cs="Open Sans"/>
                <w:szCs w:val="18"/>
                <w:lang w:val="en-US"/>
              </w:rPr>
              <w:t xml:space="preserve"> </w:t>
            </w:r>
            <w:r w:rsidRPr="00882F81">
              <w:rPr>
                <w:rFonts w:cs="Open Sans"/>
                <w:szCs w:val="18"/>
                <w:lang w:val="en-US"/>
              </w:rPr>
              <w:t>or fear</w:t>
            </w:r>
          </w:p>
        </w:tc>
        <w:tc>
          <w:tcPr>
            <w:tcW w:w="794" w:type="dxa"/>
          </w:tcPr>
          <w:p w14:paraId="28CDCCDA" w14:textId="45BE4D2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7A388455" w14:textId="30A197D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6539B979" w14:textId="424C1848"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82.43</w:t>
            </w:r>
          </w:p>
        </w:tc>
        <w:tc>
          <w:tcPr>
            <w:tcW w:w="1071" w:type="dxa"/>
          </w:tcPr>
          <w:p w14:paraId="728D35E3" w14:textId="7C4C6CE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9.50</w:t>
            </w:r>
          </w:p>
        </w:tc>
        <w:tc>
          <w:tcPr>
            <w:tcW w:w="1346" w:type="dxa"/>
          </w:tcPr>
          <w:p w14:paraId="2E594AFD" w14:textId="1AFBBA1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6.08</w:t>
            </w:r>
          </w:p>
        </w:tc>
        <w:tc>
          <w:tcPr>
            <w:tcW w:w="932" w:type="dxa"/>
          </w:tcPr>
          <w:p w14:paraId="329E99C3" w14:textId="461E866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1.59</w:t>
            </w:r>
          </w:p>
        </w:tc>
        <w:tc>
          <w:tcPr>
            <w:tcW w:w="1073" w:type="dxa"/>
          </w:tcPr>
          <w:p w14:paraId="097D9D1E" w14:textId="1C160D6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0.37</w:t>
            </w:r>
          </w:p>
        </w:tc>
        <w:tc>
          <w:tcPr>
            <w:tcW w:w="1162" w:type="dxa"/>
          </w:tcPr>
          <w:p w14:paraId="3301421E" w14:textId="150D244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91.94</w:t>
            </w:r>
          </w:p>
        </w:tc>
      </w:tr>
      <w:tr w:rsidR="00B6396A" w:rsidRPr="00882F81" w14:paraId="494988E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4F3FD0B7" w14:textId="77777777" w:rsidR="00B6396A" w:rsidRPr="00882F81" w:rsidRDefault="00B6396A" w:rsidP="005649C9">
            <w:pPr>
              <w:pStyle w:val="Tablebody"/>
              <w:rPr>
                <w:rFonts w:cs="Open Sans"/>
                <w:szCs w:val="18"/>
                <w:lang w:val="en-GB"/>
              </w:rPr>
            </w:pPr>
            <w:r w:rsidRPr="00882F81">
              <w:rPr>
                <w:rFonts w:cs="Open Sans"/>
                <w:szCs w:val="18"/>
              </w:rPr>
              <w:t>D2</w:t>
            </w:r>
          </w:p>
        </w:tc>
        <w:tc>
          <w:tcPr>
            <w:tcW w:w="6009" w:type="dxa"/>
          </w:tcPr>
          <w:p w14:paraId="5E36CDC7"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Scares or controls partner by threatening family members</w:t>
            </w:r>
            <w:r w:rsidRPr="00882F81">
              <w:rPr>
                <w:rFonts w:ascii="Montserrat" w:hAnsi="Montserrat" w:cs="Montserrat"/>
                <w:szCs w:val="18"/>
                <w:lang w:val="en-US"/>
              </w:rPr>
              <w:t>~</w:t>
            </w:r>
          </w:p>
        </w:tc>
        <w:tc>
          <w:tcPr>
            <w:tcW w:w="794" w:type="dxa"/>
          </w:tcPr>
          <w:p w14:paraId="77812833"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30F035B9"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397</w:t>
            </w:r>
          </w:p>
        </w:tc>
        <w:tc>
          <w:tcPr>
            <w:tcW w:w="1025" w:type="dxa"/>
          </w:tcPr>
          <w:p w14:paraId="4AF73D73" w14:textId="793581B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93.29</w:t>
            </w:r>
          </w:p>
        </w:tc>
        <w:tc>
          <w:tcPr>
            <w:tcW w:w="1071" w:type="dxa"/>
          </w:tcPr>
          <w:p w14:paraId="51F954D9" w14:textId="29A77A6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3.72</w:t>
            </w:r>
            <w:r w:rsidRPr="00882F81">
              <w:rPr>
                <w:rFonts w:cs="Open Sans"/>
                <w:szCs w:val="18"/>
                <w:vertAlign w:val="superscript"/>
              </w:rPr>
              <w:t>b</w:t>
            </w:r>
          </w:p>
        </w:tc>
        <w:tc>
          <w:tcPr>
            <w:tcW w:w="1346" w:type="dxa"/>
          </w:tcPr>
          <w:p w14:paraId="52E6ABF3" w14:textId="190EA4E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1.55</w:t>
            </w:r>
            <w:r w:rsidRPr="00882F81">
              <w:rPr>
                <w:rFonts w:cs="Open Sans"/>
                <w:szCs w:val="18"/>
                <w:vertAlign w:val="superscript"/>
              </w:rPr>
              <w:t>b</w:t>
            </w:r>
          </w:p>
        </w:tc>
        <w:tc>
          <w:tcPr>
            <w:tcW w:w="932" w:type="dxa"/>
          </w:tcPr>
          <w:p w14:paraId="437312B1" w14:textId="61D8ADD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1.03</w:t>
            </w:r>
            <w:r w:rsidRPr="00882F81">
              <w:rPr>
                <w:rFonts w:cs="Open Sans"/>
                <w:szCs w:val="18"/>
                <w:vertAlign w:val="superscript"/>
              </w:rPr>
              <w:t>b</w:t>
            </w:r>
          </w:p>
        </w:tc>
        <w:tc>
          <w:tcPr>
            <w:tcW w:w="1073" w:type="dxa"/>
          </w:tcPr>
          <w:p w14:paraId="2990A9C0" w14:textId="3806B93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0.41</w:t>
            </w:r>
            <w:r w:rsidRPr="00882F81">
              <w:rPr>
                <w:rFonts w:cs="Open Sans"/>
                <w:szCs w:val="18"/>
                <w:vertAlign w:val="superscript"/>
              </w:rPr>
              <w:t>b</w:t>
            </w:r>
          </w:p>
        </w:tc>
        <w:tc>
          <w:tcPr>
            <w:tcW w:w="1162" w:type="dxa"/>
          </w:tcPr>
          <w:p w14:paraId="2A7E45D3" w14:textId="464CE08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97.01</w:t>
            </w:r>
          </w:p>
        </w:tc>
      </w:tr>
      <w:tr w:rsidR="00B6396A" w:rsidRPr="00882F81" w14:paraId="4C66C1C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3BBAFA01" w14:textId="6659A61B" w:rsidR="00B6396A" w:rsidRPr="00882F81" w:rsidRDefault="00B6396A" w:rsidP="005649C9">
            <w:pPr>
              <w:pStyle w:val="Tablebody"/>
              <w:rPr>
                <w:rFonts w:cs="Open Sans"/>
                <w:szCs w:val="18"/>
              </w:rPr>
            </w:pPr>
            <w:r w:rsidRPr="00882F81">
              <w:rPr>
                <w:rFonts w:cs="Open Sans"/>
                <w:szCs w:val="18"/>
              </w:rPr>
              <w:t>D2</w:t>
            </w:r>
          </w:p>
        </w:tc>
        <w:tc>
          <w:tcPr>
            <w:tcW w:w="6009" w:type="dxa"/>
          </w:tcPr>
          <w:p w14:paraId="0F15CB89" w14:textId="6EEBABA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Scares or controls partner by threatening family members</w:t>
            </w:r>
            <w:r w:rsidRPr="00882F81">
              <w:rPr>
                <w:rFonts w:ascii="Montserrat" w:hAnsi="Montserrat" w:cs="Montserrat"/>
                <w:szCs w:val="18"/>
                <w:lang w:val="en-US"/>
              </w:rPr>
              <w:t>~</w:t>
            </w:r>
          </w:p>
        </w:tc>
        <w:tc>
          <w:tcPr>
            <w:tcW w:w="794" w:type="dxa"/>
          </w:tcPr>
          <w:p w14:paraId="522E1212" w14:textId="622510E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4C782B6F" w14:textId="4305D1F8"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4,380</w:t>
            </w:r>
          </w:p>
        </w:tc>
        <w:tc>
          <w:tcPr>
            <w:tcW w:w="1025" w:type="dxa"/>
          </w:tcPr>
          <w:p w14:paraId="39271492" w14:textId="5154FA7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91.66</w:t>
            </w:r>
          </w:p>
        </w:tc>
        <w:tc>
          <w:tcPr>
            <w:tcW w:w="1071" w:type="dxa"/>
          </w:tcPr>
          <w:p w14:paraId="2B4CF750" w14:textId="4418E21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4.67</w:t>
            </w:r>
          </w:p>
        </w:tc>
        <w:tc>
          <w:tcPr>
            <w:tcW w:w="1346" w:type="dxa"/>
          </w:tcPr>
          <w:p w14:paraId="42B87C79" w14:textId="09A5B3A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2.53</w:t>
            </w:r>
          </w:p>
        </w:tc>
        <w:tc>
          <w:tcPr>
            <w:tcW w:w="932" w:type="dxa"/>
          </w:tcPr>
          <w:p w14:paraId="3A8C0194" w14:textId="34E9720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0.93</w:t>
            </w:r>
          </w:p>
        </w:tc>
        <w:tc>
          <w:tcPr>
            <w:tcW w:w="1073" w:type="dxa"/>
          </w:tcPr>
          <w:p w14:paraId="28255984" w14:textId="7AC802A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0.21</w:t>
            </w:r>
          </w:p>
        </w:tc>
        <w:tc>
          <w:tcPr>
            <w:tcW w:w="1162" w:type="dxa"/>
          </w:tcPr>
          <w:p w14:paraId="3BE7F31F" w14:textId="661BB76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96.33</w:t>
            </w:r>
          </w:p>
        </w:tc>
      </w:tr>
      <w:tr w:rsidR="00B6396A" w:rsidRPr="00882F81" w14:paraId="07C7AD0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6CAF70C2" w14:textId="1E3F71D6" w:rsidR="00B6396A" w:rsidRPr="00882F81" w:rsidRDefault="00B6396A" w:rsidP="005649C9">
            <w:pPr>
              <w:pStyle w:val="Tablebody"/>
              <w:rPr>
                <w:rFonts w:cs="Open Sans"/>
                <w:szCs w:val="18"/>
                <w:lang w:val="en-GB"/>
              </w:rPr>
            </w:pPr>
            <w:r w:rsidRPr="00882F81">
              <w:rPr>
                <w:rFonts w:cs="Open Sans"/>
                <w:szCs w:val="18"/>
              </w:rPr>
              <w:t>D3</w:t>
            </w:r>
          </w:p>
        </w:tc>
        <w:tc>
          <w:tcPr>
            <w:tcW w:w="6009" w:type="dxa"/>
          </w:tcPr>
          <w:p w14:paraId="2185B305"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Repeatedly criticises to make partner feel bad or useless</w:t>
            </w:r>
          </w:p>
        </w:tc>
        <w:tc>
          <w:tcPr>
            <w:tcW w:w="794" w:type="dxa"/>
          </w:tcPr>
          <w:p w14:paraId="21319A10"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06F02A16"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69E50D09" w14:textId="707AE79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58.46</w:t>
            </w:r>
          </w:p>
        </w:tc>
        <w:tc>
          <w:tcPr>
            <w:tcW w:w="1071" w:type="dxa"/>
          </w:tcPr>
          <w:p w14:paraId="015210C6" w14:textId="12A4D0F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20.88</w:t>
            </w:r>
          </w:p>
        </w:tc>
        <w:tc>
          <w:tcPr>
            <w:tcW w:w="1346" w:type="dxa"/>
          </w:tcPr>
          <w:p w14:paraId="5232C1F4" w14:textId="29DAC1F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14.52</w:t>
            </w:r>
          </w:p>
        </w:tc>
        <w:tc>
          <w:tcPr>
            <w:tcW w:w="932" w:type="dxa"/>
          </w:tcPr>
          <w:p w14:paraId="561F0915" w14:textId="0933B88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5.84</w:t>
            </w:r>
          </w:p>
        </w:tc>
        <w:tc>
          <w:tcPr>
            <w:tcW w:w="1073" w:type="dxa"/>
          </w:tcPr>
          <w:p w14:paraId="11CB0D20" w14:textId="74FB785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0.30</w:t>
            </w:r>
            <w:r w:rsidRPr="00882F81">
              <w:rPr>
                <w:rFonts w:cs="Open Sans"/>
                <w:szCs w:val="18"/>
                <w:vertAlign w:val="superscript"/>
              </w:rPr>
              <w:t>b</w:t>
            </w:r>
          </w:p>
        </w:tc>
        <w:tc>
          <w:tcPr>
            <w:tcW w:w="1162" w:type="dxa"/>
          </w:tcPr>
          <w:p w14:paraId="1E5A42F7" w14:textId="67305F0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79.34</w:t>
            </w:r>
          </w:p>
        </w:tc>
      </w:tr>
      <w:tr w:rsidR="00B6396A" w:rsidRPr="00882F81" w14:paraId="2522FD8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145BDC8A" w14:textId="5A771F1C" w:rsidR="00B6396A" w:rsidRPr="00882F81" w:rsidRDefault="00B6396A" w:rsidP="005649C9">
            <w:pPr>
              <w:pStyle w:val="Tablebody"/>
              <w:rPr>
                <w:rFonts w:cs="Open Sans"/>
                <w:szCs w:val="18"/>
              </w:rPr>
            </w:pPr>
            <w:r w:rsidRPr="00882F81">
              <w:rPr>
                <w:rFonts w:cs="Open Sans"/>
                <w:szCs w:val="18"/>
              </w:rPr>
              <w:t>D3</w:t>
            </w:r>
          </w:p>
        </w:tc>
        <w:tc>
          <w:tcPr>
            <w:tcW w:w="6009" w:type="dxa"/>
          </w:tcPr>
          <w:p w14:paraId="2328455E" w14:textId="396752D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Repeatedly criticises to make partner feel bad or useless</w:t>
            </w:r>
          </w:p>
        </w:tc>
        <w:tc>
          <w:tcPr>
            <w:tcW w:w="794" w:type="dxa"/>
          </w:tcPr>
          <w:p w14:paraId="5AF9F991" w14:textId="4BE2342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42E82863" w14:textId="3FF6EC5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5F622957" w14:textId="7ED6C13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67.73</w:t>
            </w:r>
          </w:p>
        </w:tc>
        <w:tc>
          <w:tcPr>
            <w:tcW w:w="1071" w:type="dxa"/>
          </w:tcPr>
          <w:p w14:paraId="53D8E477" w14:textId="0FBE55F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16.02</w:t>
            </w:r>
          </w:p>
        </w:tc>
        <w:tc>
          <w:tcPr>
            <w:tcW w:w="1346" w:type="dxa"/>
          </w:tcPr>
          <w:p w14:paraId="42C19EB8" w14:textId="13F56EA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10.41</w:t>
            </w:r>
          </w:p>
        </w:tc>
        <w:tc>
          <w:tcPr>
            <w:tcW w:w="932" w:type="dxa"/>
          </w:tcPr>
          <w:p w14:paraId="18F2CB7E" w14:textId="49A2C8C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4.96</w:t>
            </w:r>
          </w:p>
        </w:tc>
        <w:tc>
          <w:tcPr>
            <w:tcW w:w="1073" w:type="dxa"/>
          </w:tcPr>
          <w:p w14:paraId="357561AA" w14:textId="04FE029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0.82</w:t>
            </w:r>
          </w:p>
        </w:tc>
        <w:tc>
          <w:tcPr>
            <w:tcW w:w="1162" w:type="dxa"/>
          </w:tcPr>
          <w:p w14:paraId="733075C5" w14:textId="1FB540F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83.75</w:t>
            </w:r>
          </w:p>
        </w:tc>
      </w:tr>
      <w:tr w:rsidR="00B6396A" w:rsidRPr="00882F81" w14:paraId="0AA7AD9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27D9F5A1" w14:textId="77777777" w:rsidR="00B6396A" w:rsidRPr="00882F81" w:rsidRDefault="00B6396A" w:rsidP="005649C9">
            <w:pPr>
              <w:pStyle w:val="Tablebody"/>
              <w:rPr>
                <w:rFonts w:cs="Open Sans"/>
                <w:szCs w:val="18"/>
                <w:lang w:val="en-GB"/>
              </w:rPr>
            </w:pPr>
            <w:r w:rsidRPr="00882F81">
              <w:rPr>
                <w:rFonts w:cs="Open Sans"/>
                <w:szCs w:val="18"/>
              </w:rPr>
              <w:t>D4</w:t>
            </w:r>
          </w:p>
        </w:tc>
        <w:tc>
          <w:tcPr>
            <w:tcW w:w="6009" w:type="dxa"/>
          </w:tcPr>
          <w:p w14:paraId="6FB0F3C2"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 xml:space="preserve">Controls social life by preventing partner seeing family and friends </w:t>
            </w:r>
          </w:p>
        </w:tc>
        <w:tc>
          <w:tcPr>
            <w:tcW w:w="794" w:type="dxa"/>
          </w:tcPr>
          <w:p w14:paraId="7284443F"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573B1EF2"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4A449BC5" w14:textId="59AD6AC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70.01</w:t>
            </w:r>
          </w:p>
        </w:tc>
        <w:tc>
          <w:tcPr>
            <w:tcW w:w="1071" w:type="dxa"/>
          </w:tcPr>
          <w:p w14:paraId="5DB12B6B" w14:textId="1F9F2BE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14.42</w:t>
            </w:r>
          </w:p>
        </w:tc>
        <w:tc>
          <w:tcPr>
            <w:tcW w:w="1346" w:type="dxa"/>
          </w:tcPr>
          <w:p w14:paraId="33700DBC" w14:textId="13980968"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8.48</w:t>
            </w:r>
          </w:p>
        </w:tc>
        <w:tc>
          <w:tcPr>
            <w:tcW w:w="932" w:type="dxa"/>
          </w:tcPr>
          <w:p w14:paraId="5CD59164" w14:textId="55A4360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6.50</w:t>
            </w:r>
          </w:p>
        </w:tc>
        <w:tc>
          <w:tcPr>
            <w:tcW w:w="1073" w:type="dxa"/>
          </w:tcPr>
          <w:p w14:paraId="54315FFB" w14:textId="6E43D4B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0.58</w:t>
            </w:r>
            <w:r w:rsidRPr="00882F81">
              <w:rPr>
                <w:rFonts w:cs="Open Sans"/>
                <w:szCs w:val="18"/>
                <w:vertAlign w:val="superscript"/>
              </w:rPr>
              <w:t>b</w:t>
            </w:r>
          </w:p>
        </w:tc>
        <w:tc>
          <w:tcPr>
            <w:tcW w:w="1162" w:type="dxa"/>
          </w:tcPr>
          <w:p w14:paraId="6D0F9A84" w14:textId="59221EC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84.43</w:t>
            </w:r>
          </w:p>
        </w:tc>
      </w:tr>
      <w:tr w:rsidR="00B6396A" w:rsidRPr="00882F81" w14:paraId="6D03168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61428EB0" w14:textId="15569666" w:rsidR="00B6396A" w:rsidRPr="00882F81" w:rsidRDefault="00B6396A" w:rsidP="005649C9">
            <w:pPr>
              <w:pStyle w:val="Tablebody"/>
              <w:rPr>
                <w:rFonts w:cs="Open Sans"/>
                <w:szCs w:val="18"/>
              </w:rPr>
            </w:pPr>
            <w:r w:rsidRPr="00882F81">
              <w:rPr>
                <w:rFonts w:cs="Open Sans"/>
                <w:szCs w:val="18"/>
              </w:rPr>
              <w:t>D4</w:t>
            </w:r>
          </w:p>
        </w:tc>
        <w:tc>
          <w:tcPr>
            <w:tcW w:w="6009" w:type="dxa"/>
          </w:tcPr>
          <w:p w14:paraId="5168E7AE" w14:textId="6655E4B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Controls social life by preventing partner seeing family and friends</w:t>
            </w:r>
          </w:p>
        </w:tc>
        <w:tc>
          <w:tcPr>
            <w:tcW w:w="794" w:type="dxa"/>
          </w:tcPr>
          <w:p w14:paraId="408CCDB6" w14:textId="083317A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74BC8E3D" w14:textId="2B1FCBE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00A9B32C" w14:textId="7DDDE2A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76.33</w:t>
            </w:r>
          </w:p>
        </w:tc>
        <w:tc>
          <w:tcPr>
            <w:tcW w:w="1071" w:type="dxa"/>
          </w:tcPr>
          <w:p w14:paraId="094B5FF3" w14:textId="444E534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11.43</w:t>
            </w:r>
          </w:p>
        </w:tc>
        <w:tc>
          <w:tcPr>
            <w:tcW w:w="1346" w:type="dxa"/>
          </w:tcPr>
          <w:p w14:paraId="2BACB343" w14:textId="0BDCABE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6.49</w:t>
            </w:r>
          </w:p>
        </w:tc>
        <w:tc>
          <w:tcPr>
            <w:tcW w:w="932" w:type="dxa"/>
          </w:tcPr>
          <w:p w14:paraId="1B65E958" w14:textId="2BBA59E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5.00</w:t>
            </w:r>
          </w:p>
        </w:tc>
        <w:tc>
          <w:tcPr>
            <w:tcW w:w="1073" w:type="dxa"/>
          </w:tcPr>
          <w:p w14:paraId="2FB5A88D" w14:textId="2717251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0.69</w:t>
            </w:r>
          </w:p>
        </w:tc>
        <w:tc>
          <w:tcPr>
            <w:tcW w:w="1162" w:type="dxa"/>
          </w:tcPr>
          <w:p w14:paraId="671007AB" w14:textId="3DF5E19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87.76</w:t>
            </w:r>
          </w:p>
        </w:tc>
      </w:tr>
      <w:tr w:rsidR="00B6396A" w:rsidRPr="00882F81" w14:paraId="3813AC2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23B53E24" w14:textId="77777777" w:rsidR="00B6396A" w:rsidRPr="00882F81" w:rsidRDefault="00B6396A" w:rsidP="005649C9">
            <w:pPr>
              <w:pStyle w:val="Tablebody"/>
              <w:rPr>
                <w:rFonts w:cs="Open Sans"/>
                <w:szCs w:val="18"/>
                <w:lang w:val="en-GB"/>
              </w:rPr>
            </w:pPr>
            <w:r w:rsidRPr="00882F81">
              <w:rPr>
                <w:rFonts w:cs="Open Sans"/>
                <w:szCs w:val="18"/>
              </w:rPr>
              <w:t>D5</w:t>
            </w:r>
          </w:p>
        </w:tc>
        <w:tc>
          <w:tcPr>
            <w:tcW w:w="6009" w:type="dxa"/>
          </w:tcPr>
          <w:p w14:paraId="7B1DAC56"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Controls partner by denying them money</w:t>
            </w:r>
          </w:p>
        </w:tc>
        <w:tc>
          <w:tcPr>
            <w:tcW w:w="794" w:type="dxa"/>
          </w:tcPr>
          <w:p w14:paraId="3C696776"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32B2FC66"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1735824F" w14:textId="6D0AF06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59.22</w:t>
            </w:r>
          </w:p>
        </w:tc>
        <w:tc>
          <w:tcPr>
            <w:tcW w:w="1071" w:type="dxa"/>
          </w:tcPr>
          <w:p w14:paraId="4E7CAF45" w14:textId="1F79703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17.71</w:t>
            </w:r>
          </w:p>
        </w:tc>
        <w:tc>
          <w:tcPr>
            <w:tcW w:w="1346" w:type="dxa"/>
          </w:tcPr>
          <w:p w14:paraId="23C2D6B6" w14:textId="311383E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13.30</w:t>
            </w:r>
          </w:p>
        </w:tc>
        <w:tc>
          <w:tcPr>
            <w:tcW w:w="932" w:type="dxa"/>
          </w:tcPr>
          <w:p w14:paraId="00883203" w14:textId="30CB0C7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8.65</w:t>
            </w:r>
          </w:p>
        </w:tc>
        <w:tc>
          <w:tcPr>
            <w:tcW w:w="1073" w:type="dxa"/>
          </w:tcPr>
          <w:p w14:paraId="2780A6B2" w14:textId="14391F7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1.02</w:t>
            </w:r>
          </w:p>
        </w:tc>
        <w:tc>
          <w:tcPr>
            <w:tcW w:w="1162" w:type="dxa"/>
          </w:tcPr>
          <w:p w14:paraId="2E42145B" w14:textId="1CBED4C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76.93</w:t>
            </w:r>
          </w:p>
        </w:tc>
      </w:tr>
      <w:tr w:rsidR="00B6396A" w:rsidRPr="00882F81" w14:paraId="36D0883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382AF66D" w14:textId="34FFF2F9" w:rsidR="00B6396A" w:rsidRPr="00882F81" w:rsidRDefault="00B6396A" w:rsidP="005649C9">
            <w:pPr>
              <w:pStyle w:val="Tablebody"/>
              <w:rPr>
                <w:rFonts w:cs="Open Sans"/>
                <w:szCs w:val="18"/>
              </w:rPr>
            </w:pPr>
            <w:r w:rsidRPr="00882F81">
              <w:rPr>
                <w:rFonts w:cs="Open Sans"/>
                <w:szCs w:val="18"/>
              </w:rPr>
              <w:t>D5</w:t>
            </w:r>
          </w:p>
        </w:tc>
        <w:tc>
          <w:tcPr>
            <w:tcW w:w="6009" w:type="dxa"/>
          </w:tcPr>
          <w:p w14:paraId="633C82DF" w14:textId="42ABE0F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Controls partner by denying them money</w:t>
            </w:r>
          </w:p>
        </w:tc>
        <w:tc>
          <w:tcPr>
            <w:tcW w:w="794" w:type="dxa"/>
          </w:tcPr>
          <w:p w14:paraId="23758599" w14:textId="56E2C4F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6E92F73A" w14:textId="54AB120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17235233" w14:textId="41DF1EE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68.15</w:t>
            </w:r>
          </w:p>
        </w:tc>
        <w:tc>
          <w:tcPr>
            <w:tcW w:w="1071" w:type="dxa"/>
          </w:tcPr>
          <w:p w14:paraId="4115382F" w14:textId="27B29DD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13.99</w:t>
            </w:r>
          </w:p>
        </w:tc>
        <w:tc>
          <w:tcPr>
            <w:tcW w:w="1346" w:type="dxa"/>
          </w:tcPr>
          <w:p w14:paraId="66192BC1" w14:textId="0A5E84A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9.92</w:t>
            </w:r>
          </w:p>
        </w:tc>
        <w:tc>
          <w:tcPr>
            <w:tcW w:w="932" w:type="dxa"/>
          </w:tcPr>
          <w:p w14:paraId="6EB06C4B" w14:textId="6714711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6.75</w:t>
            </w:r>
          </w:p>
        </w:tc>
        <w:tc>
          <w:tcPr>
            <w:tcW w:w="1073" w:type="dxa"/>
          </w:tcPr>
          <w:p w14:paraId="013769A5" w14:textId="1644029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1.13</w:t>
            </w:r>
          </w:p>
        </w:tc>
        <w:tc>
          <w:tcPr>
            <w:tcW w:w="1162" w:type="dxa"/>
          </w:tcPr>
          <w:p w14:paraId="45DC7DBD" w14:textId="4A24E06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82.14</w:t>
            </w:r>
          </w:p>
        </w:tc>
      </w:tr>
      <w:tr w:rsidR="00B6396A" w:rsidRPr="00882F81" w14:paraId="10E2BE3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0458D107" w14:textId="77777777" w:rsidR="00B6396A" w:rsidRPr="00882F81" w:rsidRDefault="00B6396A" w:rsidP="005649C9">
            <w:pPr>
              <w:pStyle w:val="Tablebody"/>
              <w:rPr>
                <w:rFonts w:cs="Open Sans"/>
                <w:szCs w:val="18"/>
                <w:lang w:val="en-GB"/>
              </w:rPr>
            </w:pPr>
            <w:r w:rsidRPr="00882F81">
              <w:rPr>
                <w:rFonts w:cs="Open Sans"/>
                <w:szCs w:val="18"/>
              </w:rPr>
              <w:t>D6</w:t>
            </w:r>
          </w:p>
        </w:tc>
        <w:tc>
          <w:tcPr>
            <w:tcW w:w="6009" w:type="dxa"/>
          </w:tcPr>
          <w:p w14:paraId="5E57B9C1"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Repeatedly keeps track of partner on electronic devices</w:t>
            </w:r>
          </w:p>
        </w:tc>
        <w:tc>
          <w:tcPr>
            <w:tcW w:w="794" w:type="dxa"/>
          </w:tcPr>
          <w:p w14:paraId="667E1480"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0DE56837"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6E749782" w14:textId="7D2BC18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63.37</w:t>
            </w:r>
          </w:p>
        </w:tc>
        <w:tc>
          <w:tcPr>
            <w:tcW w:w="1071" w:type="dxa"/>
          </w:tcPr>
          <w:p w14:paraId="3A5797FE" w14:textId="22C6570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16.73</w:t>
            </w:r>
          </w:p>
        </w:tc>
        <w:tc>
          <w:tcPr>
            <w:tcW w:w="1346" w:type="dxa"/>
          </w:tcPr>
          <w:p w14:paraId="2C986634" w14:textId="45FB21C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10.82</w:t>
            </w:r>
          </w:p>
        </w:tc>
        <w:tc>
          <w:tcPr>
            <w:tcW w:w="932" w:type="dxa"/>
          </w:tcPr>
          <w:p w14:paraId="1DE61BEF" w14:textId="6FB1BEA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8.21</w:t>
            </w:r>
          </w:p>
        </w:tc>
        <w:tc>
          <w:tcPr>
            <w:tcW w:w="1073" w:type="dxa"/>
          </w:tcPr>
          <w:p w14:paraId="326E65AD" w14:textId="45802C5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0.87</w:t>
            </w:r>
            <w:r w:rsidRPr="00882F81">
              <w:rPr>
                <w:rFonts w:cs="Open Sans"/>
                <w:szCs w:val="18"/>
                <w:vertAlign w:val="superscript"/>
              </w:rPr>
              <w:t>b</w:t>
            </w:r>
          </w:p>
        </w:tc>
        <w:tc>
          <w:tcPr>
            <w:tcW w:w="1162" w:type="dxa"/>
          </w:tcPr>
          <w:p w14:paraId="2D723186" w14:textId="1B5C784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80.10</w:t>
            </w:r>
          </w:p>
        </w:tc>
      </w:tr>
      <w:tr w:rsidR="00B6396A" w:rsidRPr="00882F81" w14:paraId="3B25E9BB"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185D8938" w14:textId="0EE1BCA6" w:rsidR="00B6396A" w:rsidRPr="00882F81" w:rsidRDefault="00B6396A" w:rsidP="005649C9">
            <w:pPr>
              <w:pStyle w:val="Tablebody"/>
              <w:rPr>
                <w:rFonts w:cs="Open Sans"/>
                <w:szCs w:val="18"/>
              </w:rPr>
            </w:pPr>
            <w:r w:rsidRPr="00882F81">
              <w:rPr>
                <w:rFonts w:cs="Open Sans"/>
                <w:szCs w:val="18"/>
              </w:rPr>
              <w:t>D6</w:t>
            </w:r>
          </w:p>
        </w:tc>
        <w:tc>
          <w:tcPr>
            <w:tcW w:w="6009" w:type="dxa"/>
          </w:tcPr>
          <w:p w14:paraId="5765D5A0" w14:textId="7E8F51C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Repeatedly keeps track of partner on electronic devices</w:t>
            </w:r>
          </w:p>
        </w:tc>
        <w:tc>
          <w:tcPr>
            <w:tcW w:w="794" w:type="dxa"/>
          </w:tcPr>
          <w:p w14:paraId="78C1425F" w14:textId="5B41333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291C4241" w14:textId="6F56521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3C268850" w14:textId="5D98346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71.92</w:t>
            </w:r>
          </w:p>
        </w:tc>
        <w:tc>
          <w:tcPr>
            <w:tcW w:w="1071" w:type="dxa"/>
          </w:tcPr>
          <w:p w14:paraId="2D483097" w14:textId="331EB9D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11.64</w:t>
            </w:r>
          </w:p>
        </w:tc>
        <w:tc>
          <w:tcPr>
            <w:tcW w:w="1346" w:type="dxa"/>
          </w:tcPr>
          <w:p w14:paraId="457CEE4B" w14:textId="3CCD55D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8.07</w:t>
            </w:r>
          </w:p>
        </w:tc>
        <w:tc>
          <w:tcPr>
            <w:tcW w:w="932" w:type="dxa"/>
          </w:tcPr>
          <w:p w14:paraId="64CE7A20" w14:textId="2C61D01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7.16</w:t>
            </w:r>
          </w:p>
        </w:tc>
        <w:tc>
          <w:tcPr>
            <w:tcW w:w="1073" w:type="dxa"/>
          </w:tcPr>
          <w:p w14:paraId="60301762" w14:textId="3F7835A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1.10</w:t>
            </w:r>
          </w:p>
        </w:tc>
        <w:tc>
          <w:tcPr>
            <w:tcW w:w="1162" w:type="dxa"/>
          </w:tcPr>
          <w:p w14:paraId="2FFDEAD0" w14:textId="01AE3B5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83.57</w:t>
            </w:r>
          </w:p>
        </w:tc>
      </w:tr>
      <w:tr w:rsidR="00B6396A" w:rsidRPr="00882F81" w14:paraId="4F48679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7E836131" w14:textId="77777777" w:rsidR="00B6396A" w:rsidRPr="00882F81" w:rsidRDefault="00B6396A" w:rsidP="005649C9">
            <w:pPr>
              <w:pStyle w:val="Tablebody"/>
              <w:rPr>
                <w:rFonts w:cs="Open Sans"/>
                <w:szCs w:val="18"/>
                <w:lang w:val="en-GB"/>
              </w:rPr>
            </w:pPr>
            <w:r w:rsidRPr="00882F81">
              <w:rPr>
                <w:rFonts w:cs="Open Sans"/>
                <w:szCs w:val="18"/>
              </w:rPr>
              <w:lastRenderedPageBreak/>
              <w:t>D7</w:t>
            </w:r>
          </w:p>
        </w:tc>
        <w:tc>
          <w:tcPr>
            <w:tcW w:w="6009" w:type="dxa"/>
          </w:tcPr>
          <w:p w14:paraId="11348EF0"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Controls partner by refusing to assist with their disability needs</w:t>
            </w:r>
          </w:p>
        </w:tc>
        <w:tc>
          <w:tcPr>
            <w:tcW w:w="794" w:type="dxa"/>
          </w:tcPr>
          <w:p w14:paraId="285C43AA"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769C8641"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7A89D71A" w14:textId="6B58BAA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60.19</w:t>
            </w:r>
          </w:p>
        </w:tc>
        <w:tc>
          <w:tcPr>
            <w:tcW w:w="1071" w:type="dxa"/>
          </w:tcPr>
          <w:p w14:paraId="5610687B" w14:textId="7C71383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19.10</w:t>
            </w:r>
          </w:p>
        </w:tc>
        <w:tc>
          <w:tcPr>
            <w:tcW w:w="1346" w:type="dxa"/>
          </w:tcPr>
          <w:p w14:paraId="631C87BC" w14:textId="7F4DAAA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11.37</w:t>
            </w:r>
          </w:p>
        </w:tc>
        <w:tc>
          <w:tcPr>
            <w:tcW w:w="932" w:type="dxa"/>
          </w:tcPr>
          <w:p w14:paraId="2ED0A522" w14:textId="42A0B69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6.92</w:t>
            </w:r>
          </w:p>
        </w:tc>
        <w:tc>
          <w:tcPr>
            <w:tcW w:w="1073" w:type="dxa"/>
          </w:tcPr>
          <w:p w14:paraId="7CE6317C" w14:textId="5E2E954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2.25</w:t>
            </w:r>
          </w:p>
        </w:tc>
        <w:tc>
          <w:tcPr>
            <w:tcW w:w="1162" w:type="dxa"/>
          </w:tcPr>
          <w:p w14:paraId="35DF36DC" w14:textId="4F72862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79.29</w:t>
            </w:r>
          </w:p>
        </w:tc>
      </w:tr>
      <w:tr w:rsidR="00B6396A" w:rsidRPr="00882F81" w14:paraId="7A4099C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2E541E5F" w14:textId="1F4E463D" w:rsidR="00B6396A" w:rsidRPr="00882F81" w:rsidRDefault="00B6396A" w:rsidP="005649C9">
            <w:pPr>
              <w:pStyle w:val="Tablebody"/>
              <w:rPr>
                <w:rFonts w:cs="Open Sans"/>
                <w:szCs w:val="18"/>
              </w:rPr>
            </w:pPr>
            <w:r w:rsidRPr="00882F81">
              <w:rPr>
                <w:rFonts w:cs="Open Sans"/>
                <w:szCs w:val="18"/>
              </w:rPr>
              <w:t>D7</w:t>
            </w:r>
          </w:p>
        </w:tc>
        <w:tc>
          <w:tcPr>
            <w:tcW w:w="6009" w:type="dxa"/>
          </w:tcPr>
          <w:p w14:paraId="6C1DF262" w14:textId="516384F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Controls partner by refusing to assist with their disability needs</w:t>
            </w:r>
          </w:p>
        </w:tc>
        <w:tc>
          <w:tcPr>
            <w:tcW w:w="794" w:type="dxa"/>
          </w:tcPr>
          <w:p w14:paraId="53E89711" w14:textId="71F19F9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1CF85A58" w14:textId="5D857C1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7EAE9C69" w14:textId="64F561D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67.71</w:t>
            </w:r>
          </w:p>
        </w:tc>
        <w:tc>
          <w:tcPr>
            <w:tcW w:w="1071" w:type="dxa"/>
          </w:tcPr>
          <w:p w14:paraId="0BB35C10" w14:textId="34B6F10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13.78</w:t>
            </w:r>
          </w:p>
        </w:tc>
        <w:tc>
          <w:tcPr>
            <w:tcW w:w="1346" w:type="dxa"/>
          </w:tcPr>
          <w:p w14:paraId="7ADF8549" w14:textId="694AADA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9.21</w:t>
            </w:r>
          </w:p>
        </w:tc>
        <w:tc>
          <w:tcPr>
            <w:tcW w:w="932" w:type="dxa"/>
          </w:tcPr>
          <w:p w14:paraId="6C09398D" w14:textId="70F3E9E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6.78</w:t>
            </w:r>
          </w:p>
        </w:tc>
        <w:tc>
          <w:tcPr>
            <w:tcW w:w="1073" w:type="dxa"/>
          </w:tcPr>
          <w:p w14:paraId="38F1D620" w14:textId="5860484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2.40</w:t>
            </w:r>
          </w:p>
        </w:tc>
        <w:tc>
          <w:tcPr>
            <w:tcW w:w="1162" w:type="dxa"/>
          </w:tcPr>
          <w:p w14:paraId="30B065DD" w14:textId="00C0FEF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81.49</w:t>
            </w:r>
          </w:p>
        </w:tc>
      </w:tr>
      <w:tr w:rsidR="00B6396A" w:rsidRPr="00882F81" w14:paraId="2EB5561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4D8EEE86" w14:textId="77777777" w:rsidR="00B6396A" w:rsidRPr="00882F81" w:rsidRDefault="00B6396A" w:rsidP="005649C9">
            <w:pPr>
              <w:pStyle w:val="Tablebody"/>
              <w:rPr>
                <w:rFonts w:cs="Open Sans"/>
                <w:szCs w:val="18"/>
                <w:lang w:val="en-GB"/>
              </w:rPr>
            </w:pPr>
            <w:r w:rsidRPr="00882F81">
              <w:rPr>
                <w:rFonts w:cs="Open Sans"/>
                <w:szCs w:val="18"/>
              </w:rPr>
              <w:t>D8</w:t>
            </w:r>
          </w:p>
        </w:tc>
        <w:tc>
          <w:tcPr>
            <w:tcW w:w="6009" w:type="dxa"/>
          </w:tcPr>
          <w:p w14:paraId="7F616351" w14:textId="107E283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Controls partner with a disability by threatening to put them into care or a</w:t>
            </w:r>
            <w:r>
              <w:rPr>
                <w:rFonts w:cs="Open Sans"/>
                <w:szCs w:val="18"/>
                <w:lang w:val="en-US"/>
              </w:rPr>
              <w:t xml:space="preserve"> </w:t>
            </w:r>
            <w:r w:rsidRPr="00882F81">
              <w:rPr>
                <w:rFonts w:cs="Open Sans"/>
                <w:szCs w:val="18"/>
                <w:lang w:val="en-US"/>
              </w:rPr>
              <w:t>home</w:t>
            </w:r>
            <w:r w:rsidRPr="00882F81">
              <w:rPr>
                <w:rFonts w:ascii="Montserrat" w:hAnsi="Montserrat" w:cs="Montserrat"/>
                <w:szCs w:val="18"/>
                <w:lang w:val="en-US"/>
              </w:rPr>
              <w:t>~</w:t>
            </w:r>
          </w:p>
        </w:tc>
        <w:tc>
          <w:tcPr>
            <w:tcW w:w="794" w:type="dxa"/>
          </w:tcPr>
          <w:p w14:paraId="562C160E"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74570C32"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421</w:t>
            </w:r>
          </w:p>
        </w:tc>
        <w:tc>
          <w:tcPr>
            <w:tcW w:w="1025" w:type="dxa"/>
          </w:tcPr>
          <w:p w14:paraId="0BE84050" w14:textId="04AB3A3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68.87</w:t>
            </w:r>
          </w:p>
        </w:tc>
        <w:tc>
          <w:tcPr>
            <w:tcW w:w="1071" w:type="dxa"/>
          </w:tcPr>
          <w:p w14:paraId="2B9D6949" w14:textId="194819D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15.56</w:t>
            </w:r>
          </w:p>
        </w:tc>
        <w:tc>
          <w:tcPr>
            <w:tcW w:w="1346" w:type="dxa"/>
          </w:tcPr>
          <w:p w14:paraId="41F5065A" w14:textId="14496B4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9.97</w:t>
            </w:r>
          </w:p>
        </w:tc>
        <w:tc>
          <w:tcPr>
            <w:tcW w:w="932" w:type="dxa"/>
          </w:tcPr>
          <w:p w14:paraId="03A58033" w14:textId="4382D5A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4.74</w:t>
            </w:r>
            <w:r w:rsidRPr="00882F81">
              <w:rPr>
                <w:rFonts w:cs="Open Sans"/>
                <w:szCs w:val="18"/>
                <w:vertAlign w:val="superscript"/>
              </w:rPr>
              <w:t>b</w:t>
            </w:r>
          </w:p>
        </w:tc>
        <w:tc>
          <w:tcPr>
            <w:tcW w:w="1073" w:type="dxa"/>
          </w:tcPr>
          <w:p w14:paraId="00744CC0" w14:textId="0D4A7C7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0.86</w:t>
            </w:r>
            <w:r w:rsidRPr="00882F81">
              <w:rPr>
                <w:rFonts w:cs="Open Sans"/>
                <w:szCs w:val="18"/>
                <w:vertAlign w:val="superscript"/>
              </w:rPr>
              <w:t>b</w:t>
            </w:r>
          </w:p>
        </w:tc>
        <w:tc>
          <w:tcPr>
            <w:tcW w:w="1162" w:type="dxa"/>
          </w:tcPr>
          <w:p w14:paraId="0B96AE9C" w14:textId="236C90B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84.43</w:t>
            </w:r>
          </w:p>
        </w:tc>
      </w:tr>
      <w:tr w:rsidR="00B6396A" w:rsidRPr="00882F81" w14:paraId="6CF842D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1747287C" w14:textId="49BAED75" w:rsidR="00B6396A" w:rsidRPr="00882F81" w:rsidRDefault="00B6396A" w:rsidP="005649C9">
            <w:pPr>
              <w:pStyle w:val="Tablebody"/>
              <w:rPr>
                <w:rFonts w:cs="Open Sans"/>
                <w:szCs w:val="18"/>
              </w:rPr>
            </w:pPr>
            <w:r w:rsidRPr="00882F81">
              <w:rPr>
                <w:rFonts w:cs="Open Sans"/>
                <w:szCs w:val="18"/>
              </w:rPr>
              <w:t>D8</w:t>
            </w:r>
          </w:p>
        </w:tc>
        <w:tc>
          <w:tcPr>
            <w:tcW w:w="6009" w:type="dxa"/>
          </w:tcPr>
          <w:p w14:paraId="1FE8E1C2" w14:textId="2191EFF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Controls partner with a disability by threatening to put them into care or a</w:t>
            </w:r>
            <w:r>
              <w:rPr>
                <w:rFonts w:cs="Open Sans"/>
                <w:szCs w:val="18"/>
                <w:lang w:val="en-US"/>
              </w:rPr>
              <w:t xml:space="preserve"> </w:t>
            </w:r>
            <w:r w:rsidRPr="00882F81">
              <w:rPr>
                <w:rFonts w:cs="Open Sans"/>
                <w:szCs w:val="18"/>
                <w:lang w:val="en-US"/>
              </w:rPr>
              <w:t>home</w:t>
            </w:r>
            <w:r w:rsidRPr="00882F81">
              <w:rPr>
                <w:rFonts w:ascii="Montserrat" w:hAnsi="Montserrat" w:cs="Montserrat"/>
                <w:szCs w:val="18"/>
                <w:lang w:val="en-US"/>
              </w:rPr>
              <w:t>~</w:t>
            </w:r>
          </w:p>
        </w:tc>
        <w:tc>
          <w:tcPr>
            <w:tcW w:w="794" w:type="dxa"/>
          </w:tcPr>
          <w:p w14:paraId="4429989B" w14:textId="76AE895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0AD056F1" w14:textId="20D8204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4,335</w:t>
            </w:r>
          </w:p>
        </w:tc>
        <w:tc>
          <w:tcPr>
            <w:tcW w:w="1025" w:type="dxa"/>
          </w:tcPr>
          <w:p w14:paraId="75A40CDA" w14:textId="1E5A407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69.33</w:t>
            </w:r>
          </w:p>
        </w:tc>
        <w:tc>
          <w:tcPr>
            <w:tcW w:w="1071" w:type="dxa"/>
          </w:tcPr>
          <w:p w14:paraId="318DF4F7" w14:textId="07671F4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13.32</w:t>
            </w:r>
          </w:p>
        </w:tc>
        <w:tc>
          <w:tcPr>
            <w:tcW w:w="1346" w:type="dxa"/>
          </w:tcPr>
          <w:p w14:paraId="2DFB859E" w14:textId="1A285DD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9.29</w:t>
            </w:r>
          </w:p>
        </w:tc>
        <w:tc>
          <w:tcPr>
            <w:tcW w:w="932" w:type="dxa"/>
          </w:tcPr>
          <w:p w14:paraId="2541C8BB" w14:textId="19A4893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5.72</w:t>
            </w:r>
          </w:p>
        </w:tc>
        <w:tc>
          <w:tcPr>
            <w:tcW w:w="1073" w:type="dxa"/>
          </w:tcPr>
          <w:p w14:paraId="67BE689A" w14:textId="583034A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2.18</w:t>
            </w:r>
          </w:p>
        </w:tc>
        <w:tc>
          <w:tcPr>
            <w:tcW w:w="1162" w:type="dxa"/>
          </w:tcPr>
          <w:p w14:paraId="0EBFBE68" w14:textId="4C61D82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82.65</w:t>
            </w:r>
          </w:p>
        </w:tc>
      </w:tr>
      <w:tr w:rsidR="00B6396A" w:rsidRPr="00882F81" w14:paraId="2E32C28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64AD8C78" w14:textId="77777777" w:rsidR="00B6396A" w:rsidRPr="00882F81" w:rsidRDefault="00B6396A" w:rsidP="005649C9">
            <w:pPr>
              <w:pStyle w:val="Tablebody"/>
              <w:rPr>
                <w:rFonts w:cs="Open Sans"/>
                <w:szCs w:val="18"/>
                <w:lang w:val="en-GB"/>
              </w:rPr>
            </w:pPr>
            <w:r w:rsidRPr="00882F81">
              <w:rPr>
                <w:rFonts w:cs="Open Sans"/>
                <w:szCs w:val="18"/>
              </w:rPr>
              <w:t>D9</w:t>
            </w:r>
          </w:p>
        </w:tc>
        <w:tc>
          <w:tcPr>
            <w:tcW w:w="6009" w:type="dxa"/>
          </w:tcPr>
          <w:p w14:paraId="70F2D206"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Repeatedly threatens to deport partner on temporary visa</w:t>
            </w:r>
          </w:p>
        </w:tc>
        <w:tc>
          <w:tcPr>
            <w:tcW w:w="794" w:type="dxa"/>
          </w:tcPr>
          <w:p w14:paraId="2E7028BE"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1FD7BE8B"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7ACF32B8" w14:textId="09155B3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72.23</w:t>
            </w:r>
          </w:p>
        </w:tc>
        <w:tc>
          <w:tcPr>
            <w:tcW w:w="1071" w:type="dxa"/>
          </w:tcPr>
          <w:p w14:paraId="313EE6CB" w14:textId="1E996AE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13.48</w:t>
            </w:r>
          </w:p>
        </w:tc>
        <w:tc>
          <w:tcPr>
            <w:tcW w:w="1346" w:type="dxa"/>
          </w:tcPr>
          <w:p w14:paraId="1A77F119" w14:textId="320CEA5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7.64</w:t>
            </w:r>
          </w:p>
        </w:tc>
        <w:tc>
          <w:tcPr>
            <w:tcW w:w="932" w:type="dxa"/>
          </w:tcPr>
          <w:p w14:paraId="06AD90C7" w14:textId="09E7DB0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5.45</w:t>
            </w:r>
          </w:p>
        </w:tc>
        <w:tc>
          <w:tcPr>
            <w:tcW w:w="1073" w:type="dxa"/>
          </w:tcPr>
          <w:p w14:paraId="1BE22D61" w14:textId="7D94FE0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1.15</w:t>
            </w:r>
            <w:r w:rsidRPr="00882F81">
              <w:rPr>
                <w:rFonts w:cs="Open Sans"/>
                <w:szCs w:val="18"/>
                <w:vertAlign w:val="superscript"/>
              </w:rPr>
              <w:t>b</w:t>
            </w:r>
          </w:p>
        </w:tc>
        <w:tc>
          <w:tcPr>
            <w:tcW w:w="1162" w:type="dxa"/>
          </w:tcPr>
          <w:p w14:paraId="718FA17A" w14:textId="609E999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85.71</w:t>
            </w:r>
          </w:p>
        </w:tc>
      </w:tr>
      <w:tr w:rsidR="00B6396A" w:rsidRPr="00882F81" w14:paraId="564AD57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6160F033" w14:textId="307694A4" w:rsidR="00B6396A" w:rsidRPr="00882F81" w:rsidRDefault="00B6396A" w:rsidP="005649C9">
            <w:pPr>
              <w:pStyle w:val="Tablebody"/>
              <w:rPr>
                <w:rFonts w:cs="Open Sans"/>
                <w:szCs w:val="18"/>
              </w:rPr>
            </w:pPr>
            <w:r w:rsidRPr="00882F81">
              <w:rPr>
                <w:rFonts w:cs="Open Sans"/>
                <w:szCs w:val="18"/>
              </w:rPr>
              <w:t>D9</w:t>
            </w:r>
          </w:p>
        </w:tc>
        <w:tc>
          <w:tcPr>
            <w:tcW w:w="6009" w:type="dxa"/>
          </w:tcPr>
          <w:p w14:paraId="5EEBB5B5" w14:textId="0F93573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Repeatedly threatens to deport partner on temporary visa</w:t>
            </w:r>
          </w:p>
        </w:tc>
        <w:tc>
          <w:tcPr>
            <w:tcW w:w="794" w:type="dxa"/>
          </w:tcPr>
          <w:p w14:paraId="13A6D126" w14:textId="22866DC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01B263F8" w14:textId="1A2DD14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33B1C74F" w14:textId="6AC302F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73.26</w:t>
            </w:r>
          </w:p>
        </w:tc>
        <w:tc>
          <w:tcPr>
            <w:tcW w:w="1071" w:type="dxa"/>
          </w:tcPr>
          <w:p w14:paraId="4637ED9B" w14:textId="5655739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11.38</w:t>
            </w:r>
          </w:p>
        </w:tc>
        <w:tc>
          <w:tcPr>
            <w:tcW w:w="1346" w:type="dxa"/>
          </w:tcPr>
          <w:p w14:paraId="6AA31DDC" w14:textId="2740CBC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6.75</w:t>
            </w:r>
          </w:p>
        </w:tc>
        <w:tc>
          <w:tcPr>
            <w:tcW w:w="932" w:type="dxa"/>
          </w:tcPr>
          <w:p w14:paraId="0EBD76DD" w14:textId="7BD6CCF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5.77</w:t>
            </w:r>
          </w:p>
        </w:tc>
        <w:tc>
          <w:tcPr>
            <w:tcW w:w="1073" w:type="dxa"/>
          </w:tcPr>
          <w:p w14:paraId="1585AC04" w14:textId="7A82E01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2.67</w:t>
            </w:r>
          </w:p>
        </w:tc>
        <w:tc>
          <w:tcPr>
            <w:tcW w:w="1162" w:type="dxa"/>
          </w:tcPr>
          <w:p w14:paraId="4424E3FA" w14:textId="09DCF9C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84.64</w:t>
            </w:r>
          </w:p>
        </w:tc>
      </w:tr>
      <w:tr w:rsidR="00B6396A" w:rsidRPr="00882F81" w14:paraId="536CE0A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0F294C48" w14:textId="77777777" w:rsidR="00B6396A" w:rsidRPr="00882F81" w:rsidRDefault="00B6396A" w:rsidP="005649C9">
            <w:pPr>
              <w:pStyle w:val="Tablebody"/>
              <w:rPr>
                <w:rFonts w:cs="Open Sans"/>
                <w:szCs w:val="18"/>
                <w:lang w:val="en-GB"/>
              </w:rPr>
            </w:pPr>
            <w:r w:rsidRPr="00882F81">
              <w:rPr>
                <w:rFonts w:cs="Open Sans"/>
                <w:szCs w:val="18"/>
              </w:rPr>
              <w:t>D10</w:t>
            </w:r>
          </w:p>
        </w:tc>
        <w:tc>
          <w:tcPr>
            <w:tcW w:w="6009" w:type="dxa"/>
          </w:tcPr>
          <w:p w14:paraId="3E602579"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Forces partner to stop practising their religion</w:t>
            </w:r>
            <w:r w:rsidRPr="00882F81">
              <w:rPr>
                <w:rFonts w:ascii="Montserrat" w:hAnsi="Montserrat" w:cs="Montserrat"/>
                <w:szCs w:val="18"/>
                <w:lang w:val="en-US"/>
              </w:rPr>
              <w:t>~</w:t>
            </w:r>
          </w:p>
        </w:tc>
        <w:tc>
          <w:tcPr>
            <w:tcW w:w="794" w:type="dxa"/>
          </w:tcPr>
          <w:p w14:paraId="098A5918"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1B88A1CC"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421</w:t>
            </w:r>
          </w:p>
        </w:tc>
        <w:tc>
          <w:tcPr>
            <w:tcW w:w="1025" w:type="dxa"/>
          </w:tcPr>
          <w:p w14:paraId="039E5643" w14:textId="65551A8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68.14</w:t>
            </w:r>
          </w:p>
        </w:tc>
        <w:tc>
          <w:tcPr>
            <w:tcW w:w="1071" w:type="dxa"/>
          </w:tcPr>
          <w:p w14:paraId="3801C179" w14:textId="1251717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14.14</w:t>
            </w:r>
          </w:p>
        </w:tc>
        <w:tc>
          <w:tcPr>
            <w:tcW w:w="1346" w:type="dxa"/>
          </w:tcPr>
          <w:p w14:paraId="4EC6473C" w14:textId="606A53D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10.07</w:t>
            </w:r>
          </w:p>
        </w:tc>
        <w:tc>
          <w:tcPr>
            <w:tcW w:w="932" w:type="dxa"/>
          </w:tcPr>
          <w:p w14:paraId="658FD374" w14:textId="2DA7AFD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5.69</w:t>
            </w:r>
          </w:p>
        </w:tc>
        <w:tc>
          <w:tcPr>
            <w:tcW w:w="1073" w:type="dxa"/>
          </w:tcPr>
          <w:p w14:paraId="4E60E94D" w14:textId="57E2198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1.96</w:t>
            </w:r>
            <w:r w:rsidRPr="00882F81">
              <w:rPr>
                <w:rFonts w:cs="Open Sans"/>
                <w:szCs w:val="18"/>
                <w:vertAlign w:val="superscript"/>
              </w:rPr>
              <w:t>b</w:t>
            </w:r>
          </w:p>
        </w:tc>
        <w:tc>
          <w:tcPr>
            <w:tcW w:w="1162" w:type="dxa"/>
          </w:tcPr>
          <w:p w14:paraId="7D8E33F9" w14:textId="4C5A1E1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82.28</w:t>
            </w:r>
          </w:p>
        </w:tc>
      </w:tr>
      <w:tr w:rsidR="00B6396A" w:rsidRPr="00882F81" w14:paraId="17BE10F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54" w:type="dxa"/>
          </w:tcPr>
          <w:p w14:paraId="0CCBFD45" w14:textId="0A082A22" w:rsidR="00B6396A" w:rsidRPr="00882F81" w:rsidRDefault="00B6396A" w:rsidP="005649C9">
            <w:pPr>
              <w:pStyle w:val="Tablebody"/>
              <w:rPr>
                <w:rFonts w:cs="Open Sans"/>
                <w:szCs w:val="18"/>
              </w:rPr>
            </w:pPr>
            <w:r w:rsidRPr="00882F81">
              <w:rPr>
                <w:rFonts w:cs="Open Sans"/>
                <w:szCs w:val="18"/>
              </w:rPr>
              <w:t>D10</w:t>
            </w:r>
          </w:p>
        </w:tc>
        <w:tc>
          <w:tcPr>
            <w:tcW w:w="6009" w:type="dxa"/>
          </w:tcPr>
          <w:p w14:paraId="08C0060E" w14:textId="7DB5B71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Forces partner to stop practising their religion</w:t>
            </w:r>
            <w:r w:rsidRPr="00882F81">
              <w:rPr>
                <w:rFonts w:ascii="Montserrat" w:hAnsi="Montserrat" w:cs="Montserrat"/>
                <w:szCs w:val="18"/>
                <w:lang w:val="en-US"/>
              </w:rPr>
              <w:t>~</w:t>
            </w:r>
          </w:p>
        </w:tc>
        <w:tc>
          <w:tcPr>
            <w:tcW w:w="794" w:type="dxa"/>
          </w:tcPr>
          <w:p w14:paraId="49B4ED39" w14:textId="3F3F163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3CFD8F01" w14:textId="72438FB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4,335</w:t>
            </w:r>
          </w:p>
        </w:tc>
        <w:tc>
          <w:tcPr>
            <w:tcW w:w="1025" w:type="dxa"/>
          </w:tcPr>
          <w:p w14:paraId="6663F765" w14:textId="24EC927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66.69</w:t>
            </w:r>
          </w:p>
        </w:tc>
        <w:tc>
          <w:tcPr>
            <w:tcW w:w="1071" w:type="dxa"/>
          </w:tcPr>
          <w:p w14:paraId="2416DC52" w14:textId="22BB507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13.53</w:t>
            </w:r>
          </w:p>
        </w:tc>
        <w:tc>
          <w:tcPr>
            <w:tcW w:w="1346" w:type="dxa"/>
          </w:tcPr>
          <w:p w14:paraId="1C0F0E95" w14:textId="070AEDC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9.03</w:t>
            </w:r>
          </w:p>
        </w:tc>
        <w:tc>
          <w:tcPr>
            <w:tcW w:w="932" w:type="dxa"/>
          </w:tcPr>
          <w:p w14:paraId="08AF26F9" w14:textId="494FB6A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7.99</w:t>
            </w:r>
          </w:p>
        </w:tc>
        <w:tc>
          <w:tcPr>
            <w:tcW w:w="1073" w:type="dxa"/>
          </w:tcPr>
          <w:p w14:paraId="4276E4D1" w14:textId="121E8DE5"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2.44</w:t>
            </w:r>
          </w:p>
        </w:tc>
        <w:tc>
          <w:tcPr>
            <w:tcW w:w="1162" w:type="dxa"/>
          </w:tcPr>
          <w:p w14:paraId="6634EEE7" w14:textId="3936354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80.22</w:t>
            </w:r>
          </w:p>
        </w:tc>
      </w:tr>
      <w:tr w:rsidR="00B6396A" w:rsidRPr="00882F81" w14:paraId="76109322"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54" w:type="dxa"/>
          </w:tcPr>
          <w:p w14:paraId="28AE31B0" w14:textId="77777777" w:rsidR="00B6396A" w:rsidRPr="00882F81" w:rsidRDefault="00B6396A" w:rsidP="005649C9">
            <w:pPr>
              <w:pStyle w:val="Tablebody"/>
              <w:rPr>
                <w:rFonts w:cs="Open Sans"/>
                <w:szCs w:val="18"/>
                <w:lang w:val="en-GB"/>
              </w:rPr>
            </w:pPr>
            <w:r w:rsidRPr="00882F81">
              <w:rPr>
                <w:rFonts w:cs="Open Sans"/>
                <w:szCs w:val="18"/>
              </w:rPr>
              <w:t>D11</w:t>
            </w:r>
          </w:p>
        </w:tc>
        <w:tc>
          <w:tcPr>
            <w:tcW w:w="6009" w:type="dxa"/>
          </w:tcPr>
          <w:p w14:paraId="3DB4FFE2"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Controls partner by forcing them to hide that they are trans gender</w:t>
            </w:r>
          </w:p>
        </w:tc>
        <w:tc>
          <w:tcPr>
            <w:tcW w:w="794" w:type="dxa"/>
          </w:tcPr>
          <w:p w14:paraId="63C95DDC"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3F22BC2E"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025" w:type="dxa"/>
          </w:tcPr>
          <w:p w14:paraId="596B8237" w14:textId="4315D63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67.16</w:t>
            </w:r>
          </w:p>
        </w:tc>
        <w:tc>
          <w:tcPr>
            <w:tcW w:w="1071" w:type="dxa"/>
          </w:tcPr>
          <w:p w14:paraId="25F05379" w14:textId="47C8EDD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13.69</w:t>
            </w:r>
          </w:p>
        </w:tc>
        <w:tc>
          <w:tcPr>
            <w:tcW w:w="1346" w:type="dxa"/>
          </w:tcPr>
          <w:p w14:paraId="2D685A2E" w14:textId="09F1ECE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9.26</w:t>
            </w:r>
          </w:p>
        </w:tc>
        <w:tc>
          <w:tcPr>
            <w:tcW w:w="932" w:type="dxa"/>
          </w:tcPr>
          <w:p w14:paraId="3205FAE5" w14:textId="322FC583"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7.73</w:t>
            </w:r>
          </w:p>
        </w:tc>
        <w:tc>
          <w:tcPr>
            <w:tcW w:w="1073" w:type="dxa"/>
          </w:tcPr>
          <w:p w14:paraId="2EF8EE8F" w14:textId="3AF0109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2.09</w:t>
            </w:r>
          </w:p>
        </w:tc>
        <w:tc>
          <w:tcPr>
            <w:tcW w:w="1162" w:type="dxa"/>
          </w:tcPr>
          <w:p w14:paraId="44C2890D" w14:textId="5472EFF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80.85</w:t>
            </w:r>
          </w:p>
        </w:tc>
      </w:tr>
      <w:tr w:rsidR="00B6396A" w:rsidRPr="00882F81" w14:paraId="0CB4C745"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54" w:type="dxa"/>
          </w:tcPr>
          <w:p w14:paraId="5C19240C" w14:textId="52F986A2" w:rsidR="00B6396A" w:rsidRPr="00882F81" w:rsidRDefault="00B6396A" w:rsidP="005649C9">
            <w:pPr>
              <w:pStyle w:val="Tablebody"/>
              <w:rPr>
                <w:rFonts w:cs="Open Sans"/>
                <w:szCs w:val="18"/>
              </w:rPr>
            </w:pPr>
            <w:r w:rsidRPr="00882F81">
              <w:rPr>
                <w:rFonts w:cs="Open Sans"/>
                <w:szCs w:val="18"/>
              </w:rPr>
              <w:t>D11</w:t>
            </w:r>
          </w:p>
        </w:tc>
        <w:tc>
          <w:tcPr>
            <w:tcW w:w="6009" w:type="dxa"/>
          </w:tcPr>
          <w:p w14:paraId="4B88CEF4" w14:textId="3D1C3FA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Controls partner by forcing them to hide that they are trans gender</w:t>
            </w:r>
          </w:p>
        </w:tc>
        <w:tc>
          <w:tcPr>
            <w:tcW w:w="794" w:type="dxa"/>
          </w:tcPr>
          <w:p w14:paraId="5A784460" w14:textId="7FC33C7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52E3F9A1" w14:textId="7FF2932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025" w:type="dxa"/>
          </w:tcPr>
          <w:p w14:paraId="0EEC7EC4" w14:textId="1804A37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66.08</w:t>
            </w:r>
          </w:p>
        </w:tc>
        <w:tc>
          <w:tcPr>
            <w:tcW w:w="1071" w:type="dxa"/>
          </w:tcPr>
          <w:p w14:paraId="21C7E08C" w14:textId="0500447C"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11.79</w:t>
            </w:r>
          </w:p>
        </w:tc>
        <w:tc>
          <w:tcPr>
            <w:tcW w:w="1346" w:type="dxa"/>
          </w:tcPr>
          <w:p w14:paraId="0BFE2F4F" w14:textId="764FEF42"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7.91</w:t>
            </w:r>
          </w:p>
        </w:tc>
        <w:tc>
          <w:tcPr>
            <w:tcW w:w="932" w:type="dxa"/>
          </w:tcPr>
          <w:p w14:paraId="31699203" w14:textId="739AA93D"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7.57</w:t>
            </w:r>
          </w:p>
        </w:tc>
        <w:tc>
          <w:tcPr>
            <w:tcW w:w="1073" w:type="dxa"/>
          </w:tcPr>
          <w:p w14:paraId="3A134C4A" w14:textId="0F5B8984"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5.93</w:t>
            </w:r>
          </w:p>
        </w:tc>
        <w:tc>
          <w:tcPr>
            <w:tcW w:w="1162" w:type="dxa"/>
          </w:tcPr>
          <w:p w14:paraId="11628C80" w14:textId="45B7464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77.86</w:t>
            </w:r>
          </w:p>
        </w:tc>
      </w:tr>
      <w:tr w:rsidR="00B6396A" w:rsidRPr="00882F81" w14:paraId="486D4CC0" w14:textId="77777777" w:rsidTr="005649C9">
        <w:trPr>
          <w:trHeight w:val="590"/>
        </w:trPr>
        <w:tc>
          <w:tcPr>
            <w:cnfStyle w:val="001000000000" w:firstRow="0" w:lastRow="0" w:firstColumn="1" w:lastColumn="0" w:oddVBand="0" w:evenVBand="0" w:oddHBand="0" w:evenHBand="0" w:firstRowFirstColumn="0" w:firstRowLastColumn="0" w:lastRowFirstColumn="0" w:lastRowLastColumn="0"/>
            <w:tcW w:w="754" w:type="dxa"/>
          </w:tcPr>
          <w:p w14:paraId="47ED9C16" w14:textId="77777777" w:rsidR="00B6396A" w:rsidRPr="00882F81" w:rsidRDefault="00B6396A" w:rsidP="005649C9">
            <w:pPr>
              <w:pStyle w:val="Tablebody"/>
              <w:rPr>
                <w:rFonts w:cs="Open Sans"/>
                <w:szCs w:val="18"/>
                <w:lang w:val="en-GB"/>
              </w:rPr>
            </w:pPr>
            <w:r w:rsidRPr="00882F81">
              <w:rPr>
                <w:rFonts w:cs="Open Sans"/>
                <w:szCs w:val="18"/>
              </w:rPr>
              <w:t>D12</w:t>
            </w:r>
          </w:p>
        </w:tc>
        <w:tc>
          <w:tcPr>
            <w:tcW w:w="6009" w:type="dxa"/>
          </w:tcPr>
          <w:p w14:paraId="0189C9F8" w14:textId="2339CC59" w:rsidR="00B6396A" w:rsidRPr="00EA1044" w:rsidRDefault="00B6396A" w:rsidP="005649C9">
            <w:pPr>
              <w:pStyle w:val="Tablebody"/>
              <w:cnfStyle w:val="000000000000" w:firstRow="0" w:lastRow="0" w:firstColumn="0" w:lastColumn="0" w:oddVBand="0" w:evenVBand="0" w:oddHBand="0" w:evenHBand="0" w:firstRowFirstColumn="0" w:firstRowLastColumn="0" w:lastRowFirstColumn="0" w:lastRowLastColumn="0"/>
            </w:pPr>
            <w:r w:rsidRPr="00EA1044">
              <w:t>Forces partner to undergo an unnecessary medical procedure, such as contraception or abortion</w:t>
            </w:r>
            <w:r w:rsidRPr="00EA1044">
              <w:rPr>
                <w:rFonts w:ascii="Montserrat" w:hAnsi="Montserrat" w:cs="Montserrat"/>
              </w:rPr>
              <w:t>~</w:t>
            </w:r>
          </w:p>
        </w:tc>
        <w:tc>
          <w:tcPr>
            <w:tcW w:w="794" w:type="dxa"/>
          </w:tcPr>
          <w:p w14:paraId="1E15D7A2"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794" w:type="dxa"/>
          </w:tcPr>
          <w:p w14:paraId="46FE1F98" w14:textId="7777777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421</w:t>
            </w:r>
          </w:p>
        </w:tc>
        <w:tc>
          <w:tcPr>
            <w:tcW w:w="1025" w:type="dxa"/>
          </w:tcPr>
          <w:p w14:paraId="3C263709" w14:textId="009FAEE7"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78.41</w:t>
            </w:r>
          </w:p>
        </w:tc>
        <w:tc>
          <w:tcPr>
            <w:tcW w:w="1071" w:type="dxa"/>
          </w:tcPr>
          <w:p w14:paraId="025111E7" w14:textId="4159F149"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11.81</w:t>
            </w:r>
          </w:p>
        </w:tc>
        <w:tc>
          <w:tcPr>
            <w:tcW w:w="1346" w:type="dxa"/>
          </w:tcPr>
          <w:p w14:paraId="5B57BC6F" w14:textId="67CBEB9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5.31</w:t>
            </w:r>
          </w:p>
        </w:tc>
        <w:tc>
          <w:tcPr>
            <w:tcW w:w="932" w:type="dxa"/>
          </w:tcPr>
          <w:p w14:paraId="18A5F080" w14:textId="17F91DF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3.77</w:t>
            </w:r>
            <w:r w:rsidRPr="00882F81">
              <w:rPr>
                <w:rFonts w:cs="Open Sans"/>
                <w:szCs w:val="18"/>
                <w:vertAlign w:val="superscript"/>
              </w:rPr>
              <w:t>b</w:t>
            </w:r>
          </w:p>
        </w:tc>
        <w:tc>
          <w:tcPr>
            <w:tcW w:w="1073" w:type="dxa"/>
          </w:tcPr>
          <w:p w14:paraId="1DBD7476" w14:textId="4AFE633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0.70</w:t>
            </w:r>
            <w:r w:rsidRPr="00882F81">
              <w:rPr>
                <w:rFonts w:cs="Open Sans"/>
                <w:szCs w:val="18"/>
                <w:vertAlign w:val="superscript"/>
              </w:rPr>
              <w:t>b</w:t>
            </w:r>
          </w:p>
        </w:tc>
        <w:tc>
          <w:tcPr>
            <w:tcW w:w="1162" w:type="dxa"/>
          </w:tcPr>
          <w:p w14:paraId="3CD1671B" w14:textId="0D16ECB0"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90.21</w:t>
            </w:r>
          </w:p>
        </w:tc>
      </w:tr>
      <w:tr w:rsidR="00B6396A" w:rsidRPr="00882F81" w14:paraId="38DC2B43" w14:textId="77777777" w:rsidTr="005649C9">
        <w:trPr>
          <w:trHeight w:val="590"/>
        </w:trPr>
        <w:tc>
          <w:tcPr>
            <w:cnfStyle w:val="001000000000" w:firstRow="0" w:lastRow="0" w:firstColumn="1" w:lastColumn="0" w:oddVBand="0" w:evenVBand="0" w:oddHBand="0" w:evenHBand="0" w:firstRowFirstColumn="0" w:firstRowLastColumn="0" w:lastRowFirstColumn="0" w:lastRowLastColumn="0"/>
            <w:tcW w:w="754" w:type="dxa"/>
          </w:tcPr>
          <w:p w14:paraId="3C7B5F45" w14:textId="54EE0EEF" w:rsidR="00B6396A" w:rsidRPr="00882F81" w:rsidRDefault="00B6396A" w:rsidP="005649C9">
            <w:pPr>
              <w:pStyle w:val="Tablebody"/>
              <w:rPr>
                <w:rFonts w:cs="Open Sans"/>
                <w:szCs w:val="18"/>
              </w:rPr>
            </w:pPr>
            <w:r w:rsidRPr="00882F81">
              <w:rPr>
                <w:rFonts w:cs="Open Sans"/>
                <w:szCs w:val="18"/>
              </w:rPr>
              <w:t>D12</w:t>
            </w:r>
          </w:p>
        </w:tc>
        <w:tc>
          <w:tcPr>
            <w:tcW w:w="6009" w:type="dxa"/>
          </w:tcPr>
          <w:p w14:paraId="64029CD4" w14:textId="594BF065" w:rsidR="00B6396A" w:rsidRPr="00EA1044" w:rsidRDefault="00B6396A" w:rsidP="005649C9">
            <w:pPr>
              <w:pStyle w:val="Tablebody"/>
              <w:cnfStyle w:val="000000000000" w:firstRow="0" w:lastRow="0" w:firstColumn="0" w:lastColumn="0" w:oddVBand="0" w:evenVBand="0" w:oddHBand="0" w:evenHBand="0" w:firstRowFirstColumn="0" w:firstRowLastColumn="0" w:lastRowFirstColumn="0" w:lastRowLastColumn="0"/>
            </w:pPr>
            <w:r w:rsidRPr="008C29F3">
              <w:t>Forces partner to undergo an unnecessary medical procedure, such as contraception or abortion~</w:t>
            </w:r>
          </w:p>
        </w:tc>
        <w:tc>
          <w:tcPr>
            <w:tcW w:w="794" w:type="dxa"/>
          </w:tcPr>
          <w:p w14:paraId="53475BCA" w14:textId="515246E8"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794" w:type="dxa"/>
          </w:tcPr>
          <w:p w14:paraId="73992800" w14:textId="5C77018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4,335</w:t>
            </w:r>
          </w:p>
        </w:tc>
        <w:tc>
          <w:tcPr>
            <w:tcW w:w="1025" w:type="dxa"/>
          </w:tcPr>
          <w:p w14:paraId="55A07D1D" w14:textId="5C83852B"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80.92</w:t>
            </w:r>
          </w:p>
        </w:tc>
        <w:tc>
          <w:tcPr>
            <w:tcW w:w="1071" w:type="dxa"/>
          </w:tcPr>
          <w:p w14:paraId="08EC97C8" w14:textId="3C98A1A1"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8.92</w:t>
            </w:r>
          </w:p>
        </w:tc>
        <w:tc>
          <w:tcPr>
            <w:tcW w:w="1346" w:type="dxa"/>
          </w:tcPr>
          <w:p w14:paraId="778789C0" w14:textId="467D839E"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5.83</w:t>
            </w:r>
          </w:p>
        </w:tc>
        <w:tc>
          <w:tcPr>
            <w:tcW w:w="932" w:type="dxa"/>
          </w:tcPr>
          <w:p w14:paraId="25BC9080" w14:textId="582F0DFA"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2.75</w:t>
            </w:r>
          </w:p>
        </w:tc>
        <w:tc>
          <w:tcPr>
            <w:tcW w:w="1073" w:type="dxa"/>
          </w:tcPr>
          <w:p w14:paraId="4E003AD1" w14:textId="203817E6"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1.34</w:t>
            </w:r>
          </w:p>
        </w:tc>
        <w:tc>
          <w:tcPr>
            <w:tcW w:w="1162" w:type="dxa"/>
          </w:tcPr>
          <w:p w14:paraId="79DD463A" w14:textId="22F9917F" w:rsidR="00B6396A" w:rsidRPr="00882F81" w:rsidRDefault="00B6396A"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89.84</w:t>
            </w:r>
          </w:p>
        </w:tc>
      </w:tr>
    </w:tbl>
    <w:p w14:paraId="5CDB947B" w14:textId="75442E34" w:rsidR="001D5BB5" w:rsidRDefault="00A2531F" w:rsidP="005649C9">
      <w:pPr>
        <w:pStyle w:val="Tablesubheading0"/>
      </w:pPr>
      <w:r>
        <w:t xml:space="preserve">Subscale: Recognise Violence against </w:t>
      </w:r>
      <w:r w:rsidR="009E20D9">
        <w:t>W</w:t>
      </w:r>
      <w:r>
        <w:t>omen</w:t>
      </w:r>
    </w:p>
    <w:p w14:paraId="0D503284" w14:textId="4B2EC8D6" w:rsidR="00E358DE" w:rsidRDefault="00E358DE" w:rsidP="001D5BB5">
      <w:pPr>
        <w:pStyle w:val="Tablesubheading"/>
      </w:pPr>
      <w:r w:rsidRPr="00882F81">
        <w:t>Is this a form of violence against women?</w:t>
      </w:r>
    </w:p>
    <w:tbl>
      <w:tblPr>
        <w:tblStyle w:val="Table-SingleHeaderRow"/>
        <w:tblW w:w="14967" w:type="dxa"/>
        <w:tblLayout w:type="fixed"/>
        <w:tblLook w:val="00A0" w:firstRow="1" w:lastRow="0" w:firstColumn="1" w:lastColumn="0" w:noHBand="0" w:noVBand="0"/>
      </w:tblPr>
      <w:tblGrid>
        <w:gridCol w:w="737"/>
        <w:gridCol w:w="4932"/>
        <w:gridCol w:w="737"/>
        <w:gridCol w:w="850"/>
        <w:gridCol w:w="1191"/>
        <w:gridCol w:w="1247"/>
        <w:gridCol w:w="1588"/>
        <w:gridCol w:w="1077"/>
        <w:gridCol w:w="1247"/>
        <w:gridCol w:w="1361"/>
      </w:tblGrid>
      <w:tr w:rsidR="00A2531F" w:rsidRPr="00882F81" w14:paraId="7297E2D8" w14:textId="77777777" w:rsidTr="005649C9">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737" w:type="dxa"/>
          </w:tcPr>
          <w:p w14:paraId="43B93DEF" w14:textId="77777777" w:rsidR="00A2531F" w:rsidRPr="00882F81" w:rsidRDefault="00A2531F" w:rsidP="005649C9">
            <w:pPr>
              <w:pStyle w:val="Tablebody"/>
              <w:rPr>
                <w:b w:val="0"/>
                <w:lang w:val="en-GB"/>
              </w:rPr>
            </w:pPr>
            <w:r w:rsidRPr="00882F81">
              <w:t>Code</w:t>
            </w:r>
          </w:p>
        </w:tc>
        <w:tc>
          <w:tcPr>
            <w:tcW w:w="4932" w:type="dxa"/>
          </w:tcPr>
          <w:p w14:paraId="3489C3EE"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Abbreviated item wording</w:t>
            </w:r>
          </w:p>
        </w:tc>
        <w:tc>
          <w:tcPr>
            <w:tcW w:w="737" w:type="dxa"/>
          </w:tcPr>
          <w:p w14:paraId="242E4D97"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Age</w:t>
            </w:r>
          </w:p>
        </w:tc>
        <w:tc>
          <w:tcPr>
            <w:tcW w:w="850" w:type="dxa"/>
          </w:tcPr>
          <w:p w14:paraId="1F636250"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882F81">
              <w:rPr>
                <w:rStyle w:val="Emphasis"/>
                <w:lang w:val="en-GB"/>
              </w:rPr>
              <w:t>N</w:t>
            </w:r>
          </w:p>
        </w:tc>
        <w:tc>
          <w:tcPr>
            <w:tcW w:w="1191" w:type="dxa"/>
          </w:tcPr>
          <w:p w14:paraId="42BF6357"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always</w:t>
            </w:r>
          </w:p>
        </w:tc>
        <w:tc>
          <w:tcPr>
            <w:tcW w:w="1247" w:type="dxa"/>
          </w:tcPr>
          <w:p w14:paraId="4352D6FF"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usually</w:t>
            </w:r>
          </w:p>
        </w:tc>
        <w:tc>
          <w:tcPr>
            <w:tcW w:w="1588" w:type="dxa"/>
          </w:tcPr>
          <w:p w14:paraId="5C0EDF09"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Yes, sometimes</w:t>
            </w:r>
          </w:p>
        </w:tc>
        <w:tc>
          <w:tcPr>
            <w:tcW w:w="1077" w:type="dxa"/>
          </w:tcPr>
          <w:p w14:paraId="418F3369"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No</w:t>
            </w:r>
          </w:p>
        </w:tc>
        <w:tc>
          <w:tcPr>
            <w:tcW w:w="1247" w:type="dxa"/>
          </w:tcPr>
          <w:p w14:paraId="2DB42680"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Unsure</w:t>
            </w:r>
          </w:p>
        </w:tc>
        <w:tc>
          <w:tcPr>
            <w:tcW w:w="1361" w:type="dxa"/>
          </w:tcPr>
          <w:p w14:paraId="7335D0CB" w14:textId="77777777" w:rsidR="00A2531F" w:rsidRPr="00882F81" w:rsidRDefault="00A2531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882F81">
              <w:t>% Strong yes</w:t>
            </w:r>
            <w:r w:rsidRPr="00882F81">
              <w:rPr>
                <w:vertAlign w:val="superscript"/>
              </w:rPr>
              <w:t>a</w:t>
            </w:r>
          </w:p>
        </w:tc>
      </w:tr>
      <w:tr w:rsidR="00B1367E" w:rsidRPr="00882F81" w14:paraId="1AD30BA8"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44AF15C9" w14:textId="77777777" w:rsidR="00B1367E" w:rsidRPr="00882F81" w:rsidRDefault="00B1367E" w:rsidP="005649C9">
            <w:pPr>
              <w:pStyle w:val="Tablebody"/>
              <w:rPr>
                <w:rFonts w:cs="Open Sans"/>
                <w:szCs w:val="18"/>
                <w:lang w:val="en-GB"/>
              </w:rPr>
            </w:pPr>
            <w:r w:rsidRPr="00882F81">
              <w:rPr>
                <w:rFonts w:cs="Open Sans"/>
                <w:szCs w:val="18"/>
              </w:rPr>
              <w:t>V4</w:t>
            </w:r>
          </w:p>
        </w:tc>
        <w:tc>
          <w:tcPr>
            <w:tcW w:w="4932" w:type="dxa"/>
          </w:tcPr>
          <w:p w14:paraId="0BE38D6D" w14:textId="77777777"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Stalking by repeatedly following/watching at home/work</w:t>
            </w:r>
          </w:p>
        </w:tc>
        <w:tc>
          <w:tcPr>
            <w:tcW w:w="737" w:type="dxa"/>
          </w:tcPr>
          <w:p w14:paraId="33B53410" w14:textId="77777777"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850" w:type="dxa"/>
          </w:tcPr>
          <w:p w14:paraId="499B1CC2" w14:textId="77777777"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191" w:type="dxa"/>
          </w:tcPr>
          <w:p w14:paraId="6540C80D" w14:textId="218BABB0"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72.75</w:t>
            </w:r>
          </w:p>
        </w:tc>
        <w:tc>
          <w:tcPr>
            <w:tcW w:w="1247" w:type="dxa"/>
          </w:tcPr>
          <w:p w14:paraId="31E73517" w14:textId="2397E3B0"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13.45</w:t>
            </w:r>
          </w:p>
        </w:tc>
        <w:tc>
          <w:tcPr>
            <w:tcW w:w="1588" w:type="dxa"/>
          </w:tcPr>
          <w:p w14:paraId="473F30D8" w14:textId="15582EBE"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6.00</w:t>
            </w:r>
          </w:p>
        </w:tc>
        <w:tc>
          <w:tcPr>
            <w:tcW w:w="1077" w:type="dxa"/>
          </w:tcPr>
          <w:p w14:paraId="1A96013C" w14:textId="2466D11E"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6.81</w:t>
            </w:r>
          </w:p>
        </w:tc>
        <w:tc>
          <w:tcPr>
            <w:tcW w:w="1247" w:type="dxa"/>
          </w:tcPr>
          <w:p w14:paraId="081E60F8" w14:textId="0873F71F"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0.91</w:t>
            </w:r>
            <w:r w:rsidRPr="00882F81">
              <w:rPr>
                <w:rFonts w:cs="Open Sans"/>
                <w:szCs w:val="18"/>
                <w:vertAlign w:val="superscript"/>
              </w:rPr>
              <w:t>b</w:t>
            </w:r>
          </w:p>
        </w:tc>
        <w:tc>
          <w:tcPr>
            <w:tcW w:w="1361" w:type="dxa"/>
          </w:tcPr>
          <w:p w14:paraId="4D323975" w14:textId="7CB35FED" w:rsidR="00B1367E" w:rsidRPr="00882F81" w:rsidRDefault="00B1367E"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86.20</w:t>
            </w:r>
          </w:p>
        </w:tc>
      </w:tr>
      <w:tr w:rsidR="006038DD" w:rsidRPr="00882F81" w14:paraId="2155B9ED"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523FA275" w14:textId="47198486" w:rsidR="006038DD" w:rsidRPr="00882F81" w:rsidRDefault="006038DD" w:rsidP="005649C9">
            <w:pPr>
              <w:pStyle w:val="Tablebody"/>
              <w:rPr>
                <w:rFonts w:cs="Open Sans"/>
                <w:szCs w:val="18"/>
              </w:rPr>
            </w:pPr>
            <w:r w:rsidRPr="00882F81">
              <w:rPr>
                <w:rFonts w:cs="Open Sans"/>
                <w:szCs w:val="18"/>
              </w:rPr>
              <w:t>V4</w:t>
            </w:r>
          </w:p>
        </w:tc>
        <w:tc>
          <w:tcPr>
            <w:tcW w:w="4932" w:type="dxa"/>
          </w:tcPr>
          <w:p w14:paraId="6E484A80" w14:textId="02DC20FE"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Stalking by repeatedly following/watching at home/work</w:t>
            </w:r>
          </w:p>
        </w:tc>
        <w:tc>
          <w:tcPr>
            <w:tcW w:w="737" w:type="dxa"/>
          </w:tcPr>
          <w:p w14:paraId="665F1532" w14:textId="51EA628D"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850" w:type="dxa"/>
          </w:tcPr>
          <w:p w14:paraId="68BD1360" w14:textId="27D3907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191" w:type="dxa"/>
          </w:tcPr>
          <w:p w14:paraId="389D3F83" w14:textId="7A5B175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78.32</w:t>
            </w:r>
          </w:p>
        </w:tc>
        <w:tc>
          <w:tcPr>
            <w:tcW w:w="1247" w:type="dxa"/>
          </w:tcPr>
          <w:p w14:paraId="039A652D" w14:textId="139CA368"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10.99</w:t>
            </w:r>
          </w:p>
        </w:tc>
        <w:tc>
          <w:tcPr>
            <w:tcW w:w="1588" w:type="dxa"/>
          </w:tcPr>
          <w:p w14:paraId="552827FE" w14:textId="7B35850D"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5.63</w:t>
            </w:r>
          </w:p>
        </w:tc>
        <w:tc>
          <w:tcPr>
            <w:tcW w:w="1077" w:type="dxa"/>
          </w:tcPr>
          <w:p w14:paraId="00932168" w14:textId="4F3E2D5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3.97</w:t>
            </w:r>
          </w:p>
        </w:tc>
        <w:tc>
          <w:tcPr>
            <w:tcW w:w="1247" w:type="dxa"/>
          </w:tcPr>
          <w:p w14:paraId="27753600" w14:textId="1F5F73D9"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0.94</w:t>
            </w:r>
          </w:p>
        </w:tc>
        <w:tc>
          <w:tcPr>
            <w:tcW w:w="1361" w:type="dxa"/>
          </w:tcPr>
          <w:p w14:paraId="56A55FB6" w14:textId="2BEC199C"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89.31</w:t>
            </w:r>
          </w:p>
        </w:tc>
      </w:tr>
      <w:tr w:rsidR="006038DD" w:rsidRPr="00882F81" w14:paraId="4BB83411"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3A9B74D1" w14:textId="77777777" w:rsidR="006038DD" w:rsidRPr="00EC044C" w:rsidRDefault="006038DD" w:rsidP="005649C9">
            <w:pPr>
              <w:pStyle w:val="Tablebody"/>
              <w:rPr>
                <w:rFonts w:cs="Open Sans"/>
                <w:szCs w:val="18"/>
              </w:rPr>
            </w:pPr>
            <w:r w:rsidRPr="00882F81">
              <w:rPr>
                <w:rFonts w:cs="Open Sans"/>
                <w:szCs w:val="18"/>
              </w:rPr>
              <w:t>V5</w:t>
            </w:r>
          </w:p>
        </w:tc>
        <w:tc>
          <w:tcPr>
            <w:tcW w:w="4932" w:type="dxa"/>
          </w:tcPr>
          <w:p w14:paraId="78DD48B8"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Harassment via repeated emails, text messages etc.</w:t>
            </w:r>
          </w:p>
        </w:tc>
        <w:tc>
          <w:tcPr>
            <w:tcW w:w="737" w:type="dxa"/>
          </w:tcPr>
          <w:p w14:paraId="5C3BB008"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850" w:type="dxa"/>
          </w:tcPr>
          <w:p w14:paraId="78DD000A"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191" w:type="dxa"/>
          </w:tcPr>
          <w:p w14:paraId="238B352E" w14:textId="59D1A6DE"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59.75*</w:t>
            </w:r>
          </w:p>
        </w:tc>
        <w:tc>
          <w:tcPr>
            <w:tcW w:w="1247" w:type="dxa"/>
          </w:tcPr>
          <w:p w14:paraId="160157A7" w14:textId="65B29CCD"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18.87</w:t>
            </w:r>
          </w:p>
        </w:tc>
        <w:tc>
          <w:tcPr>
            <w:tcW w:w="1588" w:type="dxa"/>
          </w:tcPr>
          <w:p w14:paraId="3ED09C6F" w14:textId="47FC74F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12.79</w:t>
            </w:r>
          </w:p>
        </w:tc>
        <w:tc>
          <w:tcPr>
            <w:tcW w:w="1077" w:type="dxa"/>
          </w:tcPr>
          <w:p w14:paraId="0BCEDFF6" w14:textId="49612362"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8.03</w:t>
            </w:r>
          </w:p>
        </w:tc>
        <w:tc>
          <w:tcPr>
            <w:tcW w:w="1247" w:type="dxa"/>
          </w:tcPr>
          <w:p w14:paraId="3B255A0B" w14:textId="63DC02A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0.56</w:t>
            </w:r>
            <w:r w:rsidRPr="00882F81">
              <w:rPr>
                <w:rFonts w:cs="Open Sans"/>
                <w:szCs w:val="18"/>
                <w:vertAlign w:val="superscript"/>
              </w:rPr>
              <w:t>b</w:t>
            </w:r>
          </w:p>
        </w:tc>
        <w:tc>
          <w:tcPr>
            <w:tcW w:w="1361" w:type="dxa"/>
          </w:tcPr>
          <w:p w14:paraId="3F055C71" w14:textId="7A57F169"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78.62</w:t>
            </w:r>
          </w:p>
        </w:tc>
      </w:tr>
      <w:tr w:rsidR="006038DD" w:rsidRPr="00882F81" w14:paraId="58A04231"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662B77E8" w14:textId="7F9FD1B5" w:rsidR="006038DD" w:rsidRPr="00882F81" w:rsidRDefault="006038DD" w:rsidP="005649C9">
            <w:pPr>
              <w:pStyle w:val="Tablebody"/>
              <w:rPr>
                <w:rFonts w:cs="Open Sans"/>
                <w:szCs w:val="18"/>
              </w:rPr>
            </w:pPr>
            <w:r w:rsidRPr="00882F81">
              <w:rPr>
                <w:rFonts w:cs="Open Sans"/>
                <w:szCs w:val="18"/>
              </w:rPr>
              <w:t>V5</w:t>
            </w:r>
          </w:p>
        </w:tc>
        <w:tc>
          <w:tcPr>
            <w:tcW w:w="4932" w:type="dxa"/>
          </w:tcPr>
          <w:p w14:paraId="2CA3E257" w14:textId="67B87C51"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Harassment via repeated emails, text messages etc.</w:t>
            </w:r>
          </w:p>
        </w:tc>
        <w:tc>
          <w:tcPr>
            <w:tcW w:w="737" w:type="dxa"/>
          </w:tcPr>
          <w:p w14:paraId="262EDC07" w14:textId="2B8612C8"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850" w:type="dxa"/>
          </w:tcPr>
          <w:p w14:paraId="6EBBC9C3" w14:textId="518B56F3"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191" w:type="dxa"/>
          </w:tcPr>
          <w:p w14:paraId="35383A26" w14:textId="69938F6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69.53*</w:t>
            </w:r>
          </w:p>
        </w:tc>
        <w:tc>
          <w:tcPr>
            <w:tcW w:w="1247" w:type="dxa"/>
          </w:tcPr>
          <w:p w14:paraId="491B8478" w14:textId="5CF053AE"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15.56</w:t>
            </w:r>
          </w:p>
        </w:tc>
        <w:tc>
          <w:tcPr>
            <w:tcW w:w="1588" w:type="dxa"/>
          </w:tcPr>
          <w:p w14:paraId="3FB5C011" w14:textId="0AC71314"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8.51</w:t>
            </w:r>
          </w:p>
        </w:tc>
        <w:tc>
          <w:tcPr>
            <w:tcW w:w="1077" w:type="dxa"/>
          </w:tcPr>
          <w:p w14:paraId="3A96292A" w14:textId="1233AA14"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5.23</w:t>
            </w:r>
          </w:p>
        </w:tc>
        <w:tc>
          <w:tcPr>
            <w:tcW w:w="1247" w:type="dxa"/>
          </w:tcPr>
          <w:p w14:paraId="2DB5F3B2" w14:textId="6310838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1.06</w:t>
            </w:r>
          </w:p>
        </w:tc>
        <w:tc>
          <w:tcPr>
            <w:tcW w:w="1361" w:type="dxa"/>
          </w:tcPr>
          <w:p w14:paraId="3852B96C" w14:textId="0B91B539"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85.09</w:t>
            </w:r>
          </w:p>
        </w:tc>
      </w:tr>
      <w:tr w:rsidR="006038DD" w:rsidRPr="00882F81" w14:paraId="4195271E"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76A4B953" w14:textId="77777777" w:rsidR="006038DD" w:rsidRPr="00EC044C" w:rsidRDefault="006038DD" w:rsidP="005649C9">
            <w:pPr>
              <w:pStyle w:val="Tablebody"/>
              <w:rPr>
                <w:rFonts w:cs="Open Sans"/>
                <w:szCs w:val="18"/>
              </w:rPr>
            </w:pPr>
            <w:r w:rsidRPr="00882F81">
              <w:rPr>
                <w:rFonts w:cs="Open Sans"/>
                <w:szCs w:val="18"/>
              </w:rPr>
              <w:t>V7</w:t>
            </w:r>
          </w:p>
        </w:tc>
        <w:tc>
          <w:tcPr>
            <w:tcW w:w="4932" w:type="dxa"/>
          </w:tcPr>
          <w:p w14:paraId="2866A788" w14:textId="5A4C2F9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A man sends an unwanted picture of his genitals to</w:t>
            </w:r>
            <w:r>
              <w:rPr>
                <w:rFonts w:cs="Open Sans"/>
                <w:szCs w:val="18"/>
                <w:lang w:val="en-US"/>
              </w:rPr>
              <w:t> </w:t>
            </w:r>
            <w:r w:rsidRPr="00882F81">
              <w:rPr>
                <w:rFonts w:cs="Open Sans"/>
                <w:szCs w:val="18"/>
                <w:lang w:val="en-US"/>
              </w:rPr>
              <w:t>a</w:t>
            </w:r>
            <w:r>
              <w:rPr>
                <w:rFonts w:cs="Open Sans"/>
                <w:szCs w:val="18"/>
                <w:lang w:val="en-US"/>
              </w:rPr>
              <w:t> </w:t>
            </w:r>
            <w:r w:rsidRPr="00882F81">
              <w:rPr>
                <w:rFonts w:cs="Open Sans"/>
                <w:szCs w:val="18"/>
                <w:lang w:val="en-US"/>
              </w:rPr>
              <w:t>woman</w:t>
            </w:r>
          </w:p>
        </w:tc>
        <w:tc>
          <w:tcPr>
            <w:tcW w:w="737" w:type="dxa"/>
          </w:tcPr>
          <w:p w14:paraId="0535C1FC"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850" w:type="dxa"/>
          </w:tcPr>
          <w:p w14:paraId="7A5F8F26"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191" w:type="dxa"/>
          </w:tcPr>
          <w:p w14:paraId="09C150C5" w14:textId="1829BC28"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61.57</w:t>
            </w:r>
          </w:p>
        </w:tc>
        <w:tc>
          <w:tcPr>
            <w:tcW w:w="1247" w:type="dxa"/>
          </w:tcPr>
          <w:p w14:paraId="501A4C80" w14:textId="52FFB51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14.25</w:t>
            </w:r>
          </w:p>
        </w:tc>
        <w:tc>
          <w:tcPr>
            <w:tcW w:w="1588" w:type="dxa"/>
          </w:tcPr>
          <w:p w14:paraId="3CE76A29" w14:textId="796F7534"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13.10</w:t>
            </w:r>
          </w:p>
        </w:tc>
        <w:tc>
          <w:tcPr>
            <w:tcW w:w="1077" w:type="dxa"/>
          </w:tcPr>
          <w:p w14:paraId="04A0537F" w14:textId="2472C81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10.03</w:t>
            </w:r>
          </w:p>
        </w:tc>
        <w:tc>
          <w:tcPr>
            <w:tcW w:w="1247" w:type="dxa"/>
          </w:tcPr>
          <w:p w14:paraId="193BFFB3" w14:textId="0A5EA8D2"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1.04</w:t>
            </w:r>
            <w:r w:rsidRPr="00882F81">
              <w:rPr>
                <w:rFonts w:cs="Open Sans"/>
                <w:szCs w:val="18"/>
                <w:vertAlign w:val="superscript"/>
              </w:rPr>
              <w:t>b</w:t>
            </w:r>
          </w:p>
        </w:tc>
        <w:tc>
          <w:tcPr>
            <w:tcW w:w="1361" w:type="dxa"/>
          </w:tcPr>
          <w:p w14:paraId="33E05E79" w14:textId="7F77567A"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75.82</w:t>
            </w:r>
          </w:p>
        </w:tc>
      </w:tr>
      <w:tr w:rsidR="006038DD" w:rsidRPr="00882F81" w14:paraId="120C45CB"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77D17915" w14:textId="0ECD9D41" w:rsidR="006038DD" w:rsidRPr="00882F81" w:rsidRDefault="006038DD" w:rsidP="005649C9">
            <w:pPr>
              <w:pStyle w:val="Tablebody"/>
              <w:rPr>
                <w:rFonts w:cs="Open Sans"/>
                <w:szCs w:val="18"/>
              </w:rPr>
            </w:pPr>
            <w:r w:rsidRPr="00882F81">
              <w:rPr>
                <w:rFonts w:cs="Open Sans"/>
                <w:szCs w:val="18"/>
              </w:rPr>
              <w:lastRenderedPageBreak/>
              <w:t>V7</w:t>
            </w:r>
          </w:p>
        </w:tc>
        <w:tc>
          <w:tcPr>
            <w:tcW w:w="4932" w:type="dxa"/>
          </w:tcPr>
          <w:p w14:paraId="3A1F0AA6" w14:textId="505915E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A man sends an unwanted picture of his genitals to</w:t>
            </w:r>
            <w:r>
              <w:rPr>
                <w:rFonts w:cs="Open Sans"/>
                <w:szCs w:val="18"/>
                <w:lang w:val="en-US"/>
              </w:rPr>
              <w:t> </w:t>
            </w:r>
            <w:r w:rsidRPr="00882F81">
              <w:rPr>
                <w:rFonts w:cs="Open Sans"/>
                <w:szCs w:val="18"/>
                <w:lang w:val="en-US"/>
              </w:rPr>
              <w:t>a</w:t>
            </w:r>
            <w:r>
              <w:rPr>
                <w:rFonts w:cs="Open Sans"/>
                <w:szCs w:val="18"/>
                <w:lang w:val="en-US"/>
              </w:rPr>
              <w:t> </w:t>
            </w:r>
            <w:r w:rsidRPr="00882F81">
              <w:rPr>
                <w:rFonts w:cs="Open Sans"/>
                <w:szCs w:val="18"/>
                <w:lang w:val="en-US"/>
              </w:rPr>
              <w:t>woman</w:t>
            </w:r>
          </w:p>
        </w:tc>
        <w:tc>
          <w:tcPr>
            <w:tcW w:w="737" w:type="dxa"/>
          </w:tcPr>
          <w:p w14:paraId="53E84B0F" w14:textId="04A92146"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850" w:type="dxa"/>
          </w:tcPr>
          <w:p w14:paraId="1194669A" w14:textId="676E274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191" w:type="dxa"/>
          </w:tcPr>
          <w:p w14:paraId="0530E7DB" w14:textId="07E6FA56"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69.26</w:t>
            </w:r>
          </w:p>
        </w:tc>
        <w:tc>
          <w:tcPr>
            <w:tcW w:w="1247" w:type="dxa"/>
          </w:tcPr>
          <w:p w14:paraId="403B8218" w14:textId="431E79A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11.15</w:t>
            </w:r>
          </w:p>
        </w:tc>
        <w:tc>
          <w:tcPr>
            <w:tcW w:w="1588" w:type="dxa"/>
          </w:tcPr>
          <w:p w14:paraId="45FA9BC6" w14:textId="032DCF4B"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8.51</w:t>
            </w:r>
          </w:p>
        </w:tc>
        <w:tc>
          <w:tcPr>
            <w:tcW w:w="1077" w:type="dxa"/>
          </w:tcPr>
          <w:p w14:paraId="3A36D897" w14:textId="0F7618A3"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8.65</w:t>
            </w:r>
          </w:p>
        </w:tc>
        <w:tc>
          <w:tcPr>
            <w:tcW w:w="1247" w:type="dxa"/>
          </w:tcPr>
          <w:p w14:paraId="651FF4A4" w14:textId="409BD506"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2.29</w:t>
            </w:r>
          </w:p>
        </w:tc>
        <w:tc>
          <w:tcPr>
            <w:tcW w:w="1361" w:type="dxa"/>
          </w:tcPr>
          <w:p w14:paraId="15F924FA" w14:textId="35480D5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80.41</w:t>
            </w:r>
          </w:p>
        </w:tc>
      </w:tr>
      <w:tr w:rsidR="006038DD" w:rsidRPr="00882F81" w14:paraId="52FA7E33"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392159A8" w14:textId="77777777" w:rsidR="006038DD" w:rsidRPr="00882F81" w:rsidRDefault="006038DD" w:rsidP="005649C9">
            <w:pPr>
              <w:pStyle w:val="Tablebody"/>
              <w:rPr>
                <w:rFonts w:cs="Open Sans"/>
                <w:szCs w:val="18"/>
                <w:lang w:val="en-GB"/>
              </w:rPr>
            </w:pPr>
            <w:r w:rsidRPr="00882F81">
              <w:rPr>
                <w:rFonts w:cs="Open Sans"/>
                <w:szCs w:val="18"/>
              </w:rPr>
              <w:t>V6</w:t>
            </w:r>
          </w:p>
        </w:tc>
        <w:tc>
          <w:tcPr>
            <w:tcW w:w="4932" w:type="dxa"/>
          </w:tcPr>
          <w:p w14:paraId="4F795FD7" w14:textId="2143879E"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lang w:val="en-US"/>
              </w:rPr>
              <w:t>Abusive messages or comments targeted at women on</w:t>
            </w:r>
            <w:r>
              <w:rPr>
                <w:rFonts w:cs="Open Sans"/>
                <w:szCs w:val="18"/>
                <w:lang w:val="en-US"/>
              </w:rPr>
              <w:t> </w:t>
            </w:r>
            <w:r w:rsidRPr="00882F81">
              <w:rPr>
                <w:rFonts w:cs="Open Sans"/>
                <w:szCs w:val="18"/>
                <w:lang w:val="en-US"/>
              </w:rPr>
              <w:t>social media</w:t>
            </w:r>
          </w:p>
        </w:tc>
        <w:tc>
          <w:tcPr>
            <w:tcW w:w="737" w:type="dxa"/>
          </w:tcPr>
          <w:p w14:paraId="7E5EA4D3"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16–24</w:t>
            </w:r>
          </w:p>
        </w:tc>
        <w:tc>
          <w:tcPr>
            <w:tcW w:w="850" w:type="dxa"/>
          </w:tcPr>
          <w:p w14:paraId="0FE63E2C" w14:textId="7777777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1,669</w:t>
            </w:r>
          </w:p>
        </w:tc>
        <w:tc>
          <w:tcPr>
            <w:tcW w:w="1191" w:type="dxa"/>
          </w:tcPr>
          <w:p w14:paraId="09115F0F" w14:textId="71250E8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60.31</w:t>
            </w:r>
          </w:p>
        </w:tc>
        <w:tc>
          <w:tcPr>
            <w:tcW w:w="1247" w:type="dxa"/>
          </w:tcPr>
          <w:p w14:paraId="7A11999D" w14:textId="3A09A389"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19.86</w:t>
            </w:r>
          </w:p>
        </w:tc>
        <w:tc>
          <w:tcPr>
            <w:tcW w:w="1588" w:type="dxa"/>
          </w:tcPr>
          <w:p w14:paraId="5C70CCD7" w14:textId="3202F7F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12.60</w:t>
            </w:r>
          </w:p>
        </w:tc>
        <w:tc>
          <w:tcPr>
            <w:tcW w:w="1077" w:type="dxa"/>
          </w:tcPr>
          <w:p w14:paraId="3F0DD75D" w14:textId="1733A96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6.63</w:t>
            </w:r>
          </w:p>
        </w:tc>
        <w:tc>
          <w:tcPr>
            <w:tcW w:w="1247" w:type="dxa"/>
          </w:tcPr>
          <w:p w14:paraId="1100D7C8" w14:textId="6C7F4632"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882F81">
              <w:rPr>
                <w:rFonts w:cs="Open Sans"/>
                <w:szCs w:val="18"/>
              </w:rPr>
              <w:t>0.55</w:t>
            </w:r>
            <w:r w:rsidRPr="00882F81">
              <w:rPr>
                <w:rFonts w:cs="Open Sans"/>
                <w:szCs w:val="18"/>
                <w:vertAlign w:val="superscript"/>
              </w:rPr>
              <w:t>b</w:t>
            </w:r>
          </w:p>
        </w:tc>
        <w:tc>
          <w:tcPr>
            <w:tcW w:w="1361" w:type="dxa"/>
          </w:tcPr>
          <w:p w14:paraId="32611F4C" w14:textId="2E0D9AB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82F81">
              <w:rPr>
                <w:rFonts w:cs="Open Sans"/>
                <w:szCs w:val="18"/>
              </w:rPr>
              <w:t>80.18</w:t>
            </w:r>
          </w:p>
        </w:tc>
      </w:tr>
      <w:tr w:rsidR="006038DD" w:rsidRPr="00882F81" w14:paraId="49FB7652"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00324F70" w14:textId="2086F4A1" w:rsidR="006038DD" w:rsidRPr="00882F81" w:rsidRDefault="006038DD" w:rsidP="005649C9">
            <w:pPr>
              <w:pStyle w:val="Tablebody"/>
              <w:rPr>
                <w:rFonts w:cs="Open Sans"/>
                <w:szCs w:val="18"/>
              </w:rPr>
            </w:pPr>
            <w:r w:rsidRPr="00882F81">
              <w:rPr>
                <w:rFonts w:cs="Open Sans"/>
                <w:szCs w:val="18"/>
              </w:rPr>
              <w:t>V6</w:t>
            </w:r>
          </w:p>
        </w:tc>
        <w:tc>
          <w:tcPr>
            <w:tcW w:w="4932" w:type="dxa"/>
          </w:tcPr>
          <w:p w14:paraId="251E2AE5" w14:textId="605882D7"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82F81">
              <w:rPr>
                <w:rFonts w:cs="Open Sans"/>
                <w:szCs w:val="18"/>
                <w:lang w:val="en-US"/>
              </w:rPr>
              <w:t>Abusive messages or comments targeted at women on</w:t>
            </w:r>
            <w:r>
              <w:rPr>
                <w:rFonts w:cs="Open Sans"/>
                <w:szCs w:val="18"/>
                <w:lang w:val="en-US"/>
              </w:rPr>
              <w:t> </w:t>
            </w:r>
            <w:r w:rsidRPr="00882F81">
              <w:rPr>
                <w:rFonts w:cs="Open Sans"/>
                <w:szCs w:val="18"/>
                <w:lang w:val="en-US"/>
              </w:rPr>
              <w:t>social media</w:t>
            </w:r>
          </w:p>
        </w:tc>
        <w:tc>
          <w:tcPr>
            <w:tcW w:w="737" w:type="dxa"/>
          </w:tcPr>
          <w:p w14:paraId="1160574E" w14:textId="3B97DCC0"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25+</w:t>
            </w:r>
          </w:p>
        </w:tc>
        <w:tc>
          <w:tcPr>
            <w:tcW w:w="850" w:type="dxa"/>
          </w:tcPr>
          <w:p w14:paraId="38021178" w14:textId="4BFC92A2"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17,431</w:t>
            </w:r>
          </w:p>
        </w:tc>
        <w:tc>
          <w:tcPr>
            <w:tcW w:w="1191" w:type="dxa"/>
          </w:tcPr>
          <w:p w14:paraId="42650308" w14:textId="3392255F"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68.76</w:t>
            </w:r>
          </w:p>
        </w:tc>
        <w:tc>
          <w:tcPr>
            <w:tcW w:w="1247" w:type="dxa"/>
          </w:tcPr>
          <w:p w14:paraId="38322CF6" w14:textId="08B08329"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14.79</w:t>
            </w:r>
          </w:p>
        </w:tc>
        <w:tc>
          <w:tcPr>
            <w:tcW w:w="1588" w:type="dxa"/>
          </w:tcPr>
          <w:p w14:paraId="77F3B826" w14:textId="76A4609B"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9.50</w:t>
            </w:r>
          </w:p>
        </w:tc>
        <w:tc>
          <w:tcPr>
            <w:tcW w:w="1077" w:type="dxa"/>
          </w:tcPr>
          <w:p w14:paraId="5BEC8164" w14:textId="1B1B1AAA"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5.65</w:t>
            </w:r>
          </w:p>
        </w:tc>
        <w:tc>
          <w:tcPr>
            <w:tcW w:w="1247" w:type="dxa"/>
          </w:tcPr>
          <w:p w14:paraId="1B2CAF46" w14:textId="79DAA513"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1.14</w:t>
            </w:r>
          </w:p>
        </w:tc>
        <w:tc>
          <w:tcPr>
            <w:tcW w:w="1361" w:type="dxa"/>
          </w:tcPr>
          <w:p w14:paraId="1C4CD105" w14:textId="53FBC861" w:rsidR="006038DD" w:rsidRPr="00882F81"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82F81">
              <w:rPr>
                <w:rFonts w:cs="Open Sans"/>
                <w:szCs w:val="18"/>
              </w:rPr>
              <w:t>83.55</w:t>
            </w:r>
          </w:p>
        </w:tc>
      </w:tr>
    </w:tbl>
    <w:p w14:paraId="59118872" w14:textId="77777777" w:rsidR="00882F81" w:rsidRPr="00882F81" w:rsidRDefault="00882F81" w:rsidP="001D5BB5">
      <w:pPr>
        <w:pStyle w:val="datatablenote"/>
      </w:pPr>
      <w:r w:rsidRPr="00882F81">
        <w:rPr>
          <w:b/>
        </w:rPr>
        <w:t>Note:</w:t>
      </w:r>
      <w:r w:rsidRPr="00882F81">
        <w:t xml:space="preserve"> Numbers in bold reflect the significantly higher value in the comparison. </w:t>
      </w:r>
    </w:p>
    <w:p w14:paraId="10AC69C4" w14:textId="77777777" w:rsidR="00882F81" w:rsidRPr="00882F81" w:rsidRDefault="00882F81" w:rsidP="001D5BB5">
      <w:pPr>
        <w:pStyle w:val="datatablenote"/>
      </w:pPr>
      <w:r w:rsidRPr="00882F81">
        <w:t xml:space="preserve">Percentages may not add to 100 as “unanswered” category is not shown in the table. </w:t>
      </w:r>
    </w:p>
    <w:p w14:paraId="41624158" w14:textId="77777777" w:rsidR="00882F81" w:rsidRPr="00882F81" w:rsidRDefault="00882F81" w:rsidP="001D5BB5">
      <w:pPr>
        <w:pStyle w:val="datatablenote"/>
      </w:pPr>
      <w:r w:rsidRPr="00882F81">
        <w:rPr>
          <w:b/>
        </w:rPr>
        <w:t>a</w:t>
      </w:r>
      <w:r w:rsidRPr="00882F81">
        <w:t xml:space="preserve"> “Strong yes” refers to answering “yes” either “always” or “usually”. </w:t>
      </w:r>
    </w:p>
    <w:p w14:paraId="7171AF32" w14:textId="77777777" w:rsidR="00882F81" w:rsidRPr="00882F81" w:rsidRDefault="00882F81" w:rsidP="001D5BB5">
      <w:pPr>
        <w:pStyle w:val="datatablenote"/>
      </w:pPr>
      <w:r w:rsidRPr="00882F81">
        <w:rPr>
          <w:b/>
        </w:rPr>
        <w:t>b</w:t>
      </w:r>
      <w:r w:rsidRPr="00882F81">
        <w:t xml:space="preserve"> This result should be interpreted with caution because it has a relative standard error &gt;25%.</w:t>
      </w:r>
    </w:p>
    <w:p w14:paraId="315B1663" w14:textId="77777777" w:rsidR="00882F81" w:rsidRPr="00882F81" w:rsidRDefault="00882F81" w:rsidP="001D5BB5">
      <w:pPr>
        <w:pStyle w:val="datatablenote"/>
      </w:pPr>
      <w:r w:rsidRPr="00882F81">
        <w:t xml:space="preserve">* Statistically significant difference between 16- to 24-year olds and 25+ year-olds. </w:t>
      </w:r>
    </w:p>
    <w:p w14:paraId="083B801B" w14:textId="568A26CE" w:rsidR="00A4488C" w:rsidRPr="009F61EC" w:rsidRDefault="00882F81" w:rsidP="001D5BB5">
      <w:pPr>
        <w:pStyle w:val="datatablenote"/>
      </w:pPr>
      <w:r w:rsidRPr="00882F81">
        <w:rPr>
          <w:rFonts w:ascii="Montserrat" w:hAnsi="Montserrat" w:cs="Montserrat"/>
        </w:rPr>
        <w:t>~</w:t>
      </w:r>
      <w:r w:rsidRPr="00882F81">
        <w:t xml:space="preserve"> Asked of one quarter of the sample.</w:t>
      </w:r>
    </w:p>
    <w:p w14:paraId="46363E04" w14:textId="02FED9CA" w:rsidR="006966C5" w:rsidRPr="001D5BB5" w:rsidRDefault="006966C5" w:rsidP="00F5214A">
      <w:pPr>
        <w:pStyle w:val="TableheadingTablesandfigures"/>
      </w:pPr>
      <w:bookmarkStart w:id="265" w:name="_Toc187402250"/>
      <w:r w:rsidRPr="001D5BB5">
        <w:t xml:space="preserve">Table </w:t>
      </w:r>
      <w:r w:rsidR="004A7ED7" w:rsidRPr="001D5BB5">
        <w:fldChar w:fldCharType="begin"/>
      </w:r>
      <w:r w:rsidR="004A7ED7" w:rsidRPr="001D5BB5">
        <w:instrText xml:space="preserve"> STYLEREF 1 \s </w:instrText>
      </w:r>
      <w:r w:rsidR="004A7ED7" w:rsidRPr="001D5BB5">
        <w:fldChar w:fldCharType="separate"/>
      </w:r>
      <w:r w:rsidR="004A7ED7" w:rsidRPr="001D5BB5">
        <w:t>14</w:t>
      </w:r>
      <w:r w:rsidR="004A7ED7" w:rsidRPr="001D5BB5">
        <w:fldChar w:fldCharType="end"/>
      </w:r>
      <w:r w:rsidR="003B15D6" w:rsidRPr="001D5BB5">
        <w:t>-</w:t>
      </w:r>
      <w:r w:rsidR="004A7ED7" w:rsidRPr="001D5BB5">
        <w:fldChar w:fldCharType="begin"/>
      </w:r>
      <w:r w:rsidR="004A7ED7" w:rsidRPr="001D5BB5">
        <w:instrText xml:space="preserve"> SEQ Table \* ARABIC \s 1 </w:instrText>
      </w:r>
      <w:r w:rsidR="004A7ED7" w:rsidRPr="001D5BB5">
        <w:fldChar w:fldCharType="separate"/>
      </w:r>
      <w:r w:rsidR="004A7ED7" w:rsidRPr="001D5BB5">
        <w:t>2</w:t>
      </w:r>
      <w:r w:rsidR="004A7ED7" w:rsidRPr="001D5BB5">
        <w:fldChar w:fldCharType="end"/>
      </w:r>
      <w:r w:rsidRPr="001D5BB5">
        <w:t xml:space="preserve">: </w:t>
      </w:r>
      <w:r w:rsidR="007134A4" w:rsidRPr="001D5BB5">
        <w:tab/>
      </w:r>
      <w:r w:rsidRPr="001D5BB5">
        <w:t>Understanding of gendered nature of domestic violence by age, all ages (UVAWS subscale items), 2021</w:t>
      </w:r>
      <w:bookmarkEnd w:id="265"/>
    </w:p>
    <w:p w14:paraId="57F085FC" w14:textId="49CCA87D" w:rsidR="000751E1" w:rsidRPr="000751E1" w:rsidRDefault="000751E1" w:rsidP="005649C9">
      <w:pPr>
        <w:pStyle w:val="Tablesubheading0"/>
      </w:pPr>
      <w:r w:rsidRPr="000751E1">
        <w:t xml:space="preserve">Subscale: </w:t>
      </w:r>
      <w:r>
        <w:t xml:space="preserve">Understand </w:t>
      </w:r>
      <w:r w:rsidR="00E55683">
        <w:t>G</w:t>
      </w:r>
      <w:r>
        <w:t xml:space="preserve">endered </w:t>
      </w:r>
      <w:r w:rsidR="00E55683">
        <w:t>N</w:t>
      </w:r>
      <w:r>
        <w:t xml:space="preserve">ature of </w:t>
      </w:r>
      <w:r w:rsidR="00E55683">
        <w:t>D</w:t>
      </w:r>
      <w:r>
        <w:t xml:space="preserve">omestic </w:t>
      </w:r>
      <w:r w:rsidR="00E55683">
        <w:t>V</w:t>
      </w:r>
      <w:r>
        <w:t>iolence</w:t>
      </w:r>
    </w:p>
    <w:tbl>
      <w:tblPr>
        <w:tblStyle w:val="Table-SingleHeaderRow"/>
        <w:tblW w:w="0" w:type="auto"/>
        <w:tblLayout w:type="fixed"/>
        <w:tblLook w:val="00A0" w:firstRow="1" w:lastRow="0" w:firstColumn="1" w:lastColumn="0" w:noHBand="0" w:noVBand="0"/>
      </w:tblPr>
      <w:tblGrid>
        <w:gridCol w:w="737"/>
        <w:gridCol w:w="4989"/>
        <w:gridCol w:w="737"/>
        <w:gridCol w:w="850"/>
        <w:gridCol w:w="1191"/>
        <w:gridCol w:w="1587"/>
        <w:gridCol w:w="1871"/>
        <w:gridCol w:w="1134"/>
      </w:tblGrid>
      <w:tr w:rsidR="000751E1" w:rsidRPr="006966C5" w14:paraId="4D072EC4" w14:textId="77777777" w:rsidTr="005649C9">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737" w:type="dxa"/>
          </w:tcPr>
          <w:p w14:paraId="5F4F228D" w14:textId="77777777" w:rsidR="000751E1" w:rsidRPr="006966C5" w:rsidRDefault="000751E1" w:rsidP="005649C9">
            <w:pPr>
              <w:pStyle w:val="Tablebody"/>
              <w:rPr>
                <w:b w:val="0"/>
                <w:lang w:val="en-GB"/>
              </w:rPr>
            </w:pPr>
            <w:r w:rsidRPr="006966C5">
              <w:t>Code</w:t>
            </w:r>
          </w:p>
        </w:tc>
        <w:tc>
          <w:tcPr>
            <w:tcW w:w="4989" w:type="dxa"/>
          </w:tcPr>
          <w:p w14:paraId="79ED5F8C"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Abbreviated item wording</w:t>
            </w:r>
          </w:p>
        </w:tc>
        <w:tc>
          <w:tcPr>
            <w:tcW w:w="737" w:type="dxa"/>
          </w:tcPr>
          <w:p w14:paraId="22778662"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Age</w:t>
            </w:r>
          </w:p>
        </w:tc>
        <w:tc>
          <w:tcPr>
            <w:tcW w:w="850" w:type="dxa"/>
          </w:tcPr>
          <w:p w14:paraId="5E6B0F47"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966C5">
              <w:rPr>
                <w:rStyle w:val="Emphasis"/>
                <w:lang w:val="en-GB"/>
              </w:rPr>
              <w:t>N</w:t>
            </w:r>
          </w:p>
        </w:tc>
        <w:tc>
          <w:tcPr>
            <w:tcW w:w="1191" w:type="dxa"/>
          </w:tcPr>
          <w:p w14:paraId="4C36010A"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 Women</w:t>
            </w:r>
          </w:p>
        </w:tc>
        <w:tc>
          <w:tcPr>
            <w:tcW w:w="1587" w:type="dxa"/>
          </w:tcPr>
          <w:p w14:paraId="4ED2CC33"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 Both equally</w:t>
            </w:r>
          </w:p>
        </w:tc>
        <w:tc>
          <w:tcPr>
            <w:tcW w:w="1871" w:type="dxa"/>
          </w:tcPr>
          <w:p w14:paraId="07F0AC21"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 Men (correct)</w:t>
            </w:r>
          </w:p>
        </w:tc>
        <w:tc>
          <w:tcPr>
            <w:tcW w:w="1134" w:type="dxa"/>
          </w:tcPr>
          <w:p w14:paraId="37081B2C" w14:textId="77777777" w:rsidR="000751E1" w:rsidRPr="006966C5" w:rsidRDefault="000751E1"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966C5">
              <w:t>% Unsure</w:t>
            </w:r>
          </w:p>
        </w:tc>
      </w:tr>
      <w:tr w:rsidR="000751E1" w:rsidRPr="006966C5" w14:paraId="6B9E74A0"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578589E4" w14:textId="77777777" w:rsidR="000751E1" w:rsidRPr="006966C5" w:rsidRDefault="000751E1" w:rsidP="005649C9">
            <w:pPr>
              <w:pStyle w:val="Tablebody"/>
              <w:rPr>
                <w:rFonts w:cs="Open Sans"/>
                <w:szCs w:val="18"/>
                <w:lang w:val="en-GB"/>
              </w:rPr>
            </w:pPr>
            <w:r w:rsidRPr="006966C5">
              <w:rPr>
                <w:rFonts w:cs="Open Sans"/>
                <w:szCs w:val="18"/>
              </w:rPr>
              <w:t>D13</w:t>
            </w:r>
          </w:p>
        </w:tc>
        <w:tc>
          <w:tcPr>
            <w:tcW w:w="4989" w:type="dxa"/>
          </w:tcPr>
          <w:p w14:paraId="3907D6DB" w14:textId="77777777"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lang w:val="en-US"/>
              </w:rPr>
              <w:t>Who is domestic violence mainly committed by?</w:t>
            </w:r>
            <w:r w:rsidRPr="006966C5">
              <w:rPr>
                <w:rFonts w:ascii="Montserrat" w:hAnsi="Montserrat" w:cs="Montserrat"/>
                <w:szCs w:val="18"/>
                <w:lang w:val="en-US"/>
              </w:rPr>
              <w:t>~</w:t>
            </w:r>
          </w:p>
        </w:tc>
        <w:tc>
          <w:tcPr>
            <w:tcW w:w="737" w:type="dxa"/>
          </w:tcPr>
          <w:p w14:paraId="7CCA6007" w14:textId="77777777"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16–24</w:t>
            </w:r>
          </w:p>
        </w:tc>
        <w:tc>
          <w:tcPr>
            <w:tcW w:w="850" w:type="dxa"/>
          </w:tcPr>
          <w:p w14:paraId="7AD2EFE4" w14:textId="77777777"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397</w:t>
            </w:r>
          </w:p>
        </w:tc>
        <w:tc>
          <w:tcPr>
            <w:tcW w:w="1191" w:type="dxa"/>
          </w:tcPr>
          <w:p w14:paraId="734AB130" w14:textId="6B9017FE"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0.60</w:t>
            </w:r>
            <w:r w:rsidRPr="006966C5">
              <w:rPr>
                <w:rFonts w:cs="Open Sans"/>
                <w:szCs w:val="18"/>
                <w:vertAlign w:val="superscript"/>
              </w:rPr>
              <w:t>a</w:t>
            </w:r>
          </w:p>
        </w:tc>
        <w:tc>
          <w:tcPr>
            <w:tcW w:w="1587" w:type="dxa"/>
          </w:tcPr>
          <w:p w14:paraId="2B1E7F39" w14:textId="1C7E9F35"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46.15</w:t>
            </w:r>
          </w:p>
        </w:tc>
        <w:tc>
          <w:tcPr>
            <w:tcW w:w="1871" w:type="dxa"/>
          </w:tcPr>
          <w:p w14:paraId="3E70F7A9" w14:textId="63FBC496"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52.75</w:t>
            </w:r>
          </w:p>
        </w:tc>
        <w:tc>
          <w:tcPr>
            <w:tcW w:w="1134" w:type="dxa"/>
          </w:tcPr>
          <w:p w14:paraId="593BF121" w14:textId="11F5645C"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0.33</w:t>
            </w:r>
            <w:r w:rsidRPr="006966C5">
              <w:rPr>
                <w:rFonts w:cs="Open Sans"/>
                <w:szCs w:val="18"/>
                <w:vertAlign w:val="superscript"/>
              </w:rPr>
              <w:t>a</w:t>
            </w:r>
          </w:p>
        </w:tc>
      </w:tr>
      <w:tr w:rsidR="000751E1" w:rsidRPr="006966C5" w14:paraId="6880E3B0"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357E950D" w14:textId="21C74CC2" w:rsidR="000751E1" w:rsidRPr="006966C5" w:rsidRDefault="000751E1" w:rsidP="005649C9">
            <w:pPr>
              <w:pStyle w:val="Tablebody"/>
              <w:rPr>
                <w:rFonts w:cs="Open Sans"/>
                <w:szCs w:val="18"/>
              </w:rPr>
            </w:pPr>
            <w:r w:rsidRPr="006966C5">
              <w:rPr>
                <w:rFonts w:cs="Open Sans"/>
                <w:szCs w:val="18"/>
              </w:rPr>
              <w:t>D13</w:t>
            </w:r>
          </w:p>
        </w:tc>
        <w:tc>
          <w:tcPr>
            <w:tcW w:w="4989" w:type="dxa"/>
          </w:tcPr>
          <w:p w14:paraId="5428F2E1" w14:textId="20476483"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966C5">
              <w:rPr>
                <w:rFonts w:cs="Open Sans"/>
                <w:szCs w:val="18"/>
                <w:lang w:val="en-US"/>
              </w:rPr>
              <w:t>Who is domestic violence mainly committed by?</w:t>
            </w:r>
            <w:r w:rsidRPr="006966C5">
              <w:rPr>
                <w:rFonts w:ascii="Montserrat" w:hAnsi="Montserrat" w:cs="Montserrat"/>
                <w:szCs w:val="18"/>
                <w:lang w:val="en-US"/>
              </w:rPr>
              <w:t>~</w:t>
            </w:r>
          </w:p>
        </w:tc>
        <w:tc>
          <w:tcPr>
            <w:tcW w:w="737" w:type="dxa"/>
          </w:tcPr>
          <w:p w14:paraId="41FA95CD" w14:textId="598CA22F"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25+</w:t>
            </w:r>
          </w:p>
        </w:tc>
        <w:tc>
          <w:tcPr>
            <w:tcW w:w="850" w:type="dxa"/>
          </w:tcPr>
          <w:p w14:paraId="4551C12C" w14:textId="0336CDAE"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4,380</w:t>
            </w:r>
          </w:p>
        </w:tc>
        <w:tc>
          <w:tcPr>
            <w:tcW w:w="1191" w:type="dxa"/>
          </w:tcPr>
          <w:p w14:paraId="6C6C9DCF" w14:textId="687D2F33"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0.30</w:t>
            </w:r>
          </w:p>
        </w:tc>
        <w:tc>
          <w:tcPr>
            <w:tcW w:w="1587" w:type="dxa"/>
          </w:tcPr>
          <w:p w14:paraId="1DEEEC76" w14:textId="2588B111"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39.93</w:t>
            </w:r>
          </w:p>
        </w:tc>
        <w:tc>
          <w:tcPr>
            <w:tcW w:w="1871" w:type="dxa"/>
          </w:tcPr>
          <w:p w14:paraId="71F231D2" w14:textId="07FD951F"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57.62</w:t>
            </w:r>
          </w:p>
        </w:tc>
        <w:tc>
          <w:tcPr>
            <w:tcW w:w="1134" w:type="dxa"/>
          </w:tcPr>
          <w:p w14:paraId="736E4603" w14:textId="264E85BA" w:rsidR="000751E1" w:rsidRPr="006966C5" w:rsidRDefault="000751E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1.84</w:t>
            </w:r>
          </w:p>
        </w:tc>
      </w:tr>
    </w:tbl>
    <w:p w14:paraId="5230A847" w14:textId="48AE179A" w:rsidR="00BA5B5C" w:rsidRPr="00BA5B5C" w:rsidRDefault="00BA5B5C" w:rsidP="005649C9">
      <w:pPr>
        <w:pStyle w:val="Tablesubheading0"/>
      </w:pPr>
      <w:r w:rsidRPr="000751E1">
        <w:t xml:space="preserve">Subscale: </w:t>
      </w:r>
      <w:r>
        <w:t xml:space="preserve">Understand </w:t>
      </w:r>
      <w:r w:rsidR="00E55683">
        <w:t>G</w:t>
      </w:r>
      <w:r>
        <w:t xml:space="preserve">endered </w:t>
      </w:r>
      <w:r w:rsidR="00F8558D">
        <w:t>N</w:t>
      </w:r>
      <w:r>
        <w:t xml:space="preserve">ature of </w:t>
      </w:r>
      <w:r w:rsidR="00F8558D">
        <w:t>D</w:t>
      </w:r>
      <w:r>
        <w:t xml:space="preserve">omestic </w:t>
      </w:r>
      <w:r w:rsidR="00F8558D">
        <w:t>V</w:t>
      </w:r>
      <w:r>
        <w:t>iolence</w:t>
      </w:r>
    </w:p>
    <w:tbl>
      <w:tblPr>
        <w:tblStyle w:val="Table-SingleHeaderRow"/>
        <w:tblW w:w="0" w:type="auto"/>
        <w:tblLayout w:type="fixed"/>
        <w:tblLook w:val="00A0" w:firstRow="1" w:lastRow="0" w:firstColumn="1" w:lastColumn="0" w:noHBand="0" w:noVBand="0"/>
      </w:tblPr>
      <w:tblGrid>
        <w:gridCol w:w="737"/>
        <w:gridCol w:w="4989"/>
        <w:gridCol w:w="737"/>
        <w:gridCol w:w="850"/>
        <w:gridCol w:w="1191"/>
        <w:gridCol w:w="1587"/>
        <w:gridCol w:w="1871"/>
        <w:gridCol w:w="1134"/>
      </w:tblGrid>
      <w:tr w:rsidR="00BA5B5C" w:rsidRPr="006966C5" w14:paraId="6E4E3DBA" w14:textId="77777777" w:rsidTr="005649C9">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737" w:type="dxa"/>
          </w:tcPr>
          <w:p w14:paraId="457245E3" w14:textId="77777777" w:rsidR="00BA5B5C" w:rsidRPr="00BA5B5C" w:rsidRDefault="00BA5B5C" w:rsidP="005649C9">
            <w:pPr>
              <w:pStyle w:val="Tablebody"/>
              <w:rPr>
                <w:b w:val="0"/>
              </w:rPr>
            </w:pPr>
            <w:r w:rsidRPr="00BA5B5C">
              <w:t>Code</w:t>
            </w:r>
          </w:p>
        </w:tc>
        <w:tc>
          <w:tcPr>
            <w:tcW w:w="4989" w:type="dxa"/>
          </w:tcPr>
          <w:p w14:paraId="4BEFF539" w14:textId="77777777"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Abbreviated item wording</w:t>
            </w:r>
          </w:p>
        </w:tc>
        <w:tc>
          <w:tcPr>
            <w:tcW w:w="737" w:type="dxa"/>
          </w:tcPr>
          <w:p w14:paraId="4F9F6ACA" w14:textId="77777777"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Age</w:t>
            </w:r>
          </w:p>
        </w:tc>
        <w:tc>
          <w:tcPr>
            <w:tcW w:w="850" w:type="dxa"/>
          </w:tcPr>
          <w:p w14:paraId="31D0B47B" w14:textId="77777777"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i/>
                <w:iCs/>
              </w:rPr>
            </w:pPr>
            <w:r w:rsidRPr="00BA5B5C">
              <w:rPr>
                <w:i/>
                <w:iCs/>
              </w:rPr>
              <w:t>N</w:t>
            </w:r>
          </w:p>
        </w:tc>
        <w:tc>
          <w:tcPr>
            <w:tcW w:w="1191" w:type="dxa"/>
          </w:tcPr>
          <w:p w14:paraId="2EA89825" w14:textId="4C915750"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 Men</w:t>
            </w:r>
          </w:p>
        </w:tc>
        <w:tc>
          <w:tcPr>
            <w:tcW w:w="1587" w:type="dxa"/>
          </w:tcPr>
          <w:p w14:paraId="14E18588" w14:textId="79B2E12B"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 Both equally</w:t>
            </w:r>
          </w:p>
        </w:tc>
        <w:tc>
          <w:tcPr>
            <w:tcW w:w="1871" w:type="dxa"/>
          </w:tcPr>
          <w:p w14:paraId="2ACC6DD3" w14:textId="51D417EA"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 Women (correct)</w:t>
            </w:r>
          </w:p>
        </w:tc>
        <w:tc>
          <w:tcPr>
            <w:tcW w:w="1134" w:type="dxa"/>
          </w:tcPr>
          <w:p w14:paraId="7F9E1310" w14:textId="169E7E53" w:rsidR="00BA5B5C" w:rsidRPr="00BA5B5C" w:rsidRDefault="00BA5B5C"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BA5B5C">
              <w:t>% Unsure</w:t>
            </w:r>
          </w:p>
        </w:tc>
      </w:tr>
      <w:tr w:rsidR="00BA5B5C" w:rsidRPr="006966C5" w14:paraId="4E8BB11B"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4AA2FE95" w14:textId="2D0FEA88" w:rsidR="00BA5B5C" w:rsidRPr="006966C5" w:rsidRDefault="00BA5B5C" w:rsidP="005649C9">
            <w:pPr>
              <w:pStyle w:val="Tablebody"/>
              <w:rPr>
                <w:rFonts w:cs="Open Sans"/>
                <w:szCs w:val="18"/>
                <w:lang w:val="en-GB"/>
              </w:rPr>
            </w:pPr>
            <w:r w:rsidRPr="006966C5">
              <w:rPr>
                <w:rFonts w:cs="Open Sans"/>
                <w:szCs w:val="18"/>
              </w:rPr>
              <w:t>D14</w:t>
            </w:r>
          </w:p>
        </w:tc>
        <w:tc>
          <w:tcPr>
            <w:tcW w:w="4989" w:type="dxa"/>
          </w:tcPr>
          <w:p w14:paraId="6A0D7743" w14:textId="19400D30"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lang w:val="en-US"/>
              </w:rPr>
              <w:t>Who is more likely to suffer physical harm from domestic violence?</w:t>
            </w:r>
            <w:r w:rsidRPr="006966C5">
              <w:rPr>
                <w:rFonts w:ascii="Montserrat" w:hAnsi="Montserrat" w:cs="Montserrat"/>
                <w:szCs w:val="18"/>
                <w:lang w:val="en-US"/>
              </w:rPr>
              <w:t>~</w:t>
            </w:r>
          </w:p>
        </w:tc>
        <w:tc>
          <w:tcPr>
            <w:tcW w:w="737" w:type="dxa"/>
          </w:tcPr>
          <w:p w14:paraId="21A53D14" w14:textId="34AC311D"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16–24</w:t>
            </w:r>
          </w:p>
        </w:tc>
        <w:tc>
          <w:tcPr>
            <w:tcW w:w="850" w:type="dxa"/>
          </w:tcPr>
          <w:p w14:paraId="5B24E5C8" w14:textId="0545F8A8"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397</w:t>
            </w:r>
          </w:p>
        </w:tc>
        <w:tc>
          <w:tcPr>
            <w:tcW w:w="1191" w:type="dxa"/>
          </w:tcPr>
          <w:p w14:paraId="3190085E" w14:textId="6DF90491"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2.99</w:t>
            </w:r>
            <w:r w:rsidRPr="006966C5">
              <w:rPr>
                <w:rFonts w:cs="Open Sans"/>
                <w:szCs w:val="18"/>
                <w:vertAlign w:val="superscript"/>
              </w:rPr>
              <w:t>a</w:t>
            </w:r>
          </w:p>
        </w:tc>
        <w:tc>
          <w:tcPr>
            <w:tcW w:w="1587" w:type="dxa"/>
          </w:tcPr>
          <w:p w14:paraId="7D9DC866" w14:textId="45E3F8E8"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25.81</w:t>
            </w:r>
          </w:p>
        </w:tc>
        <w:tc>
          <w:tcPr>
            <w:tcW w:w="1871" w:type="dxa"/>
          </w:tcPr>
          <w:p w14:paraId="291DF17C" w14:textId="42213DDB"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70.80</w:t>
            </w:r>
          </w:p>
        </w:tc>
        <w:tc>
          <w:tcPr>
            <w:tcW w:w="1134" w:type="dxa"/>
          </w:tcPr>
          <w:p w14:paraId="7CC5E268" w14:textId="3D846437"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0.22</w:t>
            </w:r>
            <w:r w:rsidRPr="006966C5">
              <w:rPr>
                <w:rFonts w:cs="Open Sans"/>
                <w:szCs w:val="18"/>
                <w:vertAlign w:val="superscript"/>
              </w:rPr>
              <w:t>a</w:t>
            </w:r>
          </w:p>
        </w:tc>
      </w:tr>
      <w:tr w:rsidR="00BA5B5C" w:rsidRPr="006966C5" w14:paraId="6F8BF9A6"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6016466D" w14:textId="0D688ED2" w:rsidR="00BA5B5C" w:rsidRPr="006966C5" w:rsidRDefault="00BA5B5C" w:rsidP="005649C9">
            <w:pPr>
              <w:pStyle w:val="Tablebody"/>
              <w:rPr>
                <w:rFonts w:cs="Open Sans"/>
                <w:szCs w:val="18"/>
              </w:rPr>
            </w:pPr>
            <w:r w:rsidRPr="006966C5">
              <w:rPr>
                <w:rFonts w:cs="Open Sans"/>
                <w:szCs w:val="18"/>
              </w:rPr>
              <w:t>D14</w:t>
            </w:r>
          </w:p>
        </w:tc>
        <w:tc>
          <w:tcPr>
            <w:tcW w:w="4989" w:type="dxa"/>
          </w:tcPr>
          <w:p w14:paraId="5198B9D5" w14:textId="17891342"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966C5">
              <w:rPr>
                <w:rFonts w:cs="Open Sans"/>
                <w:szCs w:val="18"/>
                <w:lang w:val="en-US"/>
              </w:rPr>
              <w:t>Who is more likely to suffer physical harm from domestic violence?</w:t>
            </w:r>
            <w:r w:rsidRPr="006966C5">
              <w:rPr>
                <w:rFonts w:ascii="Montserrat" w:hAnsi="Montserrat" w:cs="Montserrat"/>
                <w:szCs w:val="18"/>
                <w:lang w:val="en-US"/>
              </w:rPr>
              <w:t>~</w:t>
            </w:r>
          </w:p>
        </w:tc>
        <w:tc>
          <w:tcPr>
            <w:tcW w:w="737" w:type="dxa"/>
          </w:tcPr>
          <w:p w14:paraId="6B1E1258" w14:textId="28808D03"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25+</w:t>
            </w:r>
          </w:p>
        </w:tc>
        <w:tc>
          <w:tcPr>
            <w:tcW w:w="850" w:type="dxa"/>
          </w:tcPr>
          <w:p w14:paraId="7BB29E5F" w14:textId="4C9D6371"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4,380</w:t>
            </w:r>
          </w:p>
        </w:tc>
        <w:tc>
          <w:tcPr>
            <w:tcW w:w="1191" w:type="dxa"/>
          </w:tcPr>
          <w:p w14:paraId="0E728BA4" w14:textId="16F0044A"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2.18</w:t>
            </w:r>
          </w:p>
        </w:tc>
        <w:tc>
          <w:tcPr>
            <w:tcW w:w="1587" w:type="dxa"/>
          </w:tcPr>
          <w:p w14:paraId="5B63C00F" w14:textId="2BEB838D"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20.36</w:t>
            </w:r>
          </w:p>
        </w:tc>
        <w:tc>
          <w:tcPr>
            <w:tcW w:w="1871" w:type="dxa"/>
          </w:tcPr>
          <w:p w14:paraId="1CCBE31B" w14:textId="1A755F8C"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76.85</w:t>
            </w:r>
          </w:p>
        </w:tc>
        <w:tc>
          <w:tcPr>
            <w:tcW w:w="1134" w:type="dxa"/>
          </w:tcPr>
          <w:p w14:paraId="54D44C9D" w14:textId="469F48F4"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0.56</w:t>
            </w:r>
          </w:p>
        </w:tc>
      </w:tr>
      <w:tr w:rsidR="00BA5B5C" w:rsidRPr="006966C5" w14:paraId="33A04D57"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45D3953F" w14:textId="167ED96B" w:rsidR="00BA5B5C" w:rsidRPr="006966C5" w:rsidRDefault="00BA5B5C" w:rsidP="005649C9">
            <w:pPr>
              <w:pStyle w:val="Tablebody"/>
              <w:rPr>
                <w:rFonts w:cs="Open Sans"/>
                <w:szCs w:val="18"/>
                <w:lang w:val="en-GB"/>
              </w:rPr>
            </w:pPr>
            <w:r w:rsidRPr="006966C5">
              <w:rPr>
                <w:rFonts w:cs="Open Sans"/>
                <w:szCs w:val="18"/>
              </w:rPr>
              <w:t>D15</w:t>
            </w:r>
          </w:p>
        </w:tc>
        <w:tc>
          <w:tcPr>
            <w:tcW w:w="4989" w:type="dxa"/>
          </w:tcPr>
          <w:p w14:paraId="611163A2" w14:textId="6EC43A90"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lang w:val="en-US"/>
              </w:rPr>
              <w:t>Who is more likely to experience fear as a result of</w:t>
            </w:r>
            <w:r>
              <w:rPr>
                <w:rFonts w:cs="Open Sans"/>
                <w:szCs w:val="18"/>
                <w:lang w:val="en-US"/>
              </w:rPr>
              <w:t> </w:t>
            </w:r>
            <w:r w:rsidRPr="006966C5">
              <w:rPr>
                <w:rFonts w:cs="Open Sans"/>
                <w:szCs w:val="18"/>
                <w:lang w:val="en-US"/>
              </w:rPr>
              <w:t>domestic violence?</w:t>
            </w:r>
            <w:r w:rsidRPr="006966C5">
              <w:rPr>
                <w:rFonts w:ascii="Montserrat" w:hAnsi="Montserrat" w:cs="Montserrat"/>
                <w:szCs w:val="18"/>
                <w:lang w:val="en-US"/>
              </w:rPr>
              <w:t>~</w:t>
            </w:r>
          </w:p>
        </w:tc>
        <w:tc>
          <w:tcPr>
            <w:tcW w:w="737" w:type="dxa"/>
          </w:tcPr>
          <w:p w14:paraId="73281E35" w14:textId="334A21C5"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16–24</w:t>
            </w:r>
          </w:p>
        </w:tc>
        <w:tc>
          <w:tcPr>
            <w:tcW w:w="850" w:type="dxa"/>
          </w:tcPr>
          <w:p w14:paraId="651BC7B8" w14:textId="61DB5713"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397</w:t>
            </w:r>
          </w:p>
        </w:tc>
        <w:tc>
          <w:tcPr>
            <w:tcW w:w="1191" w:type="dxa"/>
          </w:tcPr>
          <w:p w14:paraId="75C9D068" w14:textId="71B583F4"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1.20</w:t>
            </w:r>
            <w:r w:rsidRPr="006966C5">
              <w:rPr>
                <w:rFonts w:cs="Open Sans"/>
                <w:szCs w:val="18"/>
                <w:vertAlign w:val="superscript"/>
              </w:rPr>
              <w:t>a</w:t>
            </w:r>
          </w:p>
        </w:tc>
        <w:tc>
          <w:tcPr>
            <w:tcW w:w="1587" w:type="dxa"/>
          </w:tcPr>
          <w:p w14:paraId="5A4D1B91" w14:textId="59348FFB"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44.74*</w:t>
            </w:r>
          </w:p>
        </w:tc>
        <w:tc>
          <w:tcPr>
            <w:tcW w:w="1871" w:type="dxa"/>
          </w:tcPr>
          <w:p w14:paraId="5B277832" w14:textId="02E159FC"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966C5">
              <w:rPr>
                <w:rFonts w:cs="Open Sans"/>
                <w:szCs w:val="18"/>
              </w:rPr>
              <w:t>53.89*</w:t>
            </w:r>
          </w:p>
        </w:tc>
        <w:tc>
          <w:tcPr>
            <w:tcW w:w="1134" w:type="dxa"/>
          </w:tcPr>
          <w:p w14:paraId="143AECEF" w14:textId="033DAD85" w:rsidR="00BA5B5C" w:rsidRPr="006966C5" w:rsidRDefault="00BA5B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966C5">
              <w:rPr>
                <w:rFonts w:cs="Open Sans"/>
                <w:szCs w:val="18"/>
              </w:rPr>
              <w:t>0.00</w:t>
            </w:r>
          </w:p>
        </w:tc>
      </w:tr>
      <w:tr w:rsidR="00EC044C" w:rsidRPr="006966C5" w14:paraId="45FE8775"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088EE450" w14:textId="30D62146" w:rsidR="00EC044C" w:rsidRPr="006966C5" w:rsidRDefault="00EC044C" w:rsidP="005649C9">
            <w:pPr>
              <w:pStyle w:val="Tablebody"/>
              <w:rPr>
                <w:rFonts w:cs="Open Sans"/>
                <w:szCs w:val="18"/>
              </w:rPr>
            </w:pPr>
            <w:r w:rsidRPr="006966C5">
              <w:rPr>
                <w:rFonts w:cs="Open Sans"/>
                <w:szCs w:val="18"/>
              </w:rPr>
              <w:lastRenderedPageBreak/>
              <w:t>D15</w:t>
            </w:r>
          </w:p>
        </w:tc>
        <w:tc>
          <w:tcPr>
            <w:tcW w:w="4989" w:type="dxa"/>
          </w:tcPr>
          <w:p w14:paraId="6CD9776C" w14:textId="6A95C86C"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966C5">
              <w:rPr>
                <w:rFonts w:cs="Open Sans"/>
                <w:szCs w:val="18"/>
                <w:lang w:val="en-US"/>
              </w:rPr>
              <w:t>Who is more likely to experience fear as a result of</w:t>
            </w:r>
            <w:r>
              <w:rPr>
                <w:rFonts w:cs="Open Sans"/>
                <w:szCs w:val="18"/>
                <w:lang w:val="en-US"/>
              </w:rPr>
              <w:t> </w:t>
            </w:r>
            <w:r w:rsidRPr="006966C5">
              <w:rPr>
                <w:rFonts w:cs="Open Sans"/>
                <w:szCs w:val="18"/>
                <w:lang w:val="en-US"/>
              </w:rPr>
              <w:t>domestic violence?</w:t>
            </w:r>
            <w:r w:rsidRPr="006966C5">
              <w:rPr>
                <w:rFonts w:ascii="Montserrat" w:hAnsi="Montserrat" w:cs="Montserrat"/>
                <w:szCs w:val="18"/>
                <w:lang w:val="en-US"/>
              </w:rPr>
              <w:t>~</w:t>
            </w:r>
          </w:p>
        </w:tc>
        <w:tc>
          <w:tcPr>
            <w:tcW w:w="737" w:type="dxa"/>
          </w:tcPr>
          <w:p w14:paraId="6DC76A6F" w14:textId="0F36B666"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25+</w:t>
            </w:r>
          </w:p>
        </w:tc>
        <w:tc>
          <w:tcPr>
            <w:tcW w:w="850" w:type="dxa"/>
          </w:tcPr>
          <w:p w14:paraId="164B1C70" w14:textId="41000E64"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4,380</w:t>
            </w:r>
          </w:p>
        </w:tc>
        <w:tc>
          <w:tcPr>
            <w:tcW w:w="1191" w:type="dxa"/>
          </w:tcPr>
          <w:p w14:paraId="5A8EAEC1" w14:textId="3A34FA08"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1.23</w:t>
            </w:r>
          </w:p>
        </w:tc>
        <w:tc>
          <w:tcPr>
            <w:tcW w:w="1587" w:type="dxa"/>
          </w:tcPr>
          <w:p w14:paraId="2ED3198D" w14:textId="1D68C75F"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25.39*</w:t>
            </w:r>
          </w:p>
        </w:tc>
        <w:tc>
          <w:tcPr>
            <w:tcW w:w="1871" w:type="dxa"/>
          </w:tcPr>
          <w:p w14:paraId="7387FE3A" w14:textId="57B53F68"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72.88*</w:t>
            </w:r>
          </w:p>
        </w:tc>
        <w:tc>
          <w:tcPr>
            <w:tcW w:w="1134" w:type="dxa"/>
          </w:tcPr>
          <w:p w14:paraId="4330E644" w14:textId="5F4E65F3" w:rsidR="00EC044C" w:rsidRPr="006966C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966C5">
              <w:rPr>
                <w:rFonts w:cs="Open Sans"/>
                <w:szCs w:val="18"/>
              </w:rPr>
              <w:t>0.40</w:t>
            </w:r>
          </w:p>
        </w:tc>
      </w:tr>
    </w:tbl>
    <w:p w14:paraId="1A10FE3C" w14:textId="2559A31B" w:rsidR="006966C5" w:rsidRPr="00567D6D" w:rsidRDefault="006966C5" w:rsidP="001D5BB5">
      <w:pPr>
        <w:pStyle w:val="datatablenote"/>
      </w:pPr>
      <w:r w:rsidRPr="00ED4588">
        <w:rPr>
          <w:b/>
        </w:rPr>
        <w:t>Note</w:t>
      </w:r>
      <w:r w:rsidRPr="00567D6D">
        <w:t xml:space="preserve">: Numbers in bold reflect the significantly higher value in the comparison. </w:t>
      </w:r>
    </w:p>
    <w:p w14:paraId="18F5FEC5" w14:textId="77777777" w:rsidR="006966C5" w:rsidRPr="00567D6D" w:rsidRDefault="006966C5" w:rsidP="001D5BB5">
      <w:pPr>
        <w:pStyle w:val="datatablenote"/>
      </w:pPr>
      <w:r w:rsidRPr="00567D6D">
        <w:t xml:space="preserve">Percentages may not add to 100 as “unanswered” category is not shown in the table. </w:t>
      </w:r>
    </w:p>
    <w:p w14:paraId="303B7D2C" w14:textId="77777777" w:rsidR="006966C5" w:rsidRPr="00567D6D" w:rsidRDefault="006966C5" w:rsidP="001D5BB5">
      <w:pPr>
        <w:pStyle w:val="datatablenote"/>
      </w:pPr>
      <w:r w:rsidRPr="00567D6D">
        <w:t xml:space="preserve">a This result should be interpreted with caution because it has a relative standard error &gt;25%. </w:t>
      </w:r>
    </w:p>
    <w:p w14:paraId="753DBDE6" w14:textId="77777777" w:rsidR="006966C5" w:rsidRPr="00567D6D" w:rsidRDefault="006966C5" w:rsidP="001D5BB5">
      <w:pPr>
        <w:pStyle w:val="datatablenote"/>
      </w:pPr>
      <w:r w:rsidRPr="00567D6D">
        <w:t xml:space="preserve">* Statistically significant difference between 16- to 24-year-olds and 25+ year-olds. </w:t>
      </w:r>
    </w:p>
    <w:p w14:paraId="46770429" w14:textId="4E921DB2" w:rsidR="00A4488C" w:rsidRPr="00567D6D" w:rsidRDefault="006966C5" w:rsidP="001D5BB5">
      <w:pPr>
        <w:pStyle w:val="datatablenote"/>
      </w:pPr>
      <w:r w:rsidRPr="00567D6D">
        <w:rPr>
          <w:rFonts w:cs="Montserrat"/>
        </w:rPr>
        <w:t>~</w:t>
      </w:r>
      <w:r w:rsidRPr="00567D6D">
        <w:t xml:space="preserve"> Asked of one quarter of the sample.</w:t>
      </w:r>
    </w:p>
    <w:p w14:paraId="14EB051B" w14:textId="73A9679E" w:rsidR="004B3315" w:rsidRDefault="00B922FD" w:rsidP="00F5214A">
      <w:pPr>
        <w:pStyle w:val="TableheadingTablesandfigures"/>
      </w:pPr>
      <w:bookmarkStart w:id="266" w:name="_Toc187402251"/>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3</w:t>
      </w:r>
      <w:r w:rsidR="004A7ED7">
        <w:rPr>
          <w:noProof/>
        </w:rPr>
        <w:fldChar w:fldCharType="end"/>
      </w:r>
      <w:r w:rsidR="004B3315" w:rsidRPr="004B3315">
        <w:t xml:space="preserve">: </w:t>
      </w:r>
      <w:r w:rsidR="007134A4">
        <w:tab/>
      </w:r>
      <w:r w:rsidR="004B3315" w:rsidRPr="004B3315">
        <w:t>Additional knowledge items by age, all ages (not part of any scale), 2021</w:t>
      </w:r>
      <w:bookmarkEnd w:id="266"/>
    </w:p>
    <w:p w14:paraId="7F450253" w14:textId="2BCB6C4C" w:rsidR="00474B3F" w:rsidRPr="00474B3F" w:rsidRDefault="00474B3F" w:rsidP="005649C9">
      <w:pPr>
        <w:pStyle w:val="Tablesubheading0"/>
      </w:pPr>
      <w:r>
        <w:t xml:space="preserve">Area of knowledge: </w:t>
      </w:r>
      <w:r w:rsidRPr="004B3315">
        <w:t>Knowledge of domestic violence support</w:t>
      </w:r>
    </w:p>
    <w:tbl>
      <w:tblPr>
        <w:tblStyle w:val="Table-SingleHeaderRow"/>
        <w:tblW w:w="14981" w:type="dxa"/>
        <w:tblLayout w:type="fixed"/>
        <w:tblLook w:val="00A0" w:firstRow="1" w:lastRow="0" w:firstColumn="1" w:lastColumn="0" w:noHBand="0" w:noVBand="0"/>
      </w:tblPr>
      <w:tblGrid>
        <w:gridCol w:w="709"/>
        <w:gridCol w:w="3798"/>
        <w:gridCol w:w="737"/>
        <w:gridCol w:w="652"/>
        <w:gridCol w:w="1020"/>
        <w:gridCol w:w="1191"/>
        <w:gridCol w:w="1162"/>
        <w:gridCol w:w="1190"/>
        <w:gridCol w:w="1078"/>
        <w:gridCol w:w="1077"/>
        <w:gridCol w:w="1063"/>
        <w:gridCol w:w="1304"/>
      </w:tblGrid>
      <w:tr w:rsidR="00C72C32" w:rsidRPr="004B3315" w14:paraId="6FB1137A" w14:textId="77777777" w:rsidTr="005649C9">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09" w:type="dxa"/>
          </w:tcPr>
          <w:p w14:paraId="18995CDB" w14:textId="77777777" w:rsidR="00474B3F" w:rsidRPr="004B3315" w:rsidRDefault="00474B3F" w:rsidP="005649C9">
            <w:pPr>
              <w:pStyle w:val="Tablebody"/>
              <w:rPr>
                <w:b w:val="0"/>
                <w:lang w:val="en-GB"/>
              </w:rPr>
            </w:pPr>
            <w:r w:rsidRPr="004B3315">
              <w:t>Code</w:t>
            </w:r>
          </w:p>
        </w:tc>
        <w:tc>
          <w:tcPr>
            <w:tcW w:w="3798" w:type="dxa"/>
          </w:tcPr>
          <w:p w14:paraId="4E8BFB26"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Abbreviated item wording</w:t>
            </w:r>
          </w:p>
        </w:tc>
        <w:tc>
          <w:tcPr>
            <w:tcW w:w="737" w:type="dxa"/>
          </w:tcPr>
          <w:p w14:paraId="6B2EC67B"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Age</w:t>
            </w:r>
          </w:p>
        </w:tc>
        <w:tc>
          <w:tcPr>
            <w:tcW w:w="652" w:type="dxa"/>
          </w:tcPr>
          <w:p w14:paraId="7C81492D"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B3315">
              <w:rPr>
                <w:rStyle w:val="Emphasis"/>
                <w:lang w:val="en-GB"/>
              </w:rPr>
              <w:t>N</w:t>
            </w:r>
          </w:p>
        </w:tc>
        <w:tc>
          <w:tcPr>
            <w:tcW w:w="1020" w:type="dxa"/>
          </w:tcPr>
          <w:p w14:paraId="06E14427"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Strongly agree</w:t>
            </w:r>
          </w:p>
        </w:tc>
        <w:tc>
          <w:tcPr>
            <w:tcW w:w="1191" w:type="dxa"/>
          </w:tcPr>
          <w:p w14:paraId="0B0048F0"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Somewhat agree</w:t>
            </w:r>
          </w:p>
        </w:tc>
        <w:tc>
          <w:tcPr>
            <w:tcW w:w="1162" w:type="dxa"/>
          </w:tcPr>
          <w:p w14:paraId="24FADE94"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Neither agree nor disagree</w:t>
            </w:r>
          </w:p>
        </w:tc>
        <w:tc>
          <w:tcPr>
            <w:tcW w:w="1190" w:type="dxa"/>
          </w:tcPr>
          <w:p w14:paraId="4739A0DE"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Somewhat disagree</w:t>
            </w:r>
          </w:p>
        </w:tc>
        <w:tc>
          <w:tcPr>
            <w:tcW w:w="1078" w:type="dxa"/>
          </w:tcPr>
          <w:p w14:paraId="08DD3AF8"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Strongly disagree</w:t>
            </w:r>
          </w:p>
        </w:tc>
        <w:tc>
          <w:tcPr>
            <w:tcW w:w="1077" w:type="dxa"/>
          </w:tcPr>
          <w:p w14:paraId="2A2BF929"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Unsure</w:t>
            </w:r>
          </w:p>
        </w:tc>
        <w:tc>
          <w:tcPr>
            <w:tcW w:w="1063" w:type="dxa"/>
          </w:tcPr>
          <w:p w14:paraId="74027528"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Net agree</w:t>
            </w:r>
            <w:r w:rsidRPr="004B3315">
              <w:rPr>
                <w:vertAlign w:val="superscript"/>
              </w:rPr>
              <w:t>a</w:t>
            </w:r>
          </w:p>
        </w:tc>
        <w:tc>
          <w:tcPr>
            <w:tcW w:w="1304" w:type="dxa"/>
          </w:tcPr>
          <w:p w14:paraId="1D556284"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Net disagree</w:t>
            </w:r>
            <w:r w:rsidRPr="004B3315">
              <w:rPr>
                <w:vertAlign w:val="superscript"/>
              </w:rPr>
              <w:t>b</w:t>
            </w:r>
          </w:p>
        </w:tc>
      </w:tr>
      <w:tr w:rsidR="00EC044C" w:rsidRPr="004B3315" w14:paraId="76E33F64"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09" w:type="dxa"/>
          </w:tcPr>
          <w:p w14:paraId="349BD516" w14:textId="77777777" w:rsidR="00EC044C" w:rsidRPr="004B3315" w:rsidRDefault="00EC044C" w:rsidP="005649C9">
            <w:pPr>
              <w:pStyle w:val="Tablebody"/>
              <w:rPr>
                <w:rFonts w:cs="Open Sans"/>
                <w:szCs w:val="18"/>
                <w:lang w:val="en-GB"/>
              </w:rPr>
            </w:pPr>
            <w:r w:rsidRPr="004B3315">
              <w:rPr>
                <w:rFonts w:cs="Open Sans"/>
                <w:szCs w:val="18"/>
              </w:rPr>
              <w:t>D33</w:t>
            </w:r>
          </w:p>
        </w:tc>
        <w:tc>
          <w:tcPr>
            <w:tcW w:w="3798" w:type="dxa"/>
          </w:tcPr>
          <w:p w14:paraId="594A718D" w14:textId="77777777"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lang w:val="en-US"/>
              </w:rPr>
              <w:t>Would know where to get outside advice or support for someone about domestic violence</w:t>
            </w:r>
            <w:r w:rsidRPr="004B3315">
              <w:rPr>
                <w:rFonts w:ascii="Montserrat" w:hAnsi="Montserrat" w:cs="Montserrat"/>
                <w:szCs w:val="18"/>
                <w:lang w:val="en-US"/>
              </w:rPr>
              <w:t>~</w:t>
            </w:r>
          </w:p>
        </w:tc>
        <w:tc>
          <w:tcPr>
            <w:tcW w:w="737" w:type="dxa"/>
          </w:tcPr>
          <w:p w14:paraId="17F30FC8" w14:textId="77777777"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16–24</w:t>
            </w:r>
          </w:p>
        </w:tc>
        <w:tc>
          <w:tcPr>
            <w:tcW w:w="652" w:type="dxa"/>
          </w:tcPr>
          <w:p w14:paraId="62B13229" w14:textId="77777777"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447</w:t>
            </w:r>
          </w:p>
        </w:tc>
        <w:tc>
          <w:tcPr>
            <w:tcW w:w="1020" w:type="dxa"/>
          </w:tcPr>
          <w:p w14:paraId="651D28CC" w14:textId="73B9A5E8"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23.87</w:t>
            </w:r>
          </w:p>
        </w:tc>
        <w:tc>
          <w:tcPr>
            <w:tcW w:w="1191" w:type="dxa"/>
          </w:tcPr>
          <w:p w14:paraId="2F4B172F" w14:textId="0E5F4765"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40.57*</w:t>
            </w:r>
          </w:p>
        </w:tc>
        <w:tc>
          <w:tcPr>
            <w:tcW w:w="1162" w:type="dxa"/>
          </w:tcPr>
          <w:p w14:paraId="1BAB59CD" w14:textId="1EA8CE91"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0.49</w:t>
            </w:r>
            <w:r w:rsidRPr="004B3315">
              <w:rPr>
                <w:rFonts w:cs="Open Sans"/>
                <w:szCs w:val="18"/>
                <w:vertAlign w:val="superscript"/>
              </w:rPr>
              <w:t>c</w:t>
            </w:r>
          </w:p>
        </w:tc>
        <w:tc>
          <w:tcPr>
            <w:tcW w:w="1190" w:type="dxa"/>
          </w:tcPr>
          <w:p w14:paraId="0EB4E954" w14:textId="7DC6CCAC"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26.17</w:t>
            </w:r>
          </w:p>
        </w:tc>
        <w:tc>
          <w:tcPr>
            <w:tcW w:w="1078" w:type="dxa"/>
          </w:tcPr>
          <w:p w14:paraId="2A44F58C" w14:textId="7B3A134A"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8.27*</w:t>
            </w:r>
          </w:p>
        </w:tc>
        <w:tc>
          <w:tcPr>
            <w:tcW w:w="1077" w:type="dxa"/>
          </w:tcPr>
          <w:p w14:paraId="5C90AC7F" w14:textId="7E02F085"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0.46</w:t>
            </w:r>
            <w:r w:rsidRPr="004B3315">
              <w:rPr>
                <w:rFonts w:cs="Open Sans"/>
                <w:szCs w:val="18"/>
                <w:vertAlign w:val="superscript"/>
              </w:rPr>
              <w:t>c</w:t>
            </w:r>
          </w:p>
        </w:tc>
        <w:tc>
          <w:tcPr>
            <w:tcW w:w="1063" w:type="dxa"/>
          </w:tcPr>
          <w:p w14:paraId="02FC4345" w14:textId="51D21B39"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64.45*</w:t>
            </w:r>
          </w:p>
        </w:tc>
        <w:tc>
          <w:tcPr>
            <w:tcW w:w="1304" w:type="dxa"/>
          </w:tcPr>
          <w:p w14:paraId="7180D7C9" w14:textId="51E022ED" w:rsidR="00EC044C" w:rsidRPr="004B3315" w:rsidRDefault="00EC044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34.44</w:t>
            </w:r>
          </w:p>
        </w:tc>
      </w:tr>
      <w:tr w:rsidR="006038DD" w:rsidRPr="004B3315" w14:paraId="7F0F5DCD"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09" w:type="dxa"/>
          </w:tcPr>
          <w:p w14:paraId="5A14A2D2" w14:textId="605CB12A" w:rsidR="006038DD" w:rsidRPr="004B3315" w:rsidRDefault="006038DD" w:rsidP="005649C9">
            <w:pPr>
              <w:pStyle w:val="Tablebody"/>
              <w:rPr>
                <w:rFonts w:cs="Open Sans"/>
                <w:szCs w:val="18"/>
              </w:rPr>
            </w:pPr>
            <w:r w:rsidRPr="004B3315">
              <w:rPr>
                <w:rFonts w:cs="Open Sans"/>
                <w:szCs w:val="18"/>
              </w:rPr>
              <w:t>D33</w:t>
            </w:r>
          </w:p>
        </w:tc>
        <w:tc>
          <w:tcPr>
            <w:tcW w:w="3798" w:type="dxa"/>
          </w:tcPr>
          <w:p w14:paraId="64B73EB5" w14:textId="42A44A9B"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B3315">
              <w:rPr>
                <w:rFonts w:cs="Open Sans"/>
                <w:szCs w:val="18"/>
                <w:lang w:val="en-US"/>
              </w:rPr>
              <w:t>Would know where to get outside advice or</w:t>
            </w:r>
            <w:r>
              <w:rPr>
                <w:rFonts w:cs="Open Sans"/>
                <w:szCs w:val="18"/>
                <w:lang w:val="en-US"/>
              </w:rPr>
              <w:t> </w:t>
            </w:r>
            <w:r w:rsidRPr="004B3315">
              <w:rPr>
                <w:rFonts w:cs="Open Sans"/>
                <w:szCs w:val="18"/>
                <w:lang w:val="en-US"/>
              </w:rPr>
              <w:t>support for someone about domestic violence</w:t>
            </w:r>
            <w:r w:rsidRPr="004B3315">
              <w:rPr>
                <w:rFonts w:ascii="Montserrat" w:hAnsi="Montserrat" w:cs="Montserrat"/>
                <w:szCs w:val="18"/>
                <w:lang w:val="en-US"/>
              </w:rPr>
              <w:t>~</w:t>
            </w:r>
          </w:p>
        </w:tc>
        <w:tc>
          <w:tcPr>
            <w:tcW w:w="737" w:type="dxa"/>
          </w:tcPr>
          <w:p w14:paraId="64ED9F96" w14:textId="33CEF074"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25+</w:t>
            </w:r>
          </w:p>
        </w:tc>
        <w:tc>
          <w:tcPr>
            <w:tcW w:w="652" w:type="dxa"/>
          </w:tcPr>
          <w:p w14:paraId="0B1024AC" w14:textId="24EB6B4F"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4,656</w:t>
            </w:r>
          </w:p>
        </w:tc>
        <w:tc>
          <w:tcPr>
            <w:tcW w:w="1020" w:type="dxa"/>
          </w:tcPr>
          <w:p w14:paraId="055B9289" w14:textId="76806F04"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28.35</w:t>
            </w:r>
          </w:p>
        </w:tc>
        <w:tc>
          <w:tcPr>
            <w:tcW w:w="1191" w:type="dxa"/>
          </w:tcPr>
          <w:p w14:paraId="25114027" w14:textId="382FEAEF"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26.16*</w:t>
            </w:r>
          </w:p>
        </w:tc>
        <w:tc>
          <w:tcPr>
            <w:tcW w:w="1162" w:type="dxa"/>
          </w:tcPr>
          <w:p w14:paraId="21D6DC5B" w14:textId="21549DAE"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0.77</w:t>
            </w:r>
          </w:p>
        </w:tc>
        <w:tc>
          <w:tcPr>
            <w:tcW w:w="1190" w:type="dxa"/>
          </w:tcPr>
          <w:p w14:paraId="4AD04DC6" w14:textId="4631E14B"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25.24</w:t>
            </w:r>
          </w:p>
        </w:tc>
        <w:tc>
          <w:tcPr>
            <w:tcW w:w="1078" w:type="dxa"/>
          </w:tcPr>
          <w:p w14:paraId="3444800B" w14:textId="029CE639"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16.69*</w:t>
            </w:r>
          </w:p>
        </w:tc>
        <w:tc>
          <w:tcPr>
            <w:tcW w:w="1077" w:type="dxa"/>
          </w:tcPr>
          <w:p w14:paraId="42F0FB0A" w14:textId="5838C25E"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2.57</w:t>
            </w:r>
          </w:p>
        </w:tc>
        <w:tc>
          <w:tcPr>
            <w:tcW w:w="1063" w:type="dxa"/>
          </w:tcPr>
          <w:p w14:paraId="31DB8EB1" w14:textId="148569B1"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54.51*</w:t>
            </w:r>
          </w:p>
        </w:tc>
        <w:tc>
          <w:tcPr>
            <w:tcW w:w="1304" w:type="dxa"/>
          </w:tcPr>
          <w:p w14:paraId="4EFDF0E5" w14:textId="5D34781A"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41.93</w:t>
            </w:r>
          </w:p>
        </w:tc>
      </w:tr>
    </w:tbl>
    <w:p w14:paraId="7DF1C030" w14:textId="2181AD41" w:rsidR="00474B3F" w:rsidRDefault="00474B3F" w:rsidP="005649C9">
      <w:pPr>
        <w:pStyle w:val="Tablesubheading0"/>
      </w:pPr>
      <w:r>
        <w:t xml:space="preserve">Area of knowledge: </w:t>
      </w:r>
      <w:r w:rsidRPr="004B3315">
        <w:t>Stranger vs. acquaintance rape</w:t>
      </w:r>
    </w:p>
    <w:tbl>
      <w:tblPr>
        <w:tblStyle w:val="Table-SingleHeaderRow"/>
        <w:tblW w:w="14981" w:type="dxa"/>
        <w:tblLayout w:type="fixed"/>
        <w:tblLook w:val="00A0" w:firstRow="1" w:lastRow="0" w:firstColumn="1" w:lastColumn="0" w:noHBand="0" w:noVBand="0"/>
      </w:tblPr>
      <w:tblGrid>
        <w:gridCol w:w="709"/>
        <w:gridCol w:w="3798"/>
        <w:gridCol w:w="737"/>
        <w:gridCol w:w="652"/>
        <w:gridCol w:w="1020"/>
        <w:gridCol w:w="1191"/>
        <w:gridCol w:w="1162"/>
        <w:gridCol w:w="1190"/>
        <w:gridCol w:w="1078"/>
        <w:gridCol w:w="1077"/>
        <w:gridCol w:w="1063"/>
        <w:gridCol w:w="1304"/>
      </w:tblGrid>
      <w:tr w:rsidR="00474B3F" w:rsidRPr="004B3315" w14:paraId="7D323B30" w14:textId="77777777" w:rsidTr="005649C9">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09" w:type="dxa"/>
          </w:tcPr>
          <w:p w14:paraId="18B1A53B" w14:textId="77777777" w:rsidR="00474B3F" w:rsidRPr="004B3315" w:rsidRDefault="00474B3F" w:rsidP="005649C9">
            <w:pPr>
              <w:pStyle w:val="Tablebody"/>
              <w:rPr>
                <w:b w:val="0"/>
                <w:lang w:val="en-GB"/>
              </w:rPr>
            </w:pPr>
            <w:r w:rsidRPr="004B3315">
              <w:t>Code</w:t>
            </w:r>
          </w:p>
        </w:tc>
        <w:tc>
          <w:tcPr>
            <w:tcW w:w="3798" w:type="dxa"/>
          </w:tcPr>
          <w:p w14:paraId="721C905D"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Abbreviated item wording</w:t>
            </w:r>
          </w:p>
        </w:tc>
        <w:tc>
          <w:tcPr>
            <w:tcW w:w="737" w:type="dxa"/>
          </w:tcPr>
          <w:p w14:paraId="4CDB2803"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Age</w:t>
            </w:r>
          </w:p>
        </w:tc>
        <w:tc>
          <w:tcPr>
            <w:tcW w:w="652" w:type="dxa"/>
          </w:tcPr>
          <w:p w14:paraId="0E9AC80B"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B3315">
              <w:rPr>
                <w:rStyle w:val="Emphasis"/>
                <w:lang w:val="en-GB"/>
              </w:rPr>
              <w:t>N</w:t>
            </w:r>
          </w:p>
        </w:tc>
        <w:tc>
          <w:tcPr>
            <w:tcW w:w="1020" w:type="dxa"/>
          </w:tcPr>
          <w:p w14:paraId="62F91660"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Strongly agree</w:t>
            </w:r>
          </w:p>
        </w:tc>
        <w:tc>
          <w:tcPr>
            <w:tcW w:w="1191" w:type="dxa"/>
          </w:tcPr>
          <w:p w14:paraId="08DC4C8D"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Somewhat agree</w:t>
            </w:r>
          </w:p>
        </w:tc>
        <w:tc>
          <w:tcPr>
            <w:tcW w:w="1162" w:type="dxa"/>
          </w:tcPr>
          <w:p w14:paraId="06717160"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Neither agree nor disagree</w:t>
            </w:r>
          </w:p>
        </w:tc>
        <w:tc>
          <w:tcPr>
            <w:tcW w:w="1190" w:type="dxa"/>
          </w:tcPr>
          <w:p w14:paraId="49173389"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Somewhat disagree</w:t>
            </w:r>
          </w:p>
        </w:tc>
        <w:tc>
          <w:tcPr>
            <w:tcW w:w="1078" w:type="dxa"/>
          </w:tcPr>
          <w:p w14:paraId="1A20E96F"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Strongly disagree</w:t>
            </w:r>
          </w:p>
        </w:tc>
        <w:tc>
          <w:tcPr>
            <w:tcW w:w="1077" w:type="dxa"/>
          </w:tcPr>
          <w:p w14:paraId="7BA818EB"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Unsure</w:t>
            </w:r>
          </w:p>
        </w:tc>
        <w:tc>
          <w:tcPr>
            <w:tcW w:w="1063" w:type="dxa"/>
          </w:tcPr>
          <w:p w14:paraId="7AD0E827"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Net agree</w:t>
            </w:r>
            <w:r w:rsidRPr="004B3315">
              <w:rPr>
                <w:vertAlign w:val="superscript"/>
              </w:rPr>
              <w:t>a</w:t>
            </w:r>
          </w:p>
        </w:tc>
        <w:tc>
          <w:tcPr>
            <w:tcW w:w="1304" w:type="dxa"/>
          </w:tcPr>
          <w:p w14:paraId="3B6718E1" w14:textId="77777777" w:rsidR="00474B3F" w:rsidRPr="004B3315"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B3315">
              <w:t>% Net disagree</w:t>
            </w:r>
            <w:r w:rsidRPr="004B3315">
              <w:rPr>
                <w:vertAlign w:val="superscript"/>
              </w:rPr>
              <w:t>b</w:t>
            </w:r>
          </w:p>
        </w:tc>
      </w:tr>
      <w:tr w:rsidR="00E277C9" w:rsidRPr="004B3315" w14:paraId="382C1A2B"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09" w:type="dxa"/>
          </w:tcPr>
          <w:p w14:paraId="25E35820" w14:textId="77777777" w:rsidR="00E277C9" w:rsidRPr="004B3315" w:rsidRDefault="00E277C9" w:rsidP="005649C9">
            <w:pPr>
              <w:pStyle w:val="Tablebody"/>
              <w:rPr>
                <w:rFonts w:cs="Open Sans"/>
                <w:szCs w:val="18"/>
                <w:lang w:val="en-GB"/>
              </w:rPr>
            </w:pPr>
            <w:r w:rsidRPr="004B3315">
              <w:rPr>
                <w:rFonts w:cs="Open Sans"/>
                <w:szCs w:val="18"/>
              </w:rPr>
              <w:t>S16</w:t>
            </w:r>
          </w:p>
        </w:tc>
        <w:tc>
          <w:tcPr>
            <w:tcW w:w="3798" w:type="dxa"/>
          </w:tcPr>
          <w:p w14:paraId="1DB89500" w14:textId="77777777"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lang w:val="en-US"/>
              </w:rPr>
              <w:t>Women are more likely to be raped by someone they know than by a stranger</w:t>
            </w:r>
            <w:r w:rsidRPr="004B3315">
              <w:rPr>
                <w:rFonts w:ascii="Montserrat" w:hAnsi="Montserrat" w:cs="Montserrat"/>
                <w:szCs w:val="18"/>
                <w:lang w:val="en-US"/>
              </w:rPr>
              <w:t>~</w:t>
            </w:r>
          </w:p>
        </w:tc>
        <w:tc>
          <w:tcPr>
            <w:tcW w:w="737" w:type="dxa"/>
          </w:tcPr>
          <w:p w14:paraId="4D38DE84" w14:textId="77777777"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16–24</w:t>
            </w:r>
          </w:p>
        </w:tc>
        <w:tc>
          <w:tcPr>
            <w:tcW w:w="652" w:type="dxa"/>
          </w:tcPr>
          <w:p w14:paraId="19BD4CAA" w14:textId="77777777"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397</w:t>
            </w:r>
          </w:p>
        </w:tc>
        <w:tc>
          <w:tcPr>
            <w:tcW w:w="1020" w:type="dxa"/>
          </w:tcPr>
          <w:p w14:paraId="50C8AD27" w14:textId="10FFFE51"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30.11</w:t>
            </w:r>
          </w:p>
        </w:tc>
        <w:tc>
          <w:tcPr>
            <w:tcW w:w="1191" w:type="dxa"/>
          </w:tcPr>
          <w:p w14:paraId="61754769" w14:textId="0B502343"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42.74*</w:t>
            </w:r>
          </w:p>
        </w:tc>
        <w:tc>
          <w:tcPr>
            <w:tcW w:w="1162" w:type="dxa"/>
          </w:tcPr>
          <w:p w14:paraId="4A5FC51C" w14:textId="7A36D37E"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B3315">
              <w:rPr>
                <w:rFonts w:cs="Open Sans"/>
                <w:szCs w:val="18"/>
              </w:rPr>
              <w:t>1.91</w:t>
            </w:r>
            <w:r w:rsidRPr="004B3315">
              <w:rPr>
                <w:rFonts w:cs="Open Sans"/>
                <w:szCs w:val="18"/>
                <w:vertAlign w:val="superscript"/>
              </w:rPr>
              <w:t>c</w:t>
            </w:r>
          </w:p>
        </w:tc>
        <w:tc>
          <w:tcPr>
            <w:tcW w:w="1190" w:type="dxa"/>
          </w:tcPr>
          <w:p w14:paraId="0CD74BB2" w14:textId="16C7BBB6"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12.31</w:t>
            </w:r>
          </w:p>
        </w:tc>
        <w:tc>
          <w:tcPr>
            <w:tcW w:w="1078" w:type="dxa"/>
          </w:tcPr>
          <w:p w14:paraId="4E95A7E7" w14:textId="1B3A5F6C"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6.15</w:t>
            </w:r>
          </w:p>
        </w:tc>
        <w:tc>
          <w:tcPr>
            <w:tcW w:w="1077" w:type="dxa"/>
          </w:tcPr>
          <w:p w14:paraId="50CEB349" w14:textId="1BE5B5B9"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6.25</w:t>
            </w:r>
          </w:p>
        </w:tc>
        <w:tc>
          <w:tcPr>
            <w:tcW w:w="1063" w:type="dxa"/>
          </w:tcPr>
          <w:p w14:paraId="13F8CA6D" w14:textId="0CCD7A65"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72.86</w:t>
            </w:r>
          </w:p>
        </w:tc>
        <w:tc>
          <w:tcPr>
            <w:tcW w:w="1304" w:type="dxa"/>
          </w:tcPr>
          <w:p w14:paraId="54F78EBF" w14:textId="66D963D3" w:rsidR="00E277C9" w:rsidRPr="004B3315" w:rsidRDefault="00E277C9"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4B3315">
              <w:rPr>
                <w:rFonts w:cs="Open Sans"/>
                <w:szCs w:val="18"/>
              </w:rPr>
              <w:t>18.46</w:t>
            </w:r>
          </w:p>
        </w:tc>
      </w:tr>
      <w:tr w:rsidR="006038DD" w:rsidRPr="004B3315" w14:paraId="6725EF19"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09" w:type="dxa"/>
          </w:tcPr>
          <w:p w14:paraId="3F0DB399" w14:textId="35AFE56F" w:rsidR="006038DD" w:rsidRPr="004B3315" w:rsidRDefault="006038DD" w:rsidP="005649C9">
            <w:pPr>
              <w:pStyle w:val="Tablebody"/>
              <w:rPr>
                <w:rFonts w:cs="Open Sans"/>
                <w:szCs w:val="18"/>
              </w:rPr>
            </w:pPr>
            <w:r w:rsidRPr="004B3315">
              <w:rPr>
                <w:rFonts w:cs="Open Sans"/>
                <w:szCs w:val="18"/>
              </w:rPr>
              <w:t>S16</w:t>
            </w:r>
          </w:p>
        </w:tc>
        <w:tc>
          <w:tcPr>
            <w:tcW w:w="3798" w:type="dxa"/>
          </w:tcPr>
          <w:p w14:paraId="0BAFBF10" w14:textId="75646B82"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B3315">
              <w:rPr>
                <w:rFonts w:cs="Open Sans"/>
                <w:szCs w:val="18"/>
                <w:lang w:val="en-US"/>
              </w:rPr>
              <w:t>Women are more likely to be raped by someone they know than by a stranger</w:t>
            </w:r>
            <w:r w:rsidRPr="004B3315">
              <w:rPr>
                <w:rFonts w:ascii="Montserrat" w:hAnsi="Montserrat" w:cs="Montserrat"/>
                <w:szCs w:val="18"/>
                <w:lang w:val="en-US"/>
              </w:rPr>
              <w:t>~</w:t>
            </w:r>
          </w:p>
        </w:tc>
        <w:tc>
          <w:tcPr>
            <w:tcW w:w="737" w:type="dxa"/>
          </w:tcPr>
          <w:p w14:paraId="7041916A" w14:textId="287D532A"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25+</w:t>
            </w:r>
          </w:p>
        </w:tc>
        <w:tc>
          <w:tcPr>
            <w:tcW w:w="652" w:type="dxa"/>
          </w:tcPr>
          <w:p w14:paraId="1E749016" w14:textId="6AEC37B7"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4,380</w:t>
            </w:r>
          </w:p>
        </w:tc>
        <w:tc>
          <w:tcPr>
            <w:tcW w:w="1020" w:type="dxa"/>
          </w:tcPr>
          <w:p w14:paraId="78C86A24" w14:textId="03224FEF"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35.09</w:t>
            </w:r>
          </w:p>
        </w:tc>
        <w:tc>
          <w:tcPr>
            <w:tcW w:w="1191" w:type="dxa"/>
          </w:tcPr>
          <w:p w14:paraId="3B9CD23A" w14:textId="56613F64"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32.76*</w:t>
            </w:r>
          </w:p>
        </w:tc>
        <w:tc>
          <w:tcPr>
            <w:tcW w:w="1162" w:type="dxa"/>
          </w:tcPr>
          <w:p w14:paraId="0A39CB52" w14:textId="6BC9C8AD"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1.62</w:t>
            </w:r>
          </w:p>
        </w:tc>
        <w:tc>
          <w:tcPr>
            <w:tcW w:w="1190" w:type="dxa"/>
          </w:tcPr>
          <w:p w14:paraId="6639D0DE" w14:textId="37249487"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10.38</w:t>
            </w:r>
          </w:p>
        </w:tc>
        <w:tc>
          <w:tcPr>
            <w:tcW w:w="1078" w:type="dxa"/>
          </w:tcPr>
          <w:p w14:paraId="530ECACF" w14:textId="1162C64E"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7.41</w:t>
            </w:r>
          </w:p>
        </w:tc>
        <w:tc>
          <w:tcPr>
            <w:tcW w:w="1077" w:type="dxa"/>
          </w:tcPr>
          <w:p w14:paraId="79875232" w14:textId="155E47D9"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12.50</w:t>
            </w:r>
          </w:p>
        </w:tc>
        <w:tc>
          <w:tcPr>
            <w:tcW w:w="1063" w:type="dxa"/>
          </w:tcPr>
          <w:p w14:paraId="576930B0" w14:textId="5CF71B6F"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67.84</w:t>
            </w:r>
          </w:p>
        </w:tc>
        <w:tc>
          <w:tcPr>
            <w:tcW w:w="1304" w:type="dxa"/>
          </w:tcPr>
          <w:p w14:paraId="797DB8C2" w14:textId="0EE455BB" w:rsidR="006038DD" w:rsidRPr="004B3315"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B3315">
              <w:rPr>
                <w:rFonts w:cs="Open Sans"/>
                <w:szCs w:val="18"/>
              </w:rPr>
              <w:t>17.79</w:t>
            </w:r>
          </w:p>
        </w:tc>
      </w:tr>
    </w:tbl>
    <w:p w14:paraId="4546FF0F" w14:textId="77777777" w:rsidR="004B3315" w:rsidRPr="004B3315" w:rsidRDefault="004B3315" w:rsidP="00C1558D">
      <w:pPr>
        <w:pStyle w:val="datatablenote"/>
      </w:pPr>
      <w:r w:rsidRPr="004B3315">
        <w:rPr>
          <w:b/>
        </w:rPr>
        <w:t>Note:</w:t>
      </w:r>
      <w:r w:rsidRPr="004B3315">
        <w:t xml:space="preserve"> Numbers in bold reflect the significantly higher value in the comparison. </w:t>
      </w:r>
    </w:p>
    <w:p w14:paraId="4FB3BA6A" w14:textId="77777777" w:rsidR="004B3315" w:rsidRPr="004B3315" w:rsidRDefault="004B3315" w:rsidP="00C1558D">
      <w:pPr>
        <w:pStyle w:val="datatablenote"/>
      </w:pPr>
      <w:r w:rsidRPr="004B3315">
        <w:t xml:space="preserve">Percentages may not add to 100 as “unanswered” category is not shown in the table. </w:t>
      </w:r>
    </w:p>
    <w:p w14:paraId="3D0357CA" w14:textId="77777777" w:rsidR="004B3315" w:rsidRPr="004B3315" w:rsidRDefault="004B3315" w:rsidP="00C1558D">
      <w:pPr>
        <w:pStyle w:val="datatablenote"/>
      </w:pPr>
      <w:r w:rsidRPr="004B3315">
        <w:rPr>
          <w:b/>
        </w:rPr>
        <w:t>a</w:t>
      </w:r>
      <w:r w:rsidRPr="004B3315">
        <w:t xml:space="preserve"> “Net agree” refers to answering “agree” either “strongly” or “somewhat”. </w:t>
      </w:r>
    </w:p>
    <w:p w14:paraId="444BADB5" w14:textId="77777777" w:rsidR="004B3315" w:rsidRPr="004B3315" w:rsidRDefault="004B3315" w:rsidP="00C1558D">
      <w:pPr>
        <w:pStyle w:val="datatablenote"/>
      </w:pPr>
      <w:r w:rsidRPr="004B3315">
        <w:rPr>
          <w:b/>
        </w:rPr>
        <w:lastRenderedPageBreak/>
        <w:t>b</w:t>
      </w:r>
      <w:r w:rsidRPr="004B3315">
        <w:t xml:space="preserve"> “Net disagree” refers to answering “disagree” either “strongly” or “somewhat”. </w:t>
      </w:r>
    </w:p>
    <w:p w14:paraId="2653E3FA" w14:textId="77777777" w:rsidR="004B3315" w:rsidRPr="004B3315" w:rsidRDefault="004B3315" w:rsidP="00C1558D">
      <w:pPr>
        <w:pStyle w:val="datatablenote"/>
      </w:pPr>
      <w:r w:rsidRPr="004B3315">
        <w:rPr>
          <w:b/>
        </w:rPr>
        <w:t>c</w:t>
      </w:r>
      <w:r w:rsidRPr="004B3315">
        <w:t xml:space="preserve"> This result should be interpreted with caution because it has a relative standard error &gt;25%. </w:t>
      </w:r>
    </w:p>
    <w:p w14:paraId="7B5DC4E2" w14:textId="77777777" w:rsidR="004B3315" w:rsidRPr="004B3315" w:rsidRDefault="004B3315" w:rsidP="00C1558D">
      <w:pPr>
        <w:pStyle w:val="datatablenote"/>
      </w:pPr>
      <w:r w:rsidRPr="004B3315">
        <w:t xml:space="preserve">* Statistically significant difference between 16- to 24-year-olds and 25+ year-olds. </w:t>
      </w:r>
    </w:p>
    <w:p w14:paraId="34AAE2A3" w14:textId="298D6DBF" w:rsidR="009F61EC" w:rsidRPr="008E382F" w:rsidRDefault="004B3315" w:rsidP="00C1558D">
      <w:pPr>
        <w:pStyle w:val="datatablenote"/>
      </w:pPr>
      <w:r w:rsidRPr="004B3315">
        <w:rPr>
          <w:rFonts w:ascii="Montserrat" w:hAnsi="Montserrat" w:cs="Montserrat"/>
        </w:rPr>
        <w:t>~</w:t>
      </w:r>
      <w:r w:rsidRPr="004B3315">
        <w:t xml:space="preserve"> Asked of one quarter of the sample.</w:t>
      </w:r>
    </w:p>
    <w:p w14:paraId="75945B07" w14:textId="0F48AF76" w:rsidR="000328BF" w:rsidRDefault="000328BF" w:rsidP="00F5214A">
      <w:pPr>
        <w:pStyle w:val="TableheadingTablesandfigures"/>
      </w:pPr>
      <w:bookmarkStart w:id="267" w:name="_Toc187402252"/>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4</w:t>
      </w:r>
      <w:r w:rsidR="004A7ED7">
        <w:rPr>
          <w:noProof/>
        </w:rPr>
        <w:fldChar w:fldCharType="end"/>
      </w:r>
      <w:r w:rsidRPr="000328BF">
        <w:t xml:space="preserve">: </w:t>
      </w:r>
      <w:r w:rsidR="007134A4">
        <w:tab/>
      </w:r>
      <w:r w:rsidRPr="000328BF">
        <w:t>Criminal offence understanding items by age, all ages (not part of any scale), 2021</w:t>
      </w:r>
      <w:bookmarkEnd w:id="267"/>
    </w:p>
    <w:p w14:paraId="6ED79E49" w14:textId="37CD9A10" w:rsidR="00474B3F" w:rsidRPr="00474B3F" w:rsidRDefault="00474B3F" w:rsidP="005649C9">
      <w:pPr>
        <w:pStyle w:val="Tablesubheading0"/>
      </w:pPr>
      <w:r w:rsidRPr="00474B3F">
        <w:t>Area of knowledge:</w:t>
      </w:r>
      <w:r w:rsidRPr="008C29F3">
        <w:t xml:space="preserve"> Knowledge of criminal offences</w:t>
      </w:r>
    </w:p>
    <w:p w14:paraId="544B7B35" w14:textId="0B76FD14" w:rsidR="00474B3F" w:rsidRPr="00E358DE" w:rsidRDefault="00E358DE" w:rsidP="00C1558D">
      <w:pPr>
        <w:pStyle w:val="Tablesubheading"/>
      </w:pPr>
      <w:r w:rsidRPr="000328BF">
        <w:t>To the best of your knowledge, are the following behaviours criminal offences in Australia NOW?</w:t>
      </w:r>
    </w:p>
    <w:tbl>
      <w:tblPr>
        <w:tblStyle w:val="Table-SingleHeaderRow"/>
        <w:tblW w:w="14967" w:type="dxa"/>
        <w:tblLayout w:type="fixed"/>
        <w:tblLook w:val="00A0" w:firstRow="1" w:lastRow="0" w:firstColumn="1" w:lastColumn="0" w:noHBand="0" w:noVBand="0"/>
      </w:tblPr>
      <w:tblGrid>
        <w:gridCol w:w="737"/>
        <w:gridCol w:w="8787"/>
        <w:gridCol w:w="907"/>
        <w:gridCol w:w="850"/>
        <w:gridCol w:w="1134"/>
        <w:gridCol w:w="1191"/>
        <w:gridCol w:w="1361"/>
      </w:tblGrid>
      <w:tr w:rsidR="00C72C32" w:rsidRPr="000328BF" w14:paraId="384DB6A1" w14:textId="77777777" w:rsidTr="005649C9">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737" w:type="dxa"/>
          </w:tcPr>
          <w:p w14:paraId="3F6C061A" w14:textId="77777777" w:rsidR="00474B3F" w:rsidRPr="000328BF" w:rsidRDefault="00474B3F" w:rsidP="005649C9">
            <w:pPr>
              <w:pStyle w:val="Tablebody"/>
              <w:rPr>
                <w:b w:val="0"/>
                <w:lang w:val="en-GB"/>
              </w:rPr>
            </w:pPr>
            <w:r w:rsidRPr="000328BF">
              <w:t>Code</w:t>
            </w:r>
          </w:p>
        </w:tc>
        <w:tc>
          <w:tcPr>
            <w:tcW w:w="8787" w:type="dxa"/>
          </w:tcPr>
          <w:p w14:paraId="2E32E69E"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t>Abbreviated item wording</w:t>
            </w:r>
          </w:p>
        </w:tc>
        <w:tc>
          <w:tcPr>
            <w:tcW w:w="907" w:type="dxa"/>
          </w:tcPr>
          <w:p w14:paraId="71C606B3"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t>Age</w:t>
            </w:r>
          </w:p>
        </w:tc>
        <w:tc>
          <w:tcPr>
            <w:tcW w:w="850" w:type="dxa"/>
          </w:tcPr>
          <w:p w14:paraId="54FBEFEC"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rPr>
                <w:rFonts w:ascii="Open Sans SemiBold" w:hAnsi="Open Sans SemiBold" w:cs="Open Sans SemiBold"/>
                <w:i/>
                <w:iCs/>
                <w:lang w:val="en-GB"/>
              </w:rPr>
              <w:t>N</w:t>
            </w:r>
          </w:p>
        </w:tc>
        <w:tc>
          <w:tcPr>
            <w:tcW w:w="1134" w:type="dxa"/>
          </w:tcPr>
          <w:p w14:paraId="603003FA"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t>% Yes</w:t>
            </w:r>
          </w:p>
        </w:tc>
        <w:tc>
          <w:tcPr>
            <w:tcW w:w="1191" w:type="dxa"/>
          </w:tcPr>
          <w:p w14:paraId="2D158675"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t>% No</w:t>
            </w:r>
          </w:p>
        </w:tc>
        <w:tc>
          <w:tcPr>
            <w:tcW w:w="1361" w:type="dxa"/>
          </w:tcPr>
          <w:p w14:paraId="2DD3FAEA" w14:textId="77777777" w:rsidR="00474B3F" w:rsidRPr="000328BF"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328BF">
              <w:t>% Unsure</w:t>
            </w:r>
          </w:p>
        </w:tc>
      </w:tr>
      <w:tr w:rsidR="00376F62" w:rsidRPr="000328BF" w14:paraId="4F2DC328"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0F5974AB" w14:textId="77777777" w:rsidR="00376F62" w:rsidRPr="000328BF" w:rsidRDefault="00376F62" w:rsidP="005649C9">
            <w:pPr>
              <w:pStyle w:val="Tablebody"/>
              <w:rPr>
                <w:rFonts w:cs="Open Sans"/>
                <w:szCs w:val="18"/>
                <w:lang w:val="en-GB"/>
              </w:rPr>
            </w:pPr>
            <w:r w:rsidRPr="000328BF">
              <w:rPr>
                <w:rFonts w:cs="Open Sans"/>
                <w:szCs w:val="18"/>
              </w:rPr>
              <w:t>S26</w:t>
            </w:r>
          </w:p>
        </w:tc>
        <w:tc>
          <w:tcPr>
            <w:tcW w:w="8787" w:type="dxa"/>
          </w:tcPr>
          <w:p w14:paraId="75DD7C9D" w14:textId="77777777"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lang w:val="en-US"/>
              </w:rPr>
              <w:t>Is it a criminal offence for a man to have sex with his wife without her consent?</w:t>
            </w:r>
            <w:r w:rsidRPr="000328BF">
              <w:rPr>
                <w:rFonts w:ascii="Montserrat" w:hAnsi="Montserrat" w:cs="Montserrat"/>
                <w:szCs w:val="18"/>
                <w:lang w:val="en-US"/>
              </w:rPr>
              <w:t>~</w:t>
            </w:r>
          </w:p>
        </w:tc>
        <w:tc>
          <w:tcPr>
            <w:tcW w:w="907" w:type="dxa"/>
          </w:tcPr>
          <w:p w14:paraId="4D029197" w14:textId="77777777"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rPr>
              <w:t>16–24</w:t>
            </w:r>
          </w:p>
        </w:tc>
        <w:tc>
          <w:tcPr>
            <w:tcW w:w="850" w:type="dxa"/>
          </w:tcPr>
          <w:p w14:paraId="76981FC0" w14:textId="77777777"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rPr>
              <w:t>443</w:t>
            </w:r>
          </w:p>
        </w:tc>
        <w:tc>
          <w:tcPr>
            <w:tcW w:w="1134" w:type="dxa"/>
          </w:tcPr>
          <w:p w14:paraId="37404939" w14:textId="1F4E6EC9"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328BF">
              <w:rPr>
                <w:rFonts w:cs="Open Sans"/>
                <w:szCs w:val="18"/>
              </w:rPr>
              <w:t>83.71</w:t>
            </w:r>
          </w:p>
        </w:tc>
        <w:tc>
          <w:tcPr>
            <w:tcW w:w="1191" w:type="dxa"/>
          </w:tcPr>
          <w:p w14:paraId="6B2C27E7" w14:textId="0244E0D0"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328BF">
              <w:rPr>
                <w:rFonts w:cs="Open Sans"/>
                <w:szCs w:val="18"/>
              </w:rPr>
              <w:t>10.14</w:t>
            </w:r>
          </w:p>
        </w:tc>
        <w:tc>
          <w:tcPr>
            <w:tcW w:w="1361" w:type="dxa"/>
          </w:tcPr>
          <w:p w14:paraId="61D1F841" w14:textId="02C3C008" w:rsidR="00376F62" w:rsidRPr="000328BF"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328BF">
              <w:rPr>
                <w:rFonts w:cs="Open Sans"/>
                <w:szCs w:val="18"/>
              </w:rPr>
              <w:t>6.15</w:t>
            </w:r>
          </w:p>
        </w:tc>
      </w:tr>
      <w:tr w:rsidR="00C6675C" w:rsidRPr="000328BF" w14:paraId="22BF15DD"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677A108C" w14:textId="16C997FC" w:rsidR="00C6675C" w:rsidRPr="000328BF" w:rsidRDefault="00C6675C" w:rsidP="005649C9">
            <w:pPr>
              <w:pStyle w:val="Tablebody"/>
              <w:rPr>
                <w:rFonts w:cs="Open Sans"/>
                <w:szCs w:val="18"/>
              </w:rPr>
            </w:pPr>
            <w:r w:rsidRPr="000328BF">
              <w:rPr>
                <w:rFonts w:cs="Open Sans"/>
                <w:szCs w:val="18"/>
              </w:rPr>
              <w:t>S26</w:t>
            </w:r>
          </w:p>
        </w:tc>
        <w:tc>
          <w:tcPr>
            <w:tcW w:w="8787" w:type="dxa"/>
          </w:tcPr>
          <w:p w14:paraId="50D9C7B0" w14:textId="64F51439"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328BF">
              <w:rPr>
                <w:rFonts w:cs="Open Sans"/>
                <w:szCs w:val="18"/>
                <w:lang w:val="en-US"/>
              </w:rPr>
              <w:t>Is it a criminal offence for a man to have sex with his wife without her consent?</w:t>
            </w:r>
            <w:r w:rsidRPr="000328BF">
              <w:rPr>
                <w:rFonts w:ascii="Montserrat" w:hAnsi="Montserrat" w:cs="Montserrat"/>
                <w:szCs w:val="18"/>
                <w:lang w:val="en-US"/>
              </w:rPr>
              <w:t>~</w:t>
            </w:r>
          </w:p>
        </w:tc>
        <w:tc>
          <w:tcPr>
            <w:tcW w:w="907" w:type="dxa"/>
          </w:tcPr>
          <w:p w14:paraId="4DCE9C4E" w14:textId="2915ABB2"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25+</w:t>
            </w:r>
          </w:p>
        </w:tc>
        <w:tc>
          <w:tcPr>
            <w:tcW w:w="850" w:type="dxa"/>
          </w:tcPr>
          <w:p w14:paraId="0A4F2F5C" w14:textId="3F688F1A"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4,346</w:t>
            </w:r>
          </w:p>
        </w:tc>
        <w:tc>
          <w:tcPr>
            <w:tcW w:w="1134" w:type="dxa"/>
          </w:tcPr>
          <w:p w14:paraId="1AD899CA" w14:textId="29469E35"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78.97</w:t>
            </w:r>
          </w:p>
        </w:tc>
        <w:tc>
          <w:tcPr>
            <w:tcW w:w="1191" w:type="dxa"/>
          </w:tcPr>
          <w:p w14:paraId="0290AB29" w14:textId="15300EDB"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11.55</w:t>
            </w:r>
          </w:p>
        </w:tc>
        <w:tc>
          <w:tcPr>
            <w:tcW w:w="1361" w:type="dxa"/>
          </w:tcPr>
          <w:p w14:paraId="0302F008" w14:textId="6FB6927D"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9.15</w:t>
            </w:r>
          </w:p>
        </w:tc>
      </w:tr>
      <w:tr w:rsidR="00C6675C" w:rsidRPr="000328BF" w14:paraId="1ACBEC00"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63CE3172" w14:textId="77777777" w:rsidR="00C6675C" w:rsidRPr="000328BF" w:rsidRDefault="00C6675C" w:rsidP="005649C9">
            <w:pPr>
              <w:pStyle w:val="Tablebody"/>
              <w:rPr>
                <w:rFonts w:cs="Open Sans"/>
                <w:szCs w:val="18"/>
                <w:lang w:val="en-GB"/>
              </w:rPr>
            </w:pPr>
            <w:r w:rsidRPr="000328BF">
              <w:rPr>
                <w:rFonts w:cs="Open Sans"/>
                <w:szCs w:val="18"/>
              </w:rPr>
              <w:t>S27</w:t>
            </w:r>
          </w:p>
        </w:tc>
        <w:tc>
          <w:tcPr>
            <w:tcW w:w="8787" w:type="dxa"/>
          </w:tcPr>
          <w:p w14:paraId="784BD487" w14:textId="5475D3A1" w:rsidR="00C6675C" w:rsidRPr="00C72C32"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GB"/>
              </w:rPr>
            </w:pPr>
            <w:r w:rsidRPr="00C72C32">
              <w:rPr>
                <w:rFonts w:cs="Open Sans"/>
                <w:spacing w:val="-2"/>
                <w:szCs w:val="18"/>
                <w:lang w:val="en-US"/>
              </w:rPr>
              <w:t>Is it a criminal offence to post or share a sexual picture of an ex-partner on social media without their</w:t>
            </w:r>
            <w:r>
              <w:rPr>
                <w:rFonts w:cs="Open Sans"/>
                <w:spacing w:val="-2"/>
                <w:szCs w:val="18"/>
                <w:lang w:val="en-US"/>
              </w:rPr>
              <w:t> </w:t>
            </w:r>
            <w:r w:rsidRPr="00C72C32">
              <w:rPr>
                <w:rFonts w:cs="Open Sans"/>
                <w:spacing w:val="-2"/>
                <w:szCs w:val="18"/>
                <w:lang w:val="en-US"/>
              </w:rPr>
              <w:t>consent?</w:t>
            </w:r>
            <w:r w:rsidRPr="00C72C32">
              <w:rPr>
                <w:rFonts w:ascii="Montserrat" w:hAnsi="Montserrat" w:cs="Montserrat"/>
                <w:spacing w:val="-2"/>
                <w:szCs w:val="18"/>
                <w:lang w:val="en-US"/>
              </w:rPr>
              <w:t>~</w:t>
            </w:r>
          </w:p>
        </w:tc>
        <w:tc>
          <w:tcPr>
            <w:tcW w:w="907" w:type="dxa"/>
          </w:tcPr>
          <w:p w14:paraId="10253163" w14:textId="77777777"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rPr>
              <w:t>16–24</w:t>
            </w:r>
          </w:p>
        </w:tc>
        <w:tc>
          <w:tcPr>
            <w:tcW w:w="850" w:type="dxa"/>
          </w:tcPr>
          <w:p w14:paraId="7DE45DA1" w14:textId="77777777"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rPr>
              <w:t>443</w:t>
            </w:r>
          </w:p>
        </w:tc>
        <w:tc>
          <w:tcPr>
            <w:tcW w:w="1134" w:type="dxa"/>
          </w:tcPr>
          <w:p w14:paraId="4FA48E40" w14:textId="08C6AF83"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328BF">
              <w:rPr>
                <w:rFonts w:cs="Open Sans"/>
                <w:szCs w:val="18"/>
              </w:rPr>
              <w:t>93.16</w:t>
            </w:r>
          </w:p>
        </w:tc>
        <w:tc>
          <w:tcPr>
            <w:tcW w:w="1191" w:type="dxa"/>
          </w:tcPr>
          <w:p w14:paraId="3E03EF28" w14:textId="0532AEC8"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328BF">
              <w:rPr>
                <w:rFonts w:cs="Open Sans"/>
                <w:szCs w:val="18"/>
              </w:rPr>
              <w:t>5.11</w:t>
            </w:r>
          </w:p>
        </w:tc>
        <w:tc>
          <w:tcPr>
            <w:tcW w:w="1361" w:type="dxa"/>
          </w:tcPr>
          <w:p w14:paraId="271CE6B8" w14:textId="424D3AE1"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328BF">
              <w:rPr>
                <w:rFonts w:cs="Open Sans"/>
                <w:szCs w:val="18"/>
              </w:rPr>
              <w:t>1.73</w:t>
            </w:r>
            <w:r w:rsidRPr="000328BF">
              <w:rPr>
                <w:rFonts w:cs="Open Sans"/>
                <w:szCs w:val="18"/>
                <w:vertAlign w:val="superscript"/>
              </w:rPr>
              <w:t>a</w:t>
            </w:r>
          </w:p>
        </w:tc>
      </w:tr>
      <w:tr w:rsidR="00C6675C" w:rsidRPr="000328BF" w14:paraId="5370155E" w14:textId="77777777" w:rsidTr="005649C9">
        <w:trPr>
          <w:trHeight w:val="364"/>
        </w:trPr>
        <w:tc>
          <w:tcPr>
            <w:cnfStyle w:val="001000000000" w:firstRow="0" w:lastRow="0" w:firstColumn="1" w:lastColumn="0" w:oddVBand="0" w:evenVBand="0" w:oddHBand="0" w:evenHBand="0" w:firstRowFirstColumn="0" w:firstRowLastColumn="0" w:lastRowFirstColumn="0" w:lastRowLastColumn="0"/>
            <w:tcW w:w="737" w:type="dxa"/>
          </w:tcPr>
          <w:p w14:paraId="51F6103B" w14:textId="1A05C468" w:rsidR="00C6675C" w:rsidRPr="000328BF" w:rsidRDefault="00C6675C" w:rsidP="005649C9">
            <w:pPr>
              <w:pStyle w:val="Tablebody"/>
              <w:rPr>
                <w:rFonts w:cs="Open Sans"/>
                <w:szCs w:val="18"/>
              </w:rPr>
            </w:pPr>
            <w:r w:rsidRPr="000328BF">
              <w:rPr>
                <w:rFonts w:cs="Open Sans"/>
                <w:szCs w:val="18"/>
              </w:rPr>
              <w:t>S27</w:t>
            </w:r>
          </w:p>
        </w:tc>
        <w:tc>
          <w:tcPr>
            <w:tcW w:w="8787" w:type="dxa"/>
          </w:tcPr>
          <w:p w14:paraId="67D987B7" w14:textId="4E045EA5" w:rsidR="00C6675C" w:rsidRPr="00C72C32"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US"/>
              </w:rPr>
            </w:pPr>
            <w:r w:rsidRPr="000328BF">
              <w:rPr>
                <w:rFonts w:cs="Open Sans"/>
                <w:szCs w:val="18"/>
                <w:lang w:val="en-US"/>
              </w:rPr>
              <w:t>Is it a criminal offence to post or share a sexual picture of an ex-partner on social media without their</w:t>
            </w:r>
            <w:r>
              <w:rPr>
                <w:rFonts w:cs="Open Sans"/>
                <w:szCs w:val="18"/>
                <w:lang w:val="en-US"/>
              </w:rPr>
              <w:t> </w:t>
            </w:r>
            <w:r w:rsidRPr="000328BF">
              <w:rPr>
                <w:rFonts w:cs="Open Sans"/>
                <w:szCs w:val="18"/>
                <w:lang w:val="en-US"/>
              </w:rPr>
              <w:t>consent?</w:t>
            </w:r>
            <w:r w:rsidRPr="000328BF">
              <w:rPr>
                <w:rFonts w:ascii="Montserrat" w:hAnsi="Montserrat" w:cs="Montserrat"/>
                <w:szCs w:val="18"/>
                <w:lang w:val="en-US"/>
              </w:rPr>
              <w:t>~</w:t>
            </w:r>
          </w:p>
        </w:tc>
        <w:tc>
          <w:tcPr>
            <w:tcW w:w="907" w:type="dxa"/>
          </w:tcPr>
          <w:p w14:paraId="1F3860FB" w14:textId="18AFB357"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25+</w:t>
            </w:r>
          </w:p>
        </w:tc>
        <w:tc>
          <w:tcPr>
            <w:tcW w:w="850" w:type="dxa"/>
          </w:tcPr>
          <w:p w14:paraId="50ED4D6E" w14:textId="277FCA74"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4,346</w:t>
            </w:r>
          </w:p>
        </w:tc>
        <w:tc>
          <w:tcPr>
            <w:tcW w:w="1134" w:type="dxa"/>
          </w:tcPr>
          <w:p w14:paraId="3AC06368" w14:textId="6C86804E"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88.37</w:t>
            </w:r>
          </w:p>
        </w:tc>
        <w:tc>
          <w:tcPr>
            <w:tcW w:w="1191" w:type="dxa"/>
          </w:tcPr>
          <w:p w14:paraId="01B25C96" w14:textId="7EF52B11"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5.86</w:t>
            </w:r>
          </w:p>
        </w:tc>
        <w:tc>
          <w:tcPr>
            <w:tcW w:w="1361" w:type="dxa"/>
          </w:tcPr>
          <w:p w14:paraId="329684C4" w14:textId="1E821966" w:rsidR="00C6675C" w:rsidRPr="000328BF"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328BF">
              <w:rPr>
                <w:rFonts w:cs="Open Sans"/>
                <w:szCs w:val="18"/>
              </w:rPr>
              <w:t>5.66</w:t>
            </w:r>
          </w:p>
        </w:tc>
      </w:tr>
    </w:tbl>
    <w:p w14:paraId="58CC2C1A" w14:textId="650F69CB" w:rsidR="000328BF" w:rsidRPr="000328BF" w:rsidRDefault="000328BF" w:rsidP="00C1558D">
      <w:pPr>
        <w:pStyle w:val="datatablenote"/>
      </w:pPr>
      <w:r w:rsidRPr="000328BF">
        <w:rPr>
          <w:b/>
        </w:rPr>
        <w:t>Note:</w:t>
      </w:r>
      <w:r w:rsidRPr="000328BF">
        <w:t xml:space="preserve"> Percentages may not add to 100 as “unanswered” category is not shown in the table. </w:t>
      </w:r>
      <w:r w:rsidR="00376F62">
        <w:br/>
      </w:r>
      <w:r w:rsidRPr="000328BF">
        <w:t xml:space="preserve">There were no statistically significant differences between 16- to 24-year-olds and respondents aged 25 years or older on these items. </w:t>
      </w:r>
    </w:p>
    <w:p w14:paraId="2BC4C5DA" w14:textId="77777777" w:rsidR="000328BF" w:rsidRPr="000328BF" w:rsidRDefault="000328BF" w:rsidP="00C1558D">
      <w:pPr>
        <w:pStyle w:val="datatablenote"/>
      </w:pPr>
      <w:r w:rsidRPr="000328BF">
        <w:rPr>
          <w:b/>
        </w:rPr>
        <w:t>a</w:t>
      </w:r>
      <w:r w:rsidRPr="000328BF">
        <w:t xml:space="preserve"> This result should be interpreted with caution because it has a relative standard error &gt;25%. </w:t>
      </w:r>
    </w:p>
    <w:p w14:paraId="352443BD" w14:textId="2BA68C7C" w:rsidR="00B17585" w:rsidRPr="009F61EC" w:rsidRDefault="000328BF" w:rsidP="00C1558D">
      <w:pPr>
        <w:pStyle w:val="datatablenote"/>
      </w:pPr>
      <w:r w:rsidRPr="000328BF">
        <w:rPr>
          <w:rFonts w:ascii="Montserrat" w:hAnsi="Montserrat" w:cs="Montserrat"/>
        </w:rPr>
        <w:t>~</w:t>
      </w:r>
      <w:r w:rsidRPr="000328BF">
        <w:t xml:space="preserve"> Asked of one quarter of the sample. </w:t>
      </w:r>
    </w:p>
    <w:p w14:paraId="3E11718A" w14:textId="4744A7C5" w:rsidR="00E12291" w:rsidRDefault="00E12291" w:rsidP="00F5214A">
      <w:pPr>
        <w:pStyle w:val="TableheadingTablesandfigures"/>
      </w:pPr>
      <w:bookmarkStart w:id="268" w:name="_Toc187402253"/>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5</w:t>
      </w:r>
      <w:r w:rsidR="004A7ED7">
        <w:rPr>
          <w:noProof/>
        </w:rPr>
        <w:fldChar w:fldCharType="end"/>
      </w:r>
      <w:r w:rsidRPr="00E12291">
        <w:t xml:space="preserve">: </w:t>
      </w:r>
      <w:r w:rsidR="007134A4">
        <w:tab/>
      </w:r>
      <w:r w:rsidRPr="00E12291">
        <w:t>Awareness of violence against women as a problem in Australia and locally by age, all ages (not</w:t>
      </w:r>
      <w:r w:rsidR="00376F62">
        <w:t> </w:t>
      </w:r>
      <w:r w:rsidRPr="00E12291">
        <w:t>part</w:t>
      </w:r>
      <w:r w:rsidR="00376F62">
        <w:t> </w:t>
      </w:r>
      <w:r w:rsidRPr="00E12291">
        <w:t>of</w:t>
      </w:r>
      <w:r w:rsidR="00376F62">
        <w:t> </w:t>
      </w:r>
      <w:r w:rsidRPr="00E12291">
        <w:t>any</w:t>
      </w:r>
      <w:r w:rsidR="00376F62">
        <w:t> </w:t>
      </w:r>
      <w:r w:rsidRPr="00E12291">
        <w:t>scale), 2021</w:t>
      </w:r>
      <w:bookmarkEnd w:id="268"/>
    </w:p>
    <w:p w14:paraId="0E63B81A" w14:textId="0CC6CD39" w:rsidR="00474B3F" w:rsidRPr="00474B3F" w:rsidRDefault="00474B3F" w:rsidP="005649C9">
      <w:pPr>
        <w:pStyle w:val="Tablesubheading0"/>
      </w:pPr>
      <w:r w:rsidRPr="008C29F3">
        <w:rPr>
          <w:lang w:val="en-AU"/>
        </w:rPr>
        <w:t>Area of knowledge:</w:t>
      </w:r>
      <w:r w:rsidRPr="00474B3F">
        <w:t xml:space="preserve"> </w:t>
      </w:r>
      <w:r w:rsidRPr="00E12291">
        <w:t>Violence against women is a problem</w:t>
      </w:r>
    </w:p>
    <w:tbl>
      <w:tblPr>
        <w:tblStyle w:val="Table-SingleHeaderRow"/>
        <w:tblW w:w="14967" w:type="dxa"/>
        <w:tblLayout w:type="fixed"/>
        <w:tblLook w:val="00A0" w:firstRow="1" w:lastRow="0" w:firstColumn="1" w:lastColumn="0" w:noHBand="0" w:noVBand="0"/>
      </w:tblPr>
      <w:tblGrid>
        <w:gridCol w:w="737"/>
        <w:gridCol w:w="4365"/>
        <w:gridCol w:w="737"/>
        <w:gridCol w:w="624"/>
        <w:gridCol w:w="1020"/>
        <w:gridCol w:w="1191"/>
        <w:gridCol w:w="1133"/>
        <w:gridCol w:w="1191"/>
        <w:gridCol w:w="1021"/>
        <w:gridCol w:w="1020"/>
        <w:gridCol w:w="850"/>
        <w:gridCol w:w="1078"/>
      </w:tblGrid>
      <w:tr w:rsidR="00C72C32" w:rsidRPr="00E12291" w14:paraId="46A6294C" w14:textId="77777777" w:rsidTr="005649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58052E9B" w14:textId="77777777" w:rsidR="00474B3F" w:rsidRPr="00E12291" w:rsidRDefault="00474B3F" w:rsidP="005649C9">
            <w:pPr>
              <w:pStyle w:val="Tablebody"/>
              <w:rPr>
                <w:b w:val="0"/>
              </w:rPr>
            </w:pPr>
            <w:r w:rsidRPr="00E12291">
              <w:t>Code</w:t>
            </w:r>
          </w:p>
        </w:tc>
        <w:tc>
          <w:tcPr>
            <w:tcW w:w="4365" w:type="dxa"/>
          </w:tcPr>
          <w:p w14:paraId="59D9E199"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Abbreviated item wording</w:t>
            </w:r>
          </w:p>
        </w:tc>
        <w:tc>
          <w:tcPr>
            <w:tcW w:w="737" w:type="dxa"/>
          </w:tcPr>
          <w:p w14:paraId="16B09D00"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Age</w:t>
            </w:r>
          </w:p>
        </w:tc>
        <w:tc>
          <w:tcPr>
            <w:tcW w:w="624" w:type="dxa"/>
          </w:tcPr>
          <w:p w14:paraId="1083CA7E"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rPr>
                <w:rFonts w:ascii="Open Sans SemiBold" w:hAnsi="Open Sans SemiBold" w:cs="Open Sans SemiBold"/>
                <w:i/>
                <w:iCs/>
                <w:lang w:val="en-US"/>
              </w:rPr>
              <w:t>N</w:t>
            </w:r>
          </w:p>
        </w:tc>
        <w:tc>
          <w:tcPr>
            <w:tcW w:w="1020" w:type="dxa"/>
          </w:tcPr>
          <w:p w14:paraId="2AFBEDCF"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Strongly agree</w:t>
            </w:r>
          </w:p>
        </w:tc>
        <w:tc>
          <w:tcPr>
            <w:tcW w:w="1191" w:type="dxa"/>
          </w:tcPr>
          <w:p w14:paraId="1DDEF438"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Somewhat agree</w:t>
            </w:r>
          </w:p>
        </w:tc>
        <w:tc>
          <w:tcPr>
            <w:tcW w:w="1133" w:type="dxa"/>
          </w:tcPr>
          <w:p w14:paraId="0D4BCFE7"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Neither agree nor disagree</w:t>
            </w:r>
          </w:p>
        </w:tc>
        <w:tc>
          <w:tcPr>
            <w:tcW w:w="1191" w:type="dxa"/>
          </w:tcPr>
          <w:p w14:paraId="3073964E"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Somewhat disagree</w:t>
            </w:r>
          </w:p>
        </w:tc>
        <w:tc>
          <w:tcPr>
            <w:tcW w:w="1021" w:type="dxa"/>
          </w:tcPr>
          <w:p w14:paraId="5D59E974"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Strongly disagree</w:t>
            </w:r>
          </w:p>
        </w:tc>
        <w:tc>
          <w:tcPr>
            <w:tcW w:w="1020" w:type="dxa"/>
          </w:tcPr>
          <w:p w14:paraId="5D5DED0B"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Unsure</w:t>
            </w:r>
          </w:p>
        </w:tc>
        <w:tc>
          <w:tcPr>
            <w:tcW w:w="850" w:type="dxa"/>
          </w:tcPr>
          <w:p w14:paraId="775B9A08"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Net agree</w:t>
            </w:r>
            <w:r w:rsidRPr="00E12291">
              <w:rPr>
                <w:vertAlign w:val="superscript"/>
              </w:rPr>
              <w:t>a</w:t>
            </w:r>
          </w:p>
        </w:tc>
        <w:tc>
          <w:tcPr>
            <w:tcW w:w="1078" w:type="dxa"/>
          </w:tcPr>
          <w:p w14:paraId="10311959" w14:textId="77777777" w:rsidR="00474B3F" w:rsidRPr="00E12291"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rPr>
            </w:pPr>
            <w:r w:rsidRPr="00E12291">
              <w:t>% Net disagree</w:t>
            </w:r>
            <w:r w:rsidRPr="00E12291">
              <w:rPr>
                <w:vertAlign w:val="superscript"/>
              </w:rPr>
              <w:t>b</w:t>
            </w:r>
          </w:p>
        </w:tc>
      </w:tr>
      <w:tr w:rsidR="00376F62" w:rsidRPr="00E12291" w14:paraId="21C1F5B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8F47918" w14:textId="77777777" w:rsidR="00376F62" w:rsidRPr="00E12291" w:rsidRDefault="00376F62" w:rsidP="005649C9">
            <w:pPr>
              <w:pStyle w:val="Tablebody"/>
              <w:rPr>
                <w:rFonts w:cs="Open Sans"/>
                <w:szCs w:val="18"/>
              </w:rPr>
            </w:pPr>
            <w:r w:rsidRPr="00E12291">
              <w:rPr>
                <w:rFonts w:cs="Open Sans"/>
                <w:szCs w:val="18"/>
              </w:rPr>
              <w:t>V1</w:t>
            </w:r>
          </w:p>
        </w:tc>
        <w:tc>
          <w:tcPr>
            <w:tcW w:w="4365" w:type="dxa"/>
          </w:tcPr>
          <w:p w14:paraId="65D66A1A" w14:textId="77777777"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Violence against women is a problem in Australia</w:t>
            </w:r>
            <w:r w:rsidRPr="00E12291">
              <w:rPr>
                <w:rFonts w:ascii="Montserrat" w:hAnsi="Montserrat" w:cs="Montserrat"/>
                <w:szCs w:val="18"/>
                <w:lang w:val="en-US"/>
              </w:rPr>
              <w:t>~</w:t>
            </w:r>
          </w:p>
        </w:tc>
        <w:tc>
          <w:tcPr>
            <w:tcW w:w="737" w:type="dxa"/>
          </w:tcPr>
          <w:p w14:paraId="6DB16639" w14:textId="77777777"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16–24</w:t>
            </w:r>
          </w:p>
        </w:tc>
        <w:tc>
          <w:tcPr>
            <w:tcW w:w="624" w:type="dxa"/>
          </w:tcPr>
          <w:p w14:paraId="49AB7F6F" w14:textId="77777777"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487</w:t>
            </w:r>
          </w:p>
        </w:tc>
        <w:tc>
          <w:tcPr>
            <w:tcW w:w="1020" w:type="dxa"/>
          </w:tcPr>
          <w:p w14:paraId="0AC8DDDD" w14:textId="2A7F0BD4"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63.57</w:t>
            </w:r>
          </w:p>
        </w:tc>
        <w:tc>
          <w:tcPr>
            <w:tcW w:w="1191" w:type="dxa"/>
          </w:tcPr>
          <w:p w14:paraId="6F402AAA" w14:textId="4B56599B"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26.95</w:t>
            </w:r>
          </w:p>
        </w:tc>
        <w:tc>
          <w:tcPr>
            <w:tcW w:w="1133" w:type="dxa"/>
          </w:tcPr>
          <w:p w14:paraId="37B65577" w14:textId="2A29C3B1"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1.07</w:t>
            </w:r>
            <w:r w:rsidRPr="00E12291">
              <w:rPr>
                <w:rFonts w:cs="Open Sans"/>
                <w:sz w:val="16"/>
                <w:szCs w:val="16"/>
                <w:vertAlign w:val="superscript"/>
              </w:rPr>
              <w:t>c</w:t>
            </w:r>
          </w:p>
        </w:tc>
        <w:tc>
          <w:tcPr>
            <w:tcW w:w="1191" w:type="dxa"/>
          </w:tcPr>
          <w:p w14:paraId="49F06A83" w14:textId="605C92F3"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4.27</w:t>
            </w:r>
          </w:p>
        </w:tc>
        <w:tc>
          <w:tcPr>
            <w:tcW w:w="1021" w:type="dxa"/>
          </w:tcPr>
          <w:p w14:paraId="69CC9B28" w14:textId="48095C61"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1.95</w:t>
            </w:r>
            <w:r w:rsidRPr="00E12291">
              <w:rPr>
                <w:rFonts w:cs="Open Sans"/>
                <w:szCs w:val="18"/>
                <w:vertAlign w:val="superscript"/>
              </w:rPr>
              <w:t>c</w:t>
            </w:r>
          </w:p>
        </w:tc>
        <w:tc>
          <w:tcPr>
            <w:tcW w:w="1020" w:type="dxa"/>
          </w:tcPr>
          <w:p w14:paraId="066527A8" w14:textId="1B9897EF"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2.18</w:t>
            </w:r>
            <w:r w:rsidRPr="00E12291">
              <w:rPr>
                <w:rFonts w:cs="Open Sans"/>
                <w:szCs w:val="18"/>
                <w:vertAlign w:val="superscript"/>
              </w:rPr>
              <w:t>c</w:t>
            </w:r>
          </w:p>
        </w:tc>
        <w:tc>
          <w:tcPr>
            <w:tcW w:w="850" w:type="dxa"/>
          </w:tcPr>
          <w:p w14:paraId="6276361D" w14:textId="5CC17EB7"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90.53</w:t>
            </w:r>
          </w:p>
        </w:tc>
        <w:tc>
          <w:tcPr>
            <w:tcW w:w="1078" w:type="dxa"/>
          </w:tcPr>
          <w:p w14:paraId="5F3224FD" w14:textId="4B53A9BF" w:rsidR="00376F62" w:rsidRPr="00E12291"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6.22</w:t>
            </w:r>
          </w:p>
        </w:tc>
      </w:tr>
      <w:tr w:rsidR="00C6675C" w:rsidRPr="00E12291" w14:paraId="34C6BA1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A1531AF" w14:textId="21D634F4" w:rsidR="00C6675C" w:rsidRPr="00E12291" w:rsidRDefault="00C6675C" w:rsidP="005649C9">
            <w:pPr>
              <w:pStyle w:val="Tablebody"/>
              <w:rPr>
                <w:rFonts w:cs="Open Sans"/>
                <w:szCs w:val="18"/>
              </w:rPr>
            </w:pPr>
            <w:r w:rsidRPr="00E12291">
              <w:rPr>
                <w:rFonts w:cs="Open Sans"/>
                <w:szCs w:val="18"/>
              </w:rPr>
              <w:t>V1</w:t>
            </w:r>
          </w:p>
        </w:tc>
        <w:tc>
          <w:tcPr>
            <w:tcW w:w="4365" w:type="dxa"/>
          </w:tcPr>
          <w:p w14:paraId="5A1FCDD4" w14:textId="52B7B58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Violence against women is a problem in Australia</w:t>
            </w:r>
            <w:r w:rsidRPr="00E12291">
              <w:rPr>
                <w:rFonts w:ascii="Montserrat" w:hAnsi="Montserrat" w:cs="Montserrat"/>
                <w:szCs w:val="18"/>
                <w:lang w:val="en-US"/>
              </w:rPr>
              <w:t>~</w:t>
            </w:r>
          </w:p>
        </w:tc>
        <w:tc>
          <w:tcPr>
            <w:tcW w:w="737" w:type="dxa"/>
          </w:tcPr>
          <w:p w14:paraId="11283441" w14:textId="6CBBCC70"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25+</w:t>
            </w:r>
          </w:p>
        </w:tc>
        <w:tc>
          <w:tcPr>
            <w:tcW w:w="624" w:type="dxa"/>
          </w:tcPr>
          <w:p w14:paraId="4E696D37" w14:textId="7B9EE111"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4,633</w:t>
            </w:r>
          </w:p>
        </w:tc>
        <w:tc>
          <w:tcPr>
            <w:tcW w:w="1020" w:type="dxa"/>
          </w:tcPr>
          <w:p w14:paraId="3D8FBB63" w14:textId="192D3719"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66.35</w:t>
            </w:r>
          </w:p>
        </w:tc>
        <w:tc>
          <w:tcPr>
            <w:tcW w:w="1191" w:type="dxa"/>
          </w:tcPr>
          <w:p w14:paraId="4E1487BA" w14:textId="76A77F8A"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24.69</w:t>
            </w:r>
          </w:p>
        </w:tc>
        <w:tc>
          <w:tcPr>
            <w:tcW w:w="1133" w:type="dxa"/>
          </w:tcPr>
          <w:p w14:paraId="04A7BE58" w14:textId="12D4B996"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1.13</w:t>
            </w:r>
          </w:p>
        </w:tc>
        <w:tc>
          <w:tcPr>
            <w:tcW w:w="1191" w:type="dxa"/>
          </w:tcPr>
          <w:p w14:paraId="323DEC4B" w14:textId="05E06B10"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2.86</w:t>
            </w:r>
          </w:p>
        </w:tc>
        <w:tc>
          <w:tcPr>
            <w:tcW w:w="1021" w:type="dxa"/>
          </w:tcPr>
          <w:p w14:paraId="0C9EC72D" w14:textId="0D7807CD"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2.58</w:t>
            </w:r>
          </w:p>
        </w:tc>
        <w:tc>
          <w:tcPr>
            <w:tcW w:w="1020" w:type="dxa"/>
          </w:tcPr>
          <w:p w14:paraId="424BB93A" w14:textId="50D005C9"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2.35</w:t>
            </w:r>
          </w:p>
        </w:tc>
        <w:tc>
          <w:tcPr>
            <w:tcW w:w="850" w:type="dxa"/>
          </w:tcPr>
          <w:p w14:paraId="6E0DC288" w14:textId="577AC05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91.05</w:t>
            </w:r>
          </w:p>
        </w:tc>
        <w:tc>
          <w:tcPr>
            <w:tcW w:w="1078" w:type="dxa"/>
          </w:tcPr>
          <w:p w14:paraId="20ECBACB" w14:textId="1B31BF05"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5.44</w:t>
            </w:r>
          </w:p>
        </w:tc>
      </w:tr>
      <w:tr w:rsidR="00C6675C" w:rsidRPr="00E12291" w14:paraId="1C8BD05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D0E21FC" w14:textId="44CD5874" w:rsidR="00C6675C" w:rsidRPr="00E12291" w:rsidRDefault="00C6675C" w:rsidP="005649C9">
            <w:pPr>
              <w:pStyle w:val="Tablebody"/>
              <w:rPr>
                <w:rFonts w:cs="Open Sans"/>
                <w:szCs w:val="18"/>
              </w:rPr>
            </w:pPr>
            <w:r w:rsidRPr="00E12291">
              <w:rPr>
                <w:rFonts w:cs="Open Sans"/>
                <w:szCs w:val="18"/>
              </w:rPr>
              <w:t>V2</w:t>
            </w:r>
          </w:p>
        </w:tc>
        <w:tc>
          <w:tcPr>
            <w:tcW w:w="4365" w:type="dxa"/>
          </w:tcPr>
          <w:p w14:paraId="023A9884" w14:textId="7777777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Violence against women is a problem in the suburb or town where you live</w:t>
            </w:r>
            <w:r w:rsidRPr="00E12291">
              <w:rPr>
                <w:rFonts w:ascii="Montserrat" w:hAnsi="Montserrat" w:cs="Montserrat"/>
                <w:szCs w:val="18"/>
                <w:lang w:val="en-US"/>
              </w:rPr>
              <w:t>~</w:t>
            </w:r>
          </w:p>
        </w:tc>
        <w:tc>
          <w:tcPr>
            <w:tcW w:w="737" w:type="dxa"/>
          </w:tcPr>
          <w:p w14:paraId="1CF9BCDF" w14:textId="7777777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16–24</w:t>
            </w:r>
          </w:p>
        </w:tc>
        <w:tc>
          <w:tcPr>
            <w:tcW w:w="624" w:type="dxa"/>
          </w:tcPr>
          <w:p w14:paraId="33CF8457" w14:textId="7777777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487</w:t>
            </w:r>
          </w:p>
        </w:tc>
        <w:tc>
          <w:tcPr>
            <w:tcW w:w="1020" w:type="dxa"/>
          </w:tcPr>
          <w:p w14:paraId="29E79E99" w14:textId="42056BD2"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16.64</w:t>
            </w:r>
          </w:p>
        </w:tc>
        <w:tc>
          <w:tcPr>
            <w:tcW w:w="1191" w:type="dxa"/>
          </w:tcPr>
          <w:p w14:paraId="09E8F64E" w14:textId="1F451799"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lang w:val="en-US"/>
              </w:rPr>
              <w:t>36.29*</w:t>
            </w:r>
          </w:p>
        </w:tc>
        <w:tc>
          <w:tcPr>
            <w:tcW w:w="1133" w:type="dxa"/>
          </w:tcPr>
          <w:p w14:paraId="62243004" w14:textId="73175864"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6.70</w:t>
            </w:r>
          </w:p>
        </w:tc>
        <w:tc>
          <w:tcPr>
            <w:tcW w:w="1191" w:type="dxa"/>
          </w:tcPr>
          <w:p w14:paraId="06C944AF" w14:textId="3BB28EDA"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18.49</w:t>
            </w:r>
          </w:p>
        </w:tc>
        <w:tc>
          <w:tcPr>
            <w:tcW w:w="1021" w:type="dxa"/>
          </w:tcPr>
          <w:p w14:paraId="68CBC82C" w14:textId="60A14842"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8.54</w:t>
            </w:r>
          </w:p>
        </w:tc>
        <w:tc>
          <w:tcPr>
            <w:tcW w:w="1020" w:type="dxa"/>
          </w:tcPr>
          <w:p w14:paraId="4CA98044" w14:textId="2239B9C6"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13.34*</w:t>
            </w:r>
          </w:p>
        </w:tc>
        <w:tc>
          <w:tcPr>
            <w:tcW w:w="850" w:type="dxa"/>
          </w:tcPr>
          <w:p w14:paraId="3069E100" w14:textId="24DFBA0A"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52.93</w:t>
            </w:r>
          </w:p>
        </w:tc>
        <w:tc>
          <w:tcPr>
            <w:tcW w:w="1078" w:type="dxa"/>
          </w:tcPr>
          <w:p w14:paraId="62136162" w14:textId="1C875FC5"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E12291">
              <w:rPr>
                <w:rFonts w:cs="Open Sans"/>
                <w:szCs w:val="18"/>
              </w:rPr>
              <w:t>27.03</w:t>
            </w:r>
          </w:p>
        </w:tc>
      </w:tr>
      <w:tr w:rsidR="00C6675C" w:rsidRPr="00E12291" w14:paraId="72F5D57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847E9ED" w14:textId="1D34F00A" w:rsidR="00C6675C" w:rsidRPr="00E12291" w:rsidRDefault="00C6675C" w:rsidP="005649C9">
            <w:pPr>
              <w:pStyle w:val="Tablebody"/>
              <w:rPr>
                <w:rFonts w:cs="Open Sans"/>
                <w:szCs w:val="18"/>
              </w:rPr>
            </w:pPr>
            <w:r w:rsidRPr="00E12291">
              <w:rPr>
                <w:rFonts w:cs="Open Sans"/>
                <w:szCs w:val="18"/>
              </w:rPr>
              <w:t>V2</w:t>
            </w:r>
          </w:p>
        </w:tc>
        <w:tc>
          <w:tcPr>
            <w:tcW w:w="4365" w:type="dxa"/>
          </w:tcPr>
          <w:p w14:paraId="69E5F67F" w14:textId="6F124D48"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Violence against women is a problem in the suburb or town where you live</w:t>
            </w:r>
            <w:r w:rsidRPr="00E12291">
              <w:rPr>
                <w:rFonts w:ascii="Montserrat" w:hAnsi="Montserrat" w:cs="Montserrat"/>
                <w:szCs w:val="18"/>
                <w:lang w:val="en-US"/>
              </w:rPr>
              <w:t>~</w:t>
            </w:r>
          </w:p>
        </w:tc>
        <w:tc>
          <w:tcPr>
            <w:tcW w:w="737" w:type="dxa"/>
          </w:tcPr>
          <w:p w14:paraId="362E5854" w14:textId="2C2BBE7D"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25+</w:t>
            </w:r>
          </w:p>
        </w:tc>
        <w:tc>
          <w:tcPr>
            <w:tcW w:w="624" w:type="dxa"/>
          </w:tcPr>
          <w:p w14:paraId="2AFF6176" w14:textId="25379AA7"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4,633</w:t>
            </w:r>
          </w:p>
        </w:tc>
        <w:tc>
          <w:tcPr>
            <w:tcW w:w="1020" w:type="dxa"/>
          </w:tcPr>
          <w:p w14:paraId="224AC8A1" w14:textId="6134B8F4"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19.33</w:t>
            </w:r>
          </w:p>
        </w:tc>
        <w:tc>
          <w:tcPr>
            <w:tcW w:w="1191" w:type="dxa"/>
          </w:tcPr>
          <w:p w14:paraId="29FF9D62" w14:textId="3EA86300"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E12291">
              <w:rPr>
                <w:rFonts w:cs="Open Sans"/>
                <w:szCs w:val="18"/>
              </w:rPr>
              <w:t>26.91*</w:t>
            </w:r>
          </w:p>
        </w:tc>
        <w:tc>
          <w:tcPr>
            <w:tcW w:w="1133" w:type="dxa"/>
          </w:tcPr>
          <w:p w14:paraId="4E458AB9" w14:textId="5CEAC23A"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5.07</w:t>
            </w:r>
          </w:p>
        </w:tc>
        <w:tc>
          <w:tcPr>
            <w:tcW w:w="1191" w:type="dxa"/>
          </w:tcPr>
          <w:p w14:paraId="5CE7B80B" w14:textId="352A12FF"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16.66</w:t>
            </w:r>
          </w:p>
        </w:tc>
        <w:tc>
          <w:tcPr>
            <w:tcW w:w="1021" w:type="dxa"/>
          </w:tcPr>
          <w:p w14:paraId="408C59DC" w14:textId="2A279801"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8.88</w:t>
            </w:r>
          </w:p>
        </w:tc>
        <w:tc>
          <w:tcPr>
            <w:tcW w:w="1020" w:type="dxa"/>
          </w:tcPr>
          <w:p w14:paraId="63601AEC" w14:textId="4BFF3042"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lang w:val="en-US"/>
              </w:rPr>
              <w:t>23.10*</w:t>
            </w:r>
          </w:p>
        </w:tc>
        <w:tc>
          <w:tcPr>
            <w:tcW w:w="850" w:type="dxa"/>
          </w:tcPr>
          <w:p w14:paraId="78F5ACF1" w14:textId="17EB4246"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46.25</w:t>
            </w:r>
          </w:p>
        </w:tc>
        <w:tc>
          <w:tcPr>
            <w:tcW w:w="1078" w:type="dxa"/>
          </w:tcPr>
          <w:p w14:paraId="03F89842" w14:textId="375A394B" w:rsidR="00C6675C" w:rsidRPr="00E12291"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E12291">
              <w:rPr>
                <w:rFonts w:cs="Open Sans"/>
                <w:szCs w:val="18"/>
              </w:rPr>
              <w:t>25.54</w:t>
            </w:r>
          </w:p>
        </w:tc>
      </w:tr>
    </w:tbl>
    <w:p w14:paraId="39E7B77B" w14:textId="77777777" w:rsidR="00E12291" w:rsidRPr="00567D6D" w:rsidRDefault="00E12291" w:rsidP="00C1558D">
      <w:pPr>
        <w:pStyle w:val="datatablenote"/>
      </w:pPr>
      <w:r w:rsidRPr="00887001">
        <w:rPr>
          <w:b/>
        </w:rPr>
        <w:lastRenderedPageBreak/>
        <w:t>Note</w:t>
      </w:r>
      <w:r w:rsidRPr="00567D6D">
        <w:t>: Numbers in bold reflect the significantly higher value in the comparison.</w:t>
      </w:r>
    </w:p>
    <w:p w14:paraId="0976B36B" w14:textId="77777777" w:rsidR="00E12291" w:rsidRPr="00567D6D" w:rsidRDefault="00E12291" w:rsidP="00C1558D">
      <w:pPr>
        <w:pStyle w:val="datatablenote"/>
      </w:pPr>
      <w:r w:rsidRPr="00567D6D">
        <w:t xml:space="preserve">Percentages may not add to 100 as “unanswered” category is not shown in the table. </w:t>
      </w:r>
    </w:p>
    <w:p w14:paraId="29CDB929" w14:textId="77777777" w:rsidR="00E12291" w:rsidRPr="00567D6D" w:rsidRDefault="00E12291" w:rsidP="00C1558D">
      <w:pPr>
        <w:pStyle w:val="datatablenote"/>
      </w:pPr>
      <w:r w:rsidRPr="00567D6D">
        <w:t xml:space="preserve">a “Net agree” refers to answering “agree” either “strongly” or “somewhat”. </w:t>
      </w:r>
    </w:p>
    <w:p w14:paraId="54451097" w14:textId="77777777" w:rsidR="00E12291" w:rsidRPr="00567D6D" w:rsidRDefault="00E12291" w:rsidP="00C1558D">
      <w:pPr>
        <w:pStyle w:val="datatablenote"/>
      </w:pPr>
      <w:r w:rsidRPr="00567D6D">
        <w:t>b “Net disagree” refers to answering “disagree” either “strongly” or “somewhat”.</w:t>
      </w:r>
    </w:p>
    <w:p w14:paraId="789A619F" w14:textId="77777777" w:rsidR="00E12291" w:rsidRPr="00567D6D" w:rsidRDefault="00E12291" w:rsidP="00C1558D">
      <w:pPr>
        <w:pStyle w:val="datatablenote"/>
      </w:pPr>
      <w:r w:rsidRPr="00567D6D">
        <w:t>c This result should be interpreted with caution because it has a relative standard error &gt;25%.</w:t>
      </w:r>
    </w:p>
    <w:p w14:paraId="559FF8C3" w14:textId="77777777" w:rsidR="00E12291" w:rsidRPr="00567D6D" w:rsidRDefault="00E12291" w:rsidP="00C1558D">
      <w:pPr>
        <w:pStyle w:val="datatablenote"/>
      </w:pPr>
      <w:r w:rsidRPr="00567D6D">
        <w:t>* Statistically significant difference between 16- to 24-year-olds and 25+ year-olds.</w:t>
      </w:r>
    </w:p>
    <w:p w14:paraId="73056F35" w14:textId="25258686" w:rsidR="000328BF" w:rsidRPr="00567D6D" w:rsidRDefault="00E12291" w:rsidP="00C1558D">
      <w:pPr>
        <w:pStyle w:val="datatablenote"/>
      </w:pPr>
      <w:r w:rsidRPr="00567D6D">
        <w:rPr>
          <w:rFonts w:cs="Montserrat"/>
        </w:rPr>
        <w:t>~</w:t>
      </w:r>
      <w:r w:rsidRPr="00567D6D">
        <w:t xml:space="preserve"> Asked of one quarter of the sample. </w:t>
      </w:r>
    </w:p>
    <w:p w14:paraId="2F5F0037" w14:textId="664CA5E8" w:rsidR="0066642E" w:rsidRDefault="0066642E" w:rsidP="00F5214A">
      <w:pPr>
        <w:pStyle w:val="TableheadingTablesandfigures"/>
      </w:pPr>
      <w:bookmarkStart w:id="269" w:name="_Toc187402254"/>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6</w:t>
      </w:r>
      <w:r w:rsidR="004A7ED7">
        <w:rPr>
          <w:noProof/>
        </w:rPr>
        <w:fldChar w:fldCharType="end"/>
      </w:r>
      <w:r w:rsidRPr="0066642E">
        <w:t xml:space="preserve">: </w:t>
      </w:r>
      <w:r w:rsidR="007134A4">
        <w:tab/>
      </w:r>
      <w:r w:rsidRPr="0066642E">
        <w:t>Attitudes towards Gender Inequality Scale (AGIS) items by age, all ages, 2021</w:t>
      </w:r>
      <w:bookmarkEnd w:id="269"/>
    </w:p>
    <w:p w14:paraId="431A2832" w14:textId="2A84FE59" w:rsidR="00474B3F" w:rsidRPr="00474B3F" w:rsidRDefault="00474B3F" w:rsidP="005649C9">
      <w:pPr>
        <w:pStyle w:val="Tablesubheading0"/>
      </w:pPr>
      <w:r>
        <w:t>Subscale: Deny Inequality</w:t>
      </w:r>
    </w:p>
    <w:tbl>
      <w:tblPr>
        <w:tblStyle w:val="Table-SingleHeaderRow"/>
        <w:tblW w:w="14973" w:type="dxa"/>
        <w:tblLayout w:type="fixed"/>
        <w:tblLook w:val="00A0" w:firstRow="1" w:lastRow="0" w:firstColumn="1" w:lastColumn="0" w:noHBand="0" w:noVBand="0"/>
      </w:tblPr>
      <w:tblGrid>
        <w:gridCol w:w="737"/>
        <w:gridCol w:w="4706"/>
        <w:gridCol w:w="737"/>
        <w:gridCol w:w="885"/>
        <w:gridCol w:w="1024"/>
        <w:gridCol w:w="1190"/>
        <w:gridCol w:w="1186"/>
        <w:gridCol w:w="1110"/>
        <w:gridCol w:w="1220"/>
        <w:gridCol w:w="1048"/>
        <w:gridCol w:w="1130"/>
      </w:tblGrid>
      <w:tr w:rsidR="00474B3F" w:rsidRPr="0066642E" w14:paraId="4D22DF1E" w14:textId="77777777" w:rsidTr="005649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673E4BD0" w14:textId="77777777" w:rsidR="00474B3F" w:rsidRPr="0066642E" w:rsidRDefault="00474B3F" w:rsidP="005649C9">
            <w:pPr>
              <w:pStyle w:val="Tablebody"/>
              <w:rPr>
                <w:b w:val="0"/>
                <w:lang w:val="en-GB"/>
              </w:rPr>
            </w:pPr>
            <w:r w:rsidRPr="0066642E">
              <w:t>Code</w:t>
            </w:r>
          </w:p>
        </w:tc>
        <w:tc>
          <w:tcPr>
            <w:tcW w:w="4706" w:type="dxa"/>
          </w:tcPr>
          <w:p w14:paraId="5BEF5E8D"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Abbreviated item wording</w:t>
            </w:r>
          </w:p>
        </w:tc>
        <w:tc>
          <w:tcPr>
            <w:tcW w:w="737" w:type="dxa"/>
          </w:tcPr>
          <w:p w14:paraId="090B27F5"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Age</w:t>
            </w:r>
          </w:p>
        </w:tc>
        <w:tc>
          <w:tcPr>
            <w:tcW w:w="885" w:type="dxa"/>
          </w:tcPr>
          <w:p w14:paraId="0C08A897"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rPr>
                <w:rFonts w:ascii="Open Sans SemiBold" w:hAnsi="Open Sans SemiBold" w:cs="Open Sans SemiBold"/>
                <w:i/>
                <w:iCs/>
                <w:lang w:val="en-GB"/>
              </w:rPr>
              <w:t>N</w:t>
            </w:r>
          </w:p>
        </w:tc>
        <w:tc>
          <w:tcPr>
            <w:tcW w:w="1024" w:type="dxa"/>
          </w:tcPr>
          <w:p w14:paraId="43386061" w14:textId="76F5C593"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agree</w:t>
            </w:r>
          </w:p>
        </w:tc>
        <w:tc>
          <w:tcPr>
            <w:tcW w:w="1190" w:type="dxa"/>
          </w:tcPr>
          <w:p w14:paraId="64D63391"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agree</w:t>
            </w:r>
          </w:p>
        </w:tc>
        <w:tc>
          <w:tcPr>
            <w:tcW w:w="1186" w:type="dxa"/>
          </w:tcPr>
          <w:p w14:paraId="088522B6"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disagree</w:t>
            </w:r>
          </w:p>
        </w:tc>
        <w:tc>
          <w:tcPr>
            <w:tcW w:w="1110" w:type="dxa"/>
          </w:tcPr>
          <w:p w14:paraId="76915C35"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disagree</w:t>
            </w:r>
          </w:p>
        </w:tc>
        <w:tc>
          <w:tcPr>
            <w:tcW w:w="1220" w:type="dxa"/>
          </w:tcPr>
          <w:p w14:paraId="418B5105" w14:textId="4DA996E1"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Undecided</w:t>
            </w:r>
          </w:p>
        </w:tc>
        <w:tc>
          <w:tcPr>
            <w:tcW w:w="1048" w:type="dxa"/>
          </w:tcPr>
          <w:p w14:paraId="18AFF8B9" w14:textId="7E0E26F4"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agree</w:t>
            </w:r>
            <w:r w:rsidRPr="0066642E">
              <w:rPr>
                <w:vertAlign w:val="superscript"/>
              </w:rPr>
              <w:t>a</w:t>
            </w:r>
          </w:p>
        </w:tc>
        <w:tc>
          <w:tcPr>
            <w:tcW w:w="1130" w:type="dxa"/>
          </w:tcPr>
          <w:p w14:paraId="31E584C2" w14:textId="77777777" w:rsidR="00474B3F" w:rsidRPr="0066642E" w:rsidRDefault="00474B3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disagree</w:t>
            </w:r>
            <w:r w:rsidRPr="0066642E">
              <w:rPr>
                <w:vertAlign w:val="superscript"/>
              </w:rPr>
              <w:t>b</w:t>
            </w:r>
          </w:p>
        </w:tc>
      </w:tr>
      <w:tr w:rsidR="00376F62" w:rsidRPr="0066642E" w14:paraId="3ACABF8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2DADB39" w14:textId="77777777" w:rsidR="00376F62" w:rsidRPr="0066642E" w:rsidRDefault="00376F62" w:rsidP="005649C9">
            <w:pPr>
              <w:pStyle w:val="Tablebody"/>
              <w:rPr>
                <w:rFonts w:cs="Open Sans"/>
                <w:szCs w:val="18"/>
                <w:lang w:val="en-GB"/>
              </w:rPr>
            </w:pPr>
            <w:r w:rsidRPr="0066642E">
              <w:rPr>
                <w:rFonts w:cs="Open Sans"/>
                <w:szCs w:val="18"/>
              </w:rPr>
              <w:t>G1</w:t>
            </w:r>
          </w:p>
        </w:tc>
        <w:tc>
          <w:tcPr>
            <w:tcW w:w="4706" w:type="dxa"/>
          </w:tcPr>
          <w:p w14:paraId="1118E1F1" w14:textId="77777777"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Many women exaggerate how unequally women are treated in Australia^</w:t>
            </w:r>
          </w:p>
        </w:tc>
        <w:tc>
          <w:tcPr>
            <w:tcW w:w="737" w:type="dxa"/>
          </w:tcPr>
          <w:p w14:paraId="02A091ED" w14:textId="77777777"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650AED7D" w14:textId="77777777"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618ADB48" w14:textId="3E1C2D09"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7.53</w:t>
            </w:r>
          </w:p>
        </w:tc>
        <w:tc>
          <w:tcPr>
            <w:tcW w:w="1190" w:type="dxa"/>
          </w:tcPr>
          <w:p w14:paraId="774808EC" w14:textId="0F689297"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30.34</w:t>
            </w:r>
          </w:p>
        </w:tc>
        <w:tc>
          <w:tcPr>
            <w:tcW w:w="1186" w:type="dxa"/>
          </w:tcPr>
          <w:p w14:paraId="74CDB38A" w14:textId="1F4964EA"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25.79</w:t>
            </w:r>
          </w:p>
        </w:tc>
        <w:tc>
          <w:tcPr>
            <w:tcW w:w="1110" w:type="dxa"/>
          </w:tcPr>
          <w:p w14:paraId="12997B09" w14:textId="70B0304F"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31.81</w:t>
            </w:r>
          </w:p>
        </w:tc>
        <w:tc>
          <w:tcPr>
            <w:tcW w:w="1220" w:type="dxa"/>
          </w:tcPr>
          <w:p w14:paraId="33510C16" w14:textId="6F41EB38"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4.18</w:t>
            </w:r>
          </w:p>
        </w:tc>
        <w:tc>
          <w:tcPr>
            <w:tcW w:w="1048" w:type="dxa"/>
          </w:tcPr>
          <w:p w14:paraId="69E6FB79" w14:textId="27F13D96"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37.87</w:t>
            </w:r>
          </w:p>
        </w:tc>
        <w:tc>
          <w:tcPr>
            <w:tcW w:w="1130" w:type="dxa"/>
          </w:tcPr>
          <w:p w14:paraId="0252BA89" w14:textId="2178E2D0" w:rsidR="00376F62" w:rsidRPr="0066642E" w:rsidRDefault="00376F62"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57.60</w:t>
            </w:r>
          </w:p>
        </w:tc>
      </w:tr>
      <w:tr w:rsidR="00C6675C" w:rsidRPr="0066642E" w14:paraId="08BE7B7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1A39455" w14:textId="02A841AF" w:rsidR="00C6675C" w:rsidRPr="0066642E" w:rsidRDefault="00C6675C" w:rsidP="005649C9">
            <w:pPr>
              <w:pStyle w:val="Tablebody"/>
              <w:rPr>
                <w:rFonts w:cs="Open Sans"/>
                <w:szCs w:val="18"/>
              </w:rPr>
            </w:pPr>
            <w:r w:rsidRPr="0066642E">
              <w:rPr>
                <w:rFonts w:cs="Open Sans"/>
                <w:szCs w:val="18"/>
              </w:rPr>
              <w:t>G1</w:t>
            </w:r>
          </w:p>
        </w:tc>
        <w:tc>
          <w:tcPr>
            <w:tcW w:w="4706" w:type="dxa"/>
          </w:tcPr>
          <w:p w14:paraId="1B7E503B" w14:textId="3AAEA03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Many women exaggerate how unequally women are treated in Australia^</w:t>
            </w:r>
          </w:p>
        </w:tc>
        <w:tc>
          <w:tcPr>
            <w:tcW w:w="737" w:type="dxa"/>
          </w:tcPr>
          <w:p w14:paraId="57D8A89F" w14:textId="5844904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2DC9B6A7" w14:textId="595FE62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2E70E4CF" w14:textId="4F0C873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9.79</w:t>
            </w:r>
          </w:p>
        </w:tc>
        <w:tc>
          <w:tcPr>
            <w:tcW w:w="1190" w:type="dxa"/>
          </w:tcPr>
          <w:p w14:paraId="3C069F42" w14:textId="2EACDD5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25.23</w:t>
            </w:r>
          </w:p>
        </w:tc>
        <w:tc>
          <w:tcPr>
            <w:tcW w:w="1186" w:type="dxa"/>
          </w:tcPr>
          <w:p w14:paraId="65187A72" w14:textId="38B3421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27.06</w:t>
            </w:r>
          </w:p>
        </w:tc>
        <w:tc>
          <w:tcPr>
            <w:tcW w:w="1110" w:type="dxa"/>
          </w:tcPr>
          <w:p w14:paraId="771E4E96" w14:textId="4FFA779E"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31.44</w:t>
            </w:r>
          </w:p>
        </w:tc>
        <w:tc>
          <w:tcPr>
            <w:tcW w:w="1220" w:type="dxa"/>
          </w:tcPr>
          <w:p w14:paraId="60B9D543" w14:textId="56CBC26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6.14</w:t>
            </w:r>
          </w:p>
        </w:tc>
        <w:tc>
          <w:tcPr>
            <w:tcW w:w="1048" w:type="dxa"/>
          </w:tcPr>
          <w:p w14:paraId="54376672" w14:textId="61ED2F9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35.02</w:t>
            </w:r>
          </w:p>
        </w:tc>
        <w:tc>
          <w:tcPr>
            <w:tcW w:w="1130" w:type="dxa"/>
          </w:tcPr>
          <w:p w14:paraId="6C620DF6" w14:textId="6346EB8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58.50</w:t>
            </w:r>
          </w:p>
        </w:tc>
      </w:tr>
      <w:tr w:rsidR="00C6675C" w:rsidRPr="0066642E" w14:paraId="08ABED2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D033F7A" w14:textId="77777777" w:rsidR="00C6675C" w:rsidRPr="0066642E" w:rsidRDefault="00C6675C" w:rsidP="005649C9">
            <w:pPr>
              <w:pStyle w:val="Tablebody"/>
              <w:rPr>
                <w:rFonts w:cs="Open Sans"/>
                <w:szCs w:val="18"/>
                <w:lang w:val="en-GB"/>
              </w:rPr>
            </w:pPr>
            <w:r w:rsidRPr="0066642E">
              <w:rPr>
                <w:rFonts w:cs="Open Sans"/>
                <w:szCs w:val="18"/>
              </w:rPr>
              <w:t>G2</w:t>
            </w:r>
          </w:p>
        </w:tc>
        <w:tc>
          <w:tcPr>
            <w:tcW w:w="4706" w:type="dxa"/>
          </w:tcPr>
          <w:p w14:paraId="50A6EF0E"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Many women mistakenly interpret innocent remarks or acts as being sexist</w:t>
            </w:r>
          </w:p>
        </w:tc>
        <w:tc>
          <w:tcPr>
            <w:tcW w:w="737" w:type="dxa"/>
          </w:tcPr>
          <w:p w14:paraId="2F2DCDB8"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0B39D953"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1A0AD652" w14:textId="0BCB4C9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7.18</w:t>
            </w:r>
          </w:p>
        </w:tc>
        <w:tc>
          <w:tcPr>
            <w:tcW w:w="1190" w:type="dxa"/>
          </w:tcPr>
          <w:p w14:paraId="45B76BAF" w14:textId="67E099D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29.41</w:t>
            </w:r>
          </w:p>
        </w:tc>
        <w:tc>
          <w:tcPr>
            <w:tcW w:w="1186" w:type="dxa"/>
          </w:tcPr>
          <w:p w14:paraId="42A3CCDA" w14:textId="47C7E5A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32.51</w:t>
            </w:r>
          </w:p>
        </w:tc>
        <w:tc>
          <w:tcPr>
            <w:tcW w:w="1110" w:type="dxa"/>
          </w:tcPr>
          <w:p w14:paraId="2E36C2D8" w14:textId="58272BA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25.87</w:t>
            </w:r>
          </w:p>
        </w:tc>
        <w:tc>
          <w:tcPr>
            <w:tcW w:w="1220" w:type="dxa"/>
          </w:tcPr>
          <w:p w14:paraId="21373E9A" w14:textId="1636AEF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4.82</w:t>
            </w:r>
          </w:p>
        </w:tc>
        <w:tc>
          <w:tcPr>
            <w:tcW w:w="1048" w:type="dxa"/>
          </w:tcPr>
          <w:p w14:paraId="69F949CB" w14:textId="565C715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36.58</w:t>
            </w:r>
          </w:p>
        </w:tc>
        <w:tc>
          <w:tcPr>
            <w:tcW w:w="1130" w:type="dxa"/>
          </w:tcPr>
          <w:p w14:paraId="22A0AA24" w14:textId="4209C5EB"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58.38</w:t>
            </w:r>
          </w:p>
        </w:tc>
      </w:tr>
      <w:tr w:rsidR="00C6675C" w:rsidRPr="0066642E" w14:paraId="4827F9C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94CAD75" w14:textId="3BB33877" w:rsidR="00C6675C" w:rsidRPr="0066642E" w:rsidRDefault="00C6675C" w:rsidP="005649C9">
            <w:pPr>
              <w:pStyle w:val="Tablebody"/>
              <w:rPr>
                <w:rFonts w:cs="Open Sans"/>
                <w:szCs w:val="18"/>
              </w:rPr>
            </w:pPr>
            <w:r w:rsidRPr="0066642E">
              <w:rPr>
                <w:rFonts w:cs="Open Sans"/>
                <w:szCs w:val="18"/>
              </w:rPr>
              <w:t>G2</w:t>
            </w:r>
          </w:p>
        </w:tc>
        <w:tc>
          <w:tcPr>
            <w:tcW w:w="4706" w:type="dxa"/>
          </w:tcPr>
          <w:p w14:paraId="1DA7319B" w14:textId="3F9D94C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Many women mistakenly interpret innocent remarks or acts as being sexist</w:t>
            </w:r>
          </w:p>
        </w:tc>
        <w:tc>
          <w:tcPr>
            <w:tcW w:w="737" w:type="dxa"/>
          </w:tcPr>
          <w:p w14:paraId="3226C174" w14:textId="1B61AB4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13D8572F" w14:textId="0CF393F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6D9569F5" w14:textId="77810D4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7.98</w:t>
            </w:r>
          </w:p>
        </w:tc>
        <w:tc>
          <w:tcPr>
            <w:tcW w:w="1190" w:type="dxa"/>
          </w:tcPr>
          <w:p w14:paraId="180ECB93" w14:textId="2CE82C4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33.67</w:t>
            </w:r>
          </w:p>
        </w:tc>
        <w:tc>
          <w:tcPr>
            <w:tcW w:w="1186" w:type="dxa"/>
          </w:tcPr>
          <w:p w14:paraId="0AA48BB7" w14:textId="61F64EAB"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28.66</w:t>
            </w:r>
          </w:p>
        </w:tc>
        <w:tc>
          <w:tcPr>
            <w:tcW w:w="1110" w:type="dxa"/>
          </w:tcPr>
          <w:p w14:paraId="65909FA1" w14:textId="4134D18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21.80</w:t>
            </w:r>
          </w:p>
        </w:tc>
        <w:tc>
          <w:tcPr>
            <w:tcW w:w="1220" w:type="dxa"/>
          </w:tcPr>
          <w:p w14:paraId="7848CD82" w14:textId="22573F5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7.57</w:t>
            </w:r>
          </w:p>
        </w:tc>
        <w:tc>
          <w:tcPr>
            <w:tcW w:w="1048" w:type="dxa"/>
          </w:tcPr>
          <w:p w14:paraId="1C00F541" w14:textId="082522BB"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41.65</w:t>
            </w:r>
          </w:p>
        </w:tc>
        <w:tc>
          <w:tcPr>
            <w:tcW w:w="1130" w:type="dxa"/>
          </w:tcPr>
          <w:p w14:paraId="6BCD905C" w14:textId="13B20FA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50.46</w:t>
            </w:r>
          </w:p>
        </w:tc>
      </w:tr>
      <w:tr w:rsidR="00C6675C" w:rsidRPr="0066642E" w14:paraId="6241F77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38422D9" w14:textId="77777777" w:rsidR="00C6675C" w:rsidRPr="0066642E" w:rsidRDefault="00C6675C" w:rsidP="005649C9">
            <w:pPr>
              <w:pStyle w:val="Tablebody"/>
              <w:rPr>
                <w:rFonts w:cs="Open Sans"/>
                <w:szCs w:val="18"/>
                <w:lang w:val="en-GB"/>
              </w:rPr>
            </w:pPr>
            <w:r w:rsidRPr="0066642E">
              <w:rPr>
                <w:rFonts w:cs="Open Sans"/>
                <w:szCs w:val="18"/>
              </w:rPr>
              <w:t>G3</w:t>
            </w:r>
          </w:p>
        </w:tc>
        <w:tc>
          <w:tcPr>
            <w:tcW w:w="4706" w:type="dxa"/>
          </w:tcPr>
          <w:p w14:paraId="0F39C842" w14:textId="1DBACD5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Many women don’t fully appreciate all that men do</w:t>
            </w:r>
            <w:r>
              <w:rPr>
                <w:rFonts w:cs="Open Sans"/>
                <w:szCs w:val="18"/>
                <w:lang w:val="en-US"/>
              </w:rPr>
              <w:t> </w:t>
            </w:r>
            <w:r w:rsidRPr="0066642E">
              <w:rPr>
                <w:rFonts w:cs="Open Sans"/>
                <w:szCs w:val="18"/>
                <w:lang w:val="en-US"/>
              </w:rPr>
              <w:t>for them^</w:t>
            </w:r>
          </w:p>
        </w:tc>
        <w:tc>
          <w:tcPr>
            <w:tcW w:w="737" w:type="dxa"/>
          </w:tcPr>
          <w:p w14:paraId="36C45542"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2507912E"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35F043DF" w14:textId="2B74DA4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6.44</w:t>
            </w:r>
          </w:p>
        </w:tc>
        <w:tc>
          <w:tcPr>
            <w:tcW w:w="1190" w:type="dxa"/>
          </w:tcPr>
          <w:p w14:paraId="10B9F12C" w14:textId="7320613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17.00</w:t>
            </w:r>
          </w:p>
        </w:tc>
        <w:tc>
          <w:tcPr>
            <w:tcW w:w="1186" w:type="dxa"/>
          </w:tcPr>
          <w:p w14:paraId="086FBE8C" w14:textId="3D03A6F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32.04</w:t>
            </w:r>
          </w:p>
        </w:tc>
        <w:tc>
          <w:tcPr>
            <w:tcW w:w="1110" w:type="dxa"/>
          </w:tcPr>
          <w:p w14:paraId="59739EA9" w14:textId="5F6C057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38.31</w:t>
            </w:r>
          </w:p>
        </w:tc>
        <w:tc>
          <w:tcPr>
            <w:tcW w:w="1220" w:type="dxa"/>
          </w:tcPr>
          <w:p w14:paraId="1D1A8A72" w14:textId="45D4B0D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6.03</w:t>
            </w:r>
          </w:p>
        </w:tc>
        <w:tc>
          <w:tcPr>
            <w:tcW w:w="1048" w:type="dxa"/>
          </w:tcPr>
          <w:p w14:paraId="48661EA1" w14:textId="63E78CC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23.44</w:t>
            </w:r>
          </w:p>
        </w:tc>
        <w:tc>
          <w:tcPr>
            <w:tcW w:w="1130" w:type="dxa"/>
          </w:tcPr>
          <w:p w14:paraId="1384A1DB" w14:textId="3710065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70.35</w:t>
            </w:r>
          </w:p>
        </w:tc>
      </w:tr>
      <w:tr w:rsidR="00C6675C" w:rsidRPr="0066642E" w14:paraId="6007930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6A193B7" w14:textId="7C46834F" w:rsidR="00C6675C" w:rsidRPr="0066642E" w:rsidRDefault="00C6675C" w:rsidP="005649C9">
            <w:pPr>
              <w:pStyle w:val="Tablebody"/>
              <w:rPr>
                <w:rFonts w:cs="Open Sans"/>
                <w:szCs w:val="18"/>
              </w:rPr>
            </w:pPr>
            <w:r w:rsidRPr="0066642E">
              <w:rPr>
                <w:rFonts w:cs="Open Sans"/>
                <w:szCs w:val="18"/>
              </w:rPr>
              <w:t>G3</w:t>
            </w:r>
          </w:p>
        </w:tc>
        <w:tc>
          <w:tcPr>
            <w:tcW w:w="4706" w:type="dxa"/>
          </w:tcPr>
          <w:p w14:paraId="1FACA83A" w14:textId="3FCACA1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Many women don’t fully appreciate all that men do</w:t>
            </w:r>
            <w:r>
              <w:rPr>
                <w:rFonts w:cs="Open Sans"/>
                <w:szCs w:val="18"/>
                <w:lang w:val="en-US"/>
              </w:rPr>
              <w:t> </w:t>
            </w:r>
            <w:r w:rsidRPr="0066642E">
              <w:rPr>
                <w:rFonts w:cs="Open Sans"/>
                <w:szCs w:val="18"/>
                <w:lang w:val="en-US"/>
              </w:rPr>
              <w:t>for</w:t>
            </w:r>
            <w:r>
              <w:rPr>
                <w:rFonts w:cs="Open Sans"/>
                <w:szCs w:val="18"/>
                <w:lang w:val="en-US"/>
              </w:rPr>
              <w:t> </w:t>
            </w:r>
            <w:r w:rsidRPr="0066642E">
              <w:rPr>
                <w:rFonts w:cs="Open Sans"/>
                <w:szCs w:val="18"/>
                <w:lang w:val="en-US"/>
              </w:rPr>
              <w:t>them^</w:t>
            </w:r>
          </w:p>
        </w:tc>
        <w:tc>
          <w:tcPr>
            <w:tcW w:w="737" w:type="dxa"/>
          </w:tcPr>
          <w:p w14:paraId="3DBE7D41" w14:textId="61B82B8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4FD80BB1" w14:textId="716B8D7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2E45606A" w14:textId="461F3F3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7.72</w:t>
            </w:r>
          </w:p>
        </w:tc>
        <w:tc>
          <w:tcPr>
            <w:tcW w:w="1190" w:type="dxa"/>
          </w:tcPr>
          <w:p w14:paraId="3690978D" w14:textId="37C8D5F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23.22</w:t>
            </w:r>
          </w:p>
        </w:tc>
        <w:tc>
          <w:tcPr>
            <w:tcW w:w="1186" w:type="dxa"/>
          </w:tcPr>
          <w:p w14:paraId="6412DC47" w14:textId="2EC4DB9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26.20</w:t>
            </w:r>
          </w:p>
        </w:tc>
        <w:tc>
          <w:tcPr>
            <w:tcW w:w="1110" w:type="dxa"/>
          </w:tcPr>
          <w:p w14:paraId="42998AC0" w14:textId="5129038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35.81</w:t>
            </w:r>
          </w:p>
        </w:tc>
        <w:tc>
          <w:tcPr>
            <w:tcW w:w="1220" w:type="dxa"/>
          </w:tcPr>
          <w:p w14:paraId="176CC45D" w14:textId="2D7A0DF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6.65</w:t>
            </w:r>
          </w:p>
        </w:tc>
        <w:tc>
          <w:tcPr>
            <w:tcW w:w="1048" w:type="dxa"/>
          </w:tcPr>
          <w:p w14:paraId="42B5EABE" w14:textId="3E75A89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30.95</w:t>
            </w:r>
          </w:p>
        </w:tc>
        <w:tc>
          <w:tcPr>
            <w:tcW w:w="1130" w:type="dxa"/>
          </w:tcPr>
          <w:p w14:paraId="57FB5563" w14:textId="42D1CB7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62.01</w:t>
            </w:r>
          </w:p>
        </w:tc>
      </w:tr>
    </w:tbl>
    <w:p w14:paraId="3E793244" w14:textId="57A28FE5" w:rsidR="00474B3F" w:rsidRDefault="00A35B1A" w:rsidP="005649C9">
      <w:pPr>
        <w:pStyle w:val="Tablesubheading0"/>
      </w:pPr>
      <w:r w:rsidRPr="00A35B1A">
        <w:t>Subscale: Limit Autonomy</w:t>
      </w:r>
    </w:p>
    <w:tbl>
      <w:tblPr>
        <w:tblStyle w:val="Table-SingleHeaderRow"/>
        <w:tblW w:w="14973" w:type="dxa"/>
        <w:tblLayout w:type="fixed"/>
        <w:tblLook w:val="00A0" w:firstRow="1" w:lastRow="0" w:firstColumn="1" w:lastColumn="0" w:noHBand="0" w:noVBand="0"/>
      </w:tblPr>
      <w:tblGrid>
        <w:gridCol w:w="737"/>
        <w:gridCol w:w="4706"/>
        <w:gridCol w:w="737"/>
        <w:gridCol w:w="885"/>
        <w:gridCol w:w="1024"/>
        <w:gridCol w:w="1190"/>
        <w:gridCol w:w="1186"/>
        <w:gridCol w:w="1110"/>
        <w:gridCol w:w="1220"/>
        <w:gridCol w:w="1048"/>
        <w:gridCol w:w="1130"/>
      </w:tblGrid>
      <w:tr w:rsidR="00A35B1A" w:rsidRPr="0066642E" w14:paraId="4459D242" w14:textId="77777777" w:rsidTr="005649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7CA3FDDB" w14:textId="77777777" w:rsidR="00A35B1A" w:rsidRPr="0066642E" w:rsidRDefault="00A35B1A" w:rsidP="005649C9">
            <w:pPr>
              <w:pStyle w:val="Tablebody"/>
              <w:rPr>
                <w:b w:val="0"/>
                <w:lang w:val="en-GB"/>
              </w:rPr>
            </w:pPr>
            <w:r w:rsidRPr="0066642E">
              <w:t>Code</w:t>
            </w:r>
          </w:p>
        </w:tc>
        <w:tc>
          <w:tcPr>
            <w:tcW w:w="4706" w:type="dxa"/>
          </w:tcPr>
          <w:p w14:paraId="3A4EA901"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Abbreviated item wording</w:t>
            </w:r>
          </w:p>
        </w:tc>
        <w:tc>
          <w:tcPr>
            <w:tcW w:w="737" w:type="dxa"/>
          </w:tcPr>
          <w:p w14:paraId="76B65B4F"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Age</w:t>
            </w:r>
          </w:p>
        </w:tc>
        <w:tc>
          <w:tcPr>
            <w:tcW w:w="885" w:type="dxa"/>
          </w:tcPr>
          <w:p w14:paraId="4CD9DEA2"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rPr>
                <w:rFonts w:ascii="Open Sans SemiBold" w:hAnsi="Open Sans SemiBold" w:cs="Open Sans SemiBold"/>
                <w:i/>
                <w:iCs/>
                <w:lang w:val="en-GB"/>
              </w:rPr>
              <w:t>N</w:t>
            </w:r>
          </w:p>
        </w:tc>
        <w:tc>
          <w:tcPr>
            <w:tcW w:w="1024" w:type="dxa"/>
          </w:tcPr>
          <w:p w14:paraId="5D3ECD48" w14:textId="552F171E"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agree</w:t>
            </w:r>
          </w:p>
        </w:tc>
        <w:tc>
          <w:tcPr>
            <w:tcW w:w="1190" w:type="dxa"/>
          </w:tcPr>
          <w:p w14:paraId="4D563A97"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agree</w:t>
            </w:r>
          </w:p>
        </w:tc>
        <w:tc>
          <w:tcPr>
            <w:tcW w:w="1186" w:type="dxa"/>
          </w:tcPr>
          <w:p w14:paraId="0012A13B"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disagree</w:t>
            </w:r>
          </w:p>
        </w:tc>
        <w:tc>
          <w:tcPr>
            <w:tcW w:w="1110" w:type="dxa"/>
          </w:tcPr>
          <w:p w14:paraId="65BFF6E6"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disagree</w:t>
            </w:r>
          </w:p>
        </w:tc>
        <w:tc>
          <w:tcPr>
            <w:tcW w:w="1220" w:type="dxa"/>
          </w:tcPr>
          <w:p w14:paraId="106FC4AE" w14:textId="0A96AE0C"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Undecided</w:t>
            </w:r>
          </w:p>
        </w:tc>
        <w:tc>
          <w:tcPr>
            <w:tcW w:w="1048" w:type="dxa"/>
          </w:tcPr>
          <w:p w14:paraId="2AD8F046" w14:textId="519FB529"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agree</w:t>
            </w:r>
            <w:r w:rsidRPr="0066642E">
              <w:rPr>
                <w:vertAlign w:val="superscript"/>
              </w:rPr>
              <w:t>a</w:t>
            </w:r>
          </w:p>
        </w:tc>
        <w:tc>
          <w:tcPr>
            <w:tcW w:w="1130" w:type="dxa"/>
          </w:tcPr>
          <w:p w14:paraId="5F867596"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disagree</w:t>
            </w:r>
            <w:r w:rsidRPr="0066642E">
              <w:rPr>
                <w:vertAlign w:val="superscript"/>
              </w:rPr>
              <w:t>b</w:t>
            </w:r>
          </w:p>
        </w:tc>
      </w:tr>
      <w:tr w:rsidR="00411BB0" w:rsidRPr="0066642E" w14:paraId="47332B5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4467170" w14:textId="77777777" w:rsidR="00411BB0" w:rsidRPr="0066642E" w:rsidRDefault="00411BB0" w:rsidP="005649C9">
            <w:pPr>
              <w:pStyle w:val="Tablebody"/>
              <w:rPr>
                <w:rFonts w:cs="Open Sans"/>
                <w:szCs w:val="18"/>
                <w:lang w:val="en-GB"/>
              </w:rPr>
            </w:pPr>
            <w:r w:rsidRPr="0066642E">
              <w:rPr>
                <w:rFonts w:cs="Open Sans"/>
                <w:szCs w:val="18"/>
              </w:rPr>
              <w:t>G12</w:t>
            </w:r>
          </w:p>
        </w:tc>
        <w:tc>
          <w:tcPr>
            <w:tcW w:w="4706" w:type="dxa"/>
          </w:tcPr>
          <w:p w14:paraId="1D7A8A5D" w14:textId="77777777"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Men should take control in relationships and be the head of the household</w:t>
            </w:r>
          </w:p>
        </w:tc>
        <w:tc>
          <w:tcPr>
            <w:tcW w:w="737" w:type="dxa"/>
          </w:tcPr>
          <w:p w14:paraId="011ADFDD" w14:textId="77777777"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7F0ADF19" w14:textId="77777777"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12DBB16F" w14:textId="5EBBFD27"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2.88</w:t>
            </w:r>
          </w:p>
        </w:tc>
        <w:tc>
          <w:tcPr>
            <w:tcW w:w="1190" w:type="dxa"/>
          </w:tcPr>
          <w:p w14:paraId="5EB642FB" w14:textId="0873DFA5"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9.87</w:t>
            </w:r>
          </w:p>
        </w:tc>
        <w:tc>
          <w:tcPr>
            <w:tcW w:w="1186" w:type="dxa"/>
          </w:tcPr>
          <w:p w14:paraId="2400636E" w14:textId="03B0BE7A"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18.35</w:t>
            </w:r>
          </w:p>
        </w:tc>
        <w:tc>
          <w:tcPr>
            <w:tcW w:w="1110" w:type="dxa"/>
          </w:tcPr>
          <w:p w14:paraId="38B992F3" w14:textId="718C0B89"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65.69</w:t>
            </w:r>
          </w:p>
        </w:tc>
        <w:tc>
          <w:tcPr>
            <w:tcW w:w="1220" w:type="dxa"/>
          </w:tcPr>
          <w:p w14:paraId="4261DF88" w14:textId="4D13AEDF"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3.09</w:t>
            </w:r>
          </w:p>
        </w:tc>
        <w:tc>
          <w:tcPr>
            <w:tcW w:w="1048" w:type="dxa"/>
          </w:tcPr>
          <w:p w14:paraId="24CABB0E" w14:textId="66F44879"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12.75</w:t>
            </w:r>
          </w:p>
        </w:tc>
        <w:tc>
          <w:tcPr>
            <w:tcW w:w="1130" w:type="dxa"/>
          </w:tcPr>
          <w:p w14:paraId="3808DDD6" w14:textId="19DE7AA2" w:rsidR="00411BB0" w:rsidRPr="0066642E" w:rsidRDefault="00411BB0"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84.04</w:t>
            </w:r>
          </w:p>
        </w:tc>
      </w:tr>
      <w:tr w:rsidR="00C6675C" w:rsidRPr="0066642E" w14:paraId="5A08AA9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7DD91E9" w14:textId="46066496" w:rsidR="00C6675C" w:rsidRPr="0066642E" w:rsidRDefault="00C6675C" w:rsidP="005649C9">
            <w:pPr>
              <w:pStyle w:val="Tablebody"/>
              <w:rPr>
                <w:rFonts w:cs="Open Sans"/>
                <w:szCs w:val="18"/>
              </w:rPr>
            </w:pPr>
            <w:r w:rsidRPr="0066642E">
              <w:rPr>
                <w:rFonts w:cs="Open Sans"/>
                <w:szCs w:val="18"/>
              </w:rPr>
              <w:t>G12</w:t>
            </w:r>
          </w:p>
        </w:tc>
        <w:tc>
          <w:tcPr>
            <w:tcW w:w="4706" w:type="dxa"/>
          </w:tcPr>
          <w:p w14:paraId="4A337A66" w14:textId="4FEEEC4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Men should take control in relationships and be the head of the household</w:t>
            </w:r>
          </w:p>
        </w:tc>
        <w:tc>
          <w:tcPr>
            <w:tcW w:w="737" w:type="dxa"/>
          </w:tcPr>
          <w:p w14:paraId="33EB8454" w14:textId="1BEB78E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6D406C38" w14:textId="3388E06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5B849B26" w14:textId="251482C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3.14</w:t>
            </w:r>
          </w:p>
        </w:tc>
        <w:tc>
          <w:tcPr>
            <w:tcW w:w="1190" w:type="dxa"/>
          </w:tcPr>
          <w:p w14:paraId="0940F5EC" w14:textId="1EEA56E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7.43</w:t>
            </w:r>
          </w:p>
        </w:tc>
        <w:tc>
          <w:tcPr>
            <w:tcW w:w="1186" w:type="dxa"/>
          </w:tcPr>
          <w:p w14:paraId="1C270E8B" w14:textId="1F149564"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16.41</w:t>
            </w:r>
          </w:p>
        </w:tc>
        <w:tc>
          <w:tcPr>
            <w:tcW w:w="1110" w:type="dxa"/>
          </w:tcPr>
          <w:p w14:paraId="216599A1" w14:textId="73B3DD04"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70.56</w:t>
            </w:r>
          </w:p>
        </w:tc>
        <w:tc>
          <w:tcPr>
            <w:tcW w:w="1220" w:type="dxa"/>
          </w:tcPr>
          <w:p w14:paraId="51C372A1" w14:textId="5632CB6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2.30</w:t>
            </w:r>
          </w:p>
        </w:tc>
        <w:tc>
          <w:tcPr>
            <w:tcW w:w="1048" w:type="dxa"/>
          </w:tcPr>
          <w:p w14:paraId="52116CB8" w14:textId="75B300DE"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10.57</w:t>
            </w:r>
          </w:p>
        </w:tc>
        <w:tc>
          <w:tcPr>
            <w:tcW w:w="1130" w:type="dxa"/>
          </w:tcPr>
          <w:p w14:paraId="0184ADB5" w14:textId="6F35308B"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86.98</w:t>
            </w:r>
          </w:p>
        </w:tc>
      </w:tr>
      <w:tr w:rsidR="00C6675C" w:rsidRPr="0066642E" w14:paraId="1ADC82F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AEA212A" w14:textId="77777777" w:rsidR="00C6675C" w:rsidRPr="0066642E" w:rsidRDefault="00C6675C" w:rsidP="005649C9">
            <w:pPr>
              <w:pStyle w:val="Tablebody"/>
              <w:rPr>
                <w:rFonts w:cs="Open Sans"/>
                <w:szCs w:val="18"/>
                <w:lang w:val="en-GB"/>
              </w:rPr>
            </w:pPr>
            <w:r w:rsidRPr="0066642E">
              <w:rPr>
                <w:rFonts w:cs="Open Sans"/>
                <w:szCs w:val="18"/>
              </w:rPr>
              <w:t>G13</w:t>
            </w:r>
          </w:p>
        </w:tc>
        <w:tc>
          <w:tcPr>
            <w:tcW w:w="4706" w:type="dxa"/>
          </w:tcPr>
          <w:p w14:paraId="73071D26"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Women prefer a man to be in charge of the relationship</w:t>
            </w:r>
          </w:p>
        </w:tc>
        <w:tc>
          <w:tcPr>
            <w:tcW w:w="737" w:type="dxa"/>
          </w:tcPr>
          <w:p w14:paraId="72F63349"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6A1A7AB7"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5A0A8DA0" w14:textId="3FD26A7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2.89</w:t>
            </w:r>
          </w:p>
        </w:tc>
        <w:tc>
          <w:tcPr>
            <w:tcW w:w="1190" w:type="dxa"/>
          </w:tcPr>
          <w:p w14:paraId="1E2972B3" w14:textId="2D572714"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23.85*</w:t>
            </w:r>
          </w:p>
        </w:tc>
        <w:tc>
          <w:tcPr>
            <w:tcW w:w="1186" w:type="dxa"/>
          </w:tcPr>
          <w:p w14:paraId="2C705266" w14:textId="5DDEF94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28.04</w:t>
            </w:r>
          </w:p>
        </w:tc>
        <w:tc>
          <w:tcPr>
            <w:tcW w:w="1110" w:type="dxa"/>
          </w:tcPr>
          <w:p w14:paraId="1D98BC9C" w14:textId="7772E28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38.29*</w:t>
            </w:r>
          </w:p>
        </w:tc>
        <w:tc>
          <w:tcPr>
            <w:tcW w:w="1220" w:type="dxa"/>
          </w:tcPr>
          <w:p w14:paraId="19DCB570" w14:textId="264A147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6.74</w:t>
            </w:r>
          </w:p>
        </w:tc>
        <w:tc>
          <w:tcPr>
            <w:tcW w:w="1048" w:type="dxa"/>
          </w:tcPr>
          <w:p w14:paraId="24665487" w14:textId="4D0EAF8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26.74*</w:t>
            </w:r>
          </w:p>
        </w:tc>
        <w:tc>
          <w:tcPr>
            <w:tcW w:w="1130" w:type="dxa"/>
          </w:tcPr>
          <w:p w14:paraId="2B41EAE1" w14:textId="5413A29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66.32</w:t>
            </w:r>
          </w:p>
        </w:tc>
      </w:tr>
      <w:tr w:rsidR="00C6675C" w:rsidRPr="0066642E" w14:paraId="5D4C0AF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605DF31" w14:textId="47821025" w:rsidR="00C6675C" w:rsidRPr="0066642E" w:rsidRDefault="00C6675C" w:rsidP="005649C9">
            <w:pPr>
              <w:pStyle w:val="Tablebody"/>
              <w:rPr>
                <w:rFonts w:cs="Open Sans"/>
                <w:szCs w:val="18"/>
              </w:rPr>
            </w:pPr>
            <w:r w:rsidRPr="0066642E">
              <w:rPr>
                <w:rFonts w:cs="Open Sans"/>
                <w:szCs w:val="18"/>
              </w:rPr>
              <w:lastRenderedPageBreak/>
              <w:t>G13</w:t>
            </w:r>
          </w:p>
        </w:tc>
        <w:tc>
          <w:tcPr>
            <w:tcW w:w="4706" w:type="dxa"/>
          </w:tcPr>
          <w:p w14:paraId="2A500357" w14:textId="764EB6D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Women prefer a man to be in charge of the relationship</w:t>
            </w:r>
          </w:p>
        </w:tc>
        <w:tc>
          <w:tcPr>
            <w:tcW w:w="737" w:type="dxa"/>
          </w:tcPr>
          <w:p w14:paraId="5A9CDE58" w14:textId="44C9983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4F0AC995" w14:textId="04E274A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6BE43D61" w14:textId="7EA1838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2.61</w:t>
            </w:r>
          </w:p>
        </w:tc>
        <w:tc>
          <w:tcPr>
            <w:tcW w:w="1190" w:type="dxa"/>
          </w:tcPr>
          <w:p w14:paraId="2E13B3CA" w14:textId="1540BF7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15.61*</w:t>
            </w:r>
          </w:p>
        </w:tc>
        <w:tc>
          <w:tcPr>
            <w:tcW w:w="1186" w:type="dxa"/>
          </w:tcPr>
          <w:p w14:paraId="44E52878" w14:textId="6FFE332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25.76</w:t>
            </w:r>
          </w:p>
        </w:tc>
        <w:tc>
          <w:tcPr>
            <w:tcW w:w="1110" w:type="dxa"/>
          </w:tcPr>
          <w:p w14:paraId="264E6680" w14:textId="05FE950E"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49.22*</w:t>
            </w:r>
          </w:p>
        </w:tc>
        <w:tc>
          <w:tcPr>
            <w:tcW w:w="1220" w:type="dxa"/>
          </w:tcPr>
          <w:p w14:paraId="28BF0D59" w14:textId="12A8DAA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6.52</w:t>
            </w:r>
          </w:p>
        </w:tc>
        <w:tc>
          <w:tcPr>
            <w:tcW w:w="1048" w:type="dxa"/>
          </w:tcPr>
          <w:p w14:paraId="446FE8CC" w14:textId="72DA1F9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18.22*</w:t>
            </w:r>
          </w:p>
        </w:tc>
        <w:tc>
          <w:tcPr>
            <w:tcW w:w="1130" w:type="dxa"/>
          </w:tcPr>
          <w:p w14:paraId="1442AF4E" w14:textId="34FA267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74.99</w:t>
            </w:r>
          </w:p>
        </w:tc>
      </w:tr>
    </w:tbl>
    <w:p w14:paraId="7463B216" w14:textId="531B3C8B" w:rsidR="00474B3F" w:rsidRDefault="00A35B1A" w:rsidP="005649C9">
      <w:pPr>
        <w:pStyle w:val="Tablesubheading0"/>
      </w:pPr>
      <w:r>
        <w:t xml:space="preserve">Subscale: </w:t>
      </w:r>
      <w:r w:rsidRPr="0066642E">
        <w:t>Normalise Sexism</w:t>
      </w:r>
    </w:p>
    <w:tbl>
      <w:tblPr>
        <w:tblStyle w:val="Table-SingleHeaderRow"/>
        <w:tblW w:w="14973" w:type="dxa"/>
        <w:tblLayout w:type="fixed"/>
        <w:tblLook w:val="00A0" w:firstRow="1" w:lastRow="0" w:firstColumn="1" w:lastColumn="0" w:noHBand="0" w:noVBand="0"/>
      </w:tblPr>
      <w:tblGrid>
        <w:gridCol w:w="737"/>
        <w:gridCol w:w="4706"/>
        <w:gridCol w:w="737"/>
        <w:gridCol w:w="885"/>
        <w:gridCol w:w="1024"/>
        <w:gridCol w:w="1190"/>
        <w:gridCol w:w="1186"/>
        <w:gridCol w:w="1110"/>
        <w:gridCol w:w="1220"/>
        <w:gridCol w:w="1048"/>
        <w:gridCol w:w="1130"/>
      </w:tblGrid>
      <w:tr w:rsidR="00A35B1A" w:rsidRPr="0066642E" w14:paraId="7297B5A8" w14:textId="77777777" w:rsidTr="005649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1FB39536" w14:textId="77777777" w:rsidR="00A35B1A" w:rsidRPr="0066642E" w:rsidRDefault="00A35B1A" w:rsidP="005649C9">
            <w:pPr>
              <w:pStyle w:val="Tablebody"/>
              <w:rPr>
                <w:b w:val="0"/>
                <w:lang w:val="en-GB"/>
              </w:rPr>
            </w:pPr>
            <w:r w:rsidRPr="0066642E">
              <w:t>Code</w:t>
            </w:r>
          </w:p>
        </w:tc>
        <w:tc>
          <w:tcPr>
            <w:tcW w:w="4706" w:type="dxa"/>
          </w:tcPr>
          <w:p w14:paraId="47700724"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Abbreviated item wording</w:t>
            </w:r>
          </w:p>
        </w:tc>
        <w:tc>
          <w:tcPr>
            <w:tcW w:w="737" w:type="dxa"/>
          </w:tcPr>
          <w:p w14:paraId="2FCED7B5"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Age</w:t>
            </w:r>
          </w:p>
        </w:tc>
        <w:tc>
          <w:tcPr>
            <w:tcW w:w="885" w:type="dxa"/>
          </w:tcPr>
          <w:p w14:paraId="2D35F640"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rPr>
                <w:rFonts w:ascii="Open Sans SemiBold" w:hAnsi="Open Sans SemiBold" w:cs="Open Sans SemiBold"/>
                <w:i/>
                <w:iCs/>
                <w:lang w:val="en-GB"/>
              </w:rPr>
              <w:t>N</w:t>
            </w:r>
          </w:p>
        </w:tc>
        <w:tc>
          <w:tcPr>
            <w:tcW w:w="1024" w:type="dxa"/>
          </w:tcPr>
          <w:p w14:paraId="0A34B145" w14:textId="486AE473"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agree</w:t>
            </w:r>
          </w:p>
        </w:tc>
        <w:tc>
          <w:tcPr>
            <w:tcW w:w="1190" w:type="dxa"/>
          </w:tcPr>
          <w:p w14:paraId="22816A80"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agree</w:t>
            </w:r>
          </w:p>
        </w:tc>
        <w:tc>
          <w:tcPr>
            <w:tcW w:w="1186" w:type="dxa"/>
          </w:tcPr>
          <w:p w14:paraId="59DF8072"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Somewhat disagree</w:t>
            </w:r>
          </w:p>
        </w:tc>
        <w:tc>
          <w:tcPr>
            <w:tcW w:w="1110" w:type="dxa"/>
          </w:tcPr>
          <w:p w14:paraId="6E4F8E59"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Strongly disagree</w:t>
            </w:r>
          </w:p>
        </w:tc>
        <w:tc>
          <w:tcPr>
            <w:tcW w:w="1220" w:type="dxa"/>
          </w:tcPr>
          <w:p w14:paraId="7D14CC9D" w14:textId="47CAF41B"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Undecided</w:t>
            </w:r>
          </w:p>
        </w:tc>
        <w:tc>
          <w:tcPr>
            <w:tcW w:w="1048" w:type="dxa"/>
          </w:tcPr>
          <w:p w14:paraId="21FA8C9C" w14:textId="500391F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agree</w:t>
            </w:r>
            <w:r w:rsidRPr="0066642E">
              <w:rPr>
                <w:vertAlign w:val="superscript"/>
              </w:rPr>
              <w:t>a</w:t>
            </w:r>
          </w:p>
        </w:tc>
        <w:tc>
          <w:tcPr>
            <w:tcW w:w="1130" w:type="dxa"/>
          </w:tcPr>
          <w:p w14:paraId="23F113F7"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6642E">
              <w:t>% Net disagree</w:t>
            </w:r>
            <w:r w:rsidRPr="0066642E">
              <w:rPr>
                <w:vertAlign w:val="superscript"/>
              </w:rPr>
              <w:t>b</w:t>
            </w:r>
          </w:p>
        </w:tc>
      </w:tr>
      <w:tr w:rsidR="00BD0D41" w:rsidRPr="0066642E" w14:paraId="36ED001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2E33D6C" w14:textId="77777777" w:rsidR="00BD0D41" w:rsidRPr="0066642E" w:rsidRDefault="00BD0D41" w:rsidP="005649C9">
            <w:pPr>
              <w:pStyle w:val="Tablebody"/>
              <w:rPr>
                <w:rFonts w:cs="Open Sans"/>
                <w:szCs w:val="18"/>
                <w:lang w:val="en-GB"/>
              </w:rPr>
            </w:pPr>
            <w:r w:rsidRPr="0066642E">
              <w:rPr>
                <w:rFonts w:cs="Open Sans"/>
                <w:szCs w:val="18"/>
              </w:rPr>
              <w:t>G10</w:t>
            </w:r>
          </w:p>
        </w:tc>
        <w:tc>
          <w:tcPr>
            <w:tcW w:w="4706" w:type="dxa"/>
          </w:tcPr>
          <w:p w14:paraId="12B84495" w14:textId="2A440956"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Discrimination against women is no longer a</w:t>
            </w:r>
            <w:r>
              <w:rPr>
                <w:rFonts w:cs="Open Sans"/>
                <w:szCs w:val="18"/>
                <w:lang w:val="en-US"/>
              </w:rPr>
              <w:t> </w:t>
            </w:r>
            <w:r w:rsidRPr="0066642E">
              <w:rPr>
                <w:rFonts w:cs="Open Sans"/>
                <w:szCs w:val="18"/>
                <w:lang w:val="en-US"/>
              </w:rPr>
              <w:t>problem in the workplace in Australia</w:t>
            </w:r>
            <w:r w:rsidRPr="0066642E">
              <w:rPr>
                <w:rFonts w:ascii="Montserrat" w:hAnsi="Montserrat" w:cs="Montserrat"/>
                <w:szCs w:val="18"/>
                <w:lang w:val="en-US"/>
              </w:rPr>
              <w:t>~</w:t>
            </w:r>
          </w:p>
        </w:tc>
        <w:tc>
          <w:tcPr>
            <w:tcW w:w="737" w:type="dxa"/>
          </w:tcPr>
          <w:p w14:paraId="422BD4C8" w14:textId="77777777"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268ECF87" w14:textId="77777777"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551</w:t>
            </w:r>
          </w:p>
        </w:tc>
        <w:tc>
          <w:tcPr>
            <w:tcW w:w="1024" w:type="dxa"/>
          </w:tcPr>
          <w:p w14:paraId="048341C3" w14:textId="4C417970"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1.16</w:t>
            </w:r>
            <w:r w:rsidRPr="0066642E">
              <w:rPr>
                <w:rFonts w:cs="Open Sans"/>
                <w:szCs w:val="18"/>
                <w:vertAlign w:val="superscript"/>
              </w:rPr>
              <w:t>c</w:t>
            </w:r>
          </w:p>
        </w:tc>
        <w:tc>
          <w:tcPr>
            <w:tcW w:w="1190" w:type="dxa"/>
          </w:tcPr>
          <w:p w14:paraId="22304811" w14:textId="32FCD564"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6.48</w:t>
            </w:r>
          </w:p>
        </w:tc>
        <w:tc>
          <w:tcPr>
            <w:tcW w:w="1186" w:type="dxa"/>
          </w:tcPr>
          <w:p w14:paraId="6B7E5C48" w14:textId="14F90288"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27.40</w:t>
            </w:r>
          </w:p>
        </w:tc>
        <w:tc>
          <w:tcPr>
            <w:tcW w:w="1110" w:type="dxa"/>
          </w:tcPr>
          <w:p w14:paraId="4C42572C" w14:textId="1AE5DF04"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63.61</w:t>
            </w:r>
          </w:p>
        </w:tc>
        <w:tc>
          <w:tcPr>
            <w:tcW w:w="1220" w:type="dxa"/>
          </w:tcPr>
          <w:p w14:paraId="17DAE640" w14:textId="35CB1DC2"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1.35</w:t>
            </w:r>
            <w:r w:rsidRPr="0066642E">
              <w:rPr>
                <w:rFonts w:cs="Open Sans"/>
                <w:szCs w:val="18"/>
                <w:vertAlign w:val="superscript"/>
              </w:rPr>
              <w:t>c</w:t>
            </w:r>
          </w:p>
        </w:tc>
        <w:tc>
          <w:tcPr>
            <w:tcW w:w="1048" w:type="dxa"/>
          </w:tcPr>
          <w:p w14:paraId="31910D41" w14:textId="127880F8"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7.64</w:t>
            </w:r>
          </w:p>
        </w:tc>
        <w:tc>
          <w:tcPr>
            <w:tcW w:w="1130" w:type="dxa"/>
          </w:tcPr>
          <w:p w14:paraId="7D4E10F2" w14:textId="700C951A"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91.01</w:t>
            </w:r>
          </w:p>
        </w:tc>
      </w:tr>
      <w:tr w:rsidR="00C6675C" w:rsidRPr="0066642E" w14:paraId="596F22A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AEB2B26" w14:textId="79FED5BF" w:rsidR="00C6675C" w:rsidRPr="0066642E" w:rsidRDefault="00C6675C" w:rsidP="005649C9">
            <w:pPr>
              <w:pStyle w:val="Tablebody"/>
              <w:rPr>
                <w:rFonts w:cs="Open Sans"/>
                <w:szCs w:val="18"/>
              </w:rPr>
            </w:pPr>
            <w:r w:rsidRPr="0066642E">
              <w:rPr>
                <w:rFonts w:cs="Open Sans"/>
                <w:szCs w:val="18"/>
              </w:rPr>
              <w:t>G10</w:t>
            </w:r>
          </w:p>
        </w:tc>
        <w:tc>
          <w:tcPr>
            <w:tcW w:w="4706" w:type="dxa"/>
          </w:tcPr>
          <w:p w14:paraId="4AE30268" w14:textId="4CDAD6FE"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Discrimination against women is no longer a</w:t>
            </w:r>
            <w:r>
              <w:rPr>
                <w:rFonts w:cs="Open Sans"/>
                <w:szCs w:val="18"/>
                <w:lang w:val="en-US"/>
              </w:rPr>
              <w:t> </w:t>
            </w:r>
            <w:r w:rsidRPr="0066642E">
              <w:rPr>
                <w:rFonts w:cs="Open Sans"/>
                <w:szCs w:val="18"/>
                <w:lang w:val="en-US"/>
              </w:rPr>
              <w:t>problem in the workplace in Australia</w:t>
            </w:r>
            <w:r w:rsidRPr="0066642E">
              <w:rPr>
                <w:rFonts w:ascii="Montserrat" w:hAnsi="Montserrat" w:cs="Montserrat"/>
                <w:szCs w:val="18"/>
                <w:lang w:val="en-US"/>
              </w:rPr>
              <w:t>~</w:t>
            </w:r>
          </w:p>
        </w:tc>
        <w:tc>
          <w:tcPr>
            <w:tcW w:w="737" w:type="dxa"/>
          </w:tcPr>
          <w:p w14:paraId="01E03311" w14:textId="7624C3A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1113BA24" w14:textId="7B72966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5,941</w:t>
            </w:r>
          </w:p>
        </w:tc>
        <w:tc>
          <w:tcPr>
            <w:tcW w:w="1024" w:type="dxa"/>
          </w:tcPr>
          <w:p w14:paraId="3CD8BBF1" w14:textId="7600412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2.51</w:t>
            </w:r>
          </w:p>
        </w:tc>
        <w:tc>
          <w:tcPr>
            <w:tcW w:w="1190" w:type="dxa"/>
          </w:tcPr>
          <w:p w14:paraId="61AED441" w14:textId="02CFA83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4.77</w:t>
            </w:r>
          </w:p>
        </w:tc>
        <w:tc>
          <w:tcPr>
            <w:tcW w:w="1186" w:type="dxa"/>
          </w:tcPr>
          <w:p w14:paraId="0B11BB4D" w14:textId="7375315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23.27</w:t>
            </w:r>
          </w:p>
        </w:tc>
        <w:tc>
          <w:tcPr>
            <w:tcW w:w="1110" w:type="dxa"/>
          </w:tcPr>
          <w:p w14:paraId="424B2BD9" w14:textId="71F32EB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66.39</w:t>
            </w:r>
          </w:p>
        </w:tc>
        <w:tc>
          <w:tcPr>
            <w:tcW w:w="1220" w:type="dxa"/>
          </w:tcPr>
          <w:p w14:paraId="58DE0A7C" w14:textId="1953744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2.94</w:t>
            </w:r>
          </w:p>
        </w:tc>
        <w:tc>
          <w:tcPr>
            <w:tcW w:w="1048" w:type="dxa"/>
          </w:tcPr>
          <w:p w14:paraId="59450B0A" w14:textId="319F926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7.28</w:t>
            </w:r>
          </w:p>
        </w:tc>
        <w:tc>
          <w:tcPr>
            <w:tcW w:w="1130" w:type="dxa"/>
          </w:tcPr>
          <w:p w14:paraId="48C57039" w14:textId="51BFE9A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89.66</w:t>
            </w:r>
          </w:p>
        </w:tc>
      </w:tr>
      <w:tr w:rsidR="00C6675C" w:rsidRPr="0066642E" w14:paraId="68810D2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0B6B53B" w14:textId="77777777" w:rsidR="00C6675C" w:rsidRPr="0066642E" w:rsidRDefault="00C6675C" w:rsidP="005649C9">
            <w:pPr>
              <w:pStyle w:val="Tablebody"/>
              <w:rPr>
                <w:rFonts w:cs="Open Sans"/>
                <w:szCs w:val="18"/>
                <w:lang w:val="en-GB"/>
              </w:rPr>
            </w:pPr>
            <w:r w:rsidRPr="0066642E">
              <w:rPr>
                <w:rFonts w:cs="Open Sans"/>
                <w:szCs w:val="18"/>
              </w:rPr>
              <w:t>G16</w:t>
            </w:r>
          </w:p>
        </w:tc>
        <w:tc>
          <w:tcPr>
            <w:tcW w:w="4706" w:type="dxa"/>
          </w:tcPr>
          <w:p w14:paraId="5C537CC3" w14:textId="64236CD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I think there’s no harm in men making sexist jokes about women when they are among their male</w:t>
            </w:r>
            <w:r>
              <w:rPr>
                <w:rFonts w:cs="Open Sans"/>
                <w:szCs w:val="18"/>
                <w:lang w:val="en-US"/>
              </w:rPr>
              <w:t> </w:t>
            </w:r>
            <w:r w:rsidRPr="0066642E">
              <w:rPr>
                <w:rFonts w:cs="Open Sans"/>
                <w:szCs w:val="18"/>
                <w:lang w:val="en-US"/>
              </w:rPr>
              <w:t>friends</w:t>
            </w:r>
            <w:r w:rsidRPr="0066642E">
              <w:rPr>
                <w:rFonts w:ascii="Montserrat" w:hAnsi="Montserrat" w:cs="Montserrat"/>
                <w:szCs w:val="18"/>
                <w:lang w:val="en-US"/>
              </w:rPr>
              <w:t>~</w:t>
            </w:r>
          </w:p>
        </w:tc>
        <w:tc>
          <w:tcPr>
            <w:tcW w:w="737" w:type="dxa"/>
          </w:tcPr>
          <w:p w14:paraId="09E62700"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5D72DC87"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551</w:t>
            </w:r>
          </w:p>
        </w:tc>
        <w:tc>
          <w:tcPr>
            <w:tcW w:w="1024" w:type="dxa"/>
          </w:tcPr>
          <w:p w14:paraId="2F248B82" w14:textId="06DC8EF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1.83</w:t>
            </w:r>
            <w:r w:rsidRPr="0066642E">
              <w:rPr>
                <w:rFonts w:cs="Open Sans"/>
                <w:szCs w:val="18"/>
                <w:vertAlign w:val="superscript"/>
              </w:rPr>
              <w:t>c</w:t>
            </w:r>
          </w:p>
        </w:tc>
        <w:tc>
          <w:tcPr>
            <w:tcW w:w="1190" w:type="dxa"/>
          </w:tcPr>
          <w:p w14:paraId="728926B4" w14:textId="354694DB"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10.00</w:t>
            </w:r>
          </w:p>
        </w:tc>
        <w:tc>
          <w:tcPr>
            <w:tcW w:w="1186" w:type="dxa"/>
          </w:tcPr>
          <w:p w14:paraId="6E145E24" w14:textId="2967475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23.70</w:t>
            </w:r>
          </w:p>
        </w:tc>
        <w:tc>
          <w:tcPr>
            <w:tcW w:w="1110" w:type="dxa"/>
          </w:tcPr>
          <w:p w14:paraId="43FA488F" w14:textId="0202F16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61.26</w:t>
            </w:r>
          </w:p>
        </w:tc>
        <w:tc>
          <w:tcPr>
            <w:tcW w:w="1220" w:type="dxa"/>
          </w:tcPr>
          <w:p w14:paraId="69B4227F" w14:textId="4222380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2.91</w:t>
            </w:r>
            <w:r w:rsidRPr="0066642E">
              <w:rPr>
                <w:rFonts w:cs="Open Sans"/>
                <w:szCs w:val="18"/>
                <w:vertAlign w:val="superscript"/>
              </w:rPr>
              <w:t>c</w:t>
            </w:r>
          </w:p>
        </w:tc>
        <w:tc>
          <w:tcPr>
            <w:tcW w:w="1048" w:type="dxa"/>
          </w:tcPr>
          <w:p w14:paraId="0C64E419" w14:textId="583A188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11.84</w:t>
            </w:r>
          </w:p>
        </w:tc>
        <w:tc>
          <w:tcPr>
            <w:tcW w:w="1130" w:type="dxa"/>
          </w:tcPr>
          <w:p w14:paraId="33DAB5E6" w14:textId="6C8EECE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84.96</w:t>
            </w:r>
          </w:p>
        </w:tc>
      </w:tr>
      <w:tr w:rsidR="00C6675C" w:rsidRPr="0066642E" w14:paraId="0EA1062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548AB45" w14:textId="6097A187" w:rsidR="00C6675C" w:rsidRPr="0066642E" w:rsidRDefault="00C6675C" w:rsidP="005649C9">
            <w:pPr>
              <w:pStyle w:val="Tablebody"/>
              <w:rPr>
                <w:rFonts w:cs="Open Sans"/>
                <w:szCs w:val="18"/>
              </w:rPr>
            </w:pPr>
            <w:r w:rsidRPr="0066642E">
              <w:rPr>
                <w:rFonts w:cs="Open Sans"/>
                <w:szCs w:val="18"/>
              </w:rPr>
              <w:t>G16</w:t>
            </w:r>
          </w:p>
        </w:tc>
        <w:tc>
          <w:tcPr>
            <w:tcW w:w="4706" w:type="dxa"/>
          </w:tcPr>
          <w:p w14:paraId="7FDF6721" w14:textId="6D7B454C"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I think there’s no harm in men making sexist jokes about women when they are among their male</w:t>
            </w:r>
            <w:r>
              <w:rPr>
                <w:rFonts w:cs="Open Sans"/>
                <w:szCs w:val="18"/>
                <w:lang w:val="en-US"/>
              </w:rPr>
              <w:t> </w:t>
            </w:r>
            <w:r w:rsidRPr="0066642E">
              <w:rPr>
                <w:rFonts w:cs="Open Sans"/>
                <w:szCs w:val="18"/>
                <w:lang w:val="en-US"/>
              </w:rPr>
              <w:t>friends</w:t>
            </w:r>
            <w:r w:rsidRPr="0066642E">
              <w:rPr>
                <w:rFonts w:ascii="Montserrat" w:hAnsi="Montserrat" w:cs="Montserrat"/>
                <w:szCs w:val="18"/>
                <w:lang w:val="en-US"/>
              </w:rPr>
              <w:t>~</w:t>
            </w:r>
          </w:p>
        </w:tc>
        <w:tc>
          <w:tcPr>
            <w:tcW w:w="737" w:type="dxa"/>
          </w:tcPr>
          <w:p w14:paraId="388460F0" w14:textId="2D1E658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4987AC15" w14:textId="0229BBB2"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5,941</w:t>
            </w:r>
          </w:p>
        </w:tc>
        <w:tc>
          <w:tcPr>
            <w:tcW w:w="1024" w:type="dxa"/>
          </w:tcPr>
          <w:p w14:paraId="74E173BF" w14:textId="1612525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3.29</w:t>
            </w:r>
          </w:p>
        </w:tc>
        <w:tc>
          <w:tcPr>
            <w:tcW w:w="1190" w:type="dxa"/>
          </w:tcPr>
          <w:p w14:paraId="08226997" w14:textId="57EE8431"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12.10</w:t>
            </w:r>
          </w:p>
        </w:tc>
        <w:tc>
          <w:tcPr>
            <w:tcW w:w="1186" w:type="dxa"/>
          </w:tcPr>
          <w:p w14:paraId="2B397B6E" w14:textId="74522470"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24.63</w:t>
            </w:r>
          </w:p>
        </w:tc>
        <w:tc>
          <w:tcPr>
            <w:tcW w:w="1110" w:type="dxa"/>
          </w:tcPr>
          <w:p w14:paraId="5740FFEE" w14:textId="0E4CD853"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56.39</w:t>
            </w:r>
          </w:p>
        </w:tc>
        <w:tc>
          <w:tcPr>
            <w:tcW w:w="1220" w:type="dxa"/>
          </w:tcPr>
          <w:p w14:paraId="73A7268C" w14:textId="3513908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3.39</w:t>
            </w:r>
          </w:p>
        </w:tc>
        <w:tc>
          <w:tcPr>
            <w:tcW w:w="1048" w:type="dxa"/>
          </w:tcPr>
          <w:p w14:paraId="6E7EC7EF" w14:textId="4A9CD44D"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15.40</w:t>
            </w:r>
          </w:p>
        </w:tc>
        <w:tc>
          <w:tcPr>
            <w:tcW w:w="1130" w:type="dxa"/>
          </w:tcPr>
          <w:p w14:paraId="10C91E6D" w14:textId="7D89637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81.02</w:t>
            </w:r>
          </w:p>
        </w:tc>
      </w:tr>
      <w:tr w:rsidR="00C6675C" w:rsidRPr="0066642E" w14:paraId="1FCDFF5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78D285B" w14:textId="77777777" w:rsidR="00C6675C" w:rsidRPr="0066642E" w:rsidRDefault="00C6675C" w:rsidP="005649C9">
            <w:pPr>
              <w:pStyle w:val="Tablebody"/>
              <w:rPr>
                <w:rFonts w:cs="Open Sans"/>
                <w:szCs w:val="18"/>
                <w:lang w:val="en-GB"/>
              </w:rPr>
            </w:pPr>
            <w:r w:rsidRPr="0066642E">
              <w:rPr>
                <w:rFonts w:cs="Open Sans"/>
                <w:szCs w:val="18"/>
              </w:rPr>
              <w:t>G17</w:t>
            </w:r>
          </w:p>
        </w:tc>
        <w:tc>
          <w:tcPr>
            <w:tcW w:w="4706" w:type="dxa"/>
          </w:tcPr>
          <w:p w14:paraId="0D520A98"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lang w:val="en-US"/>
              </w:rPr>
              <w:t>I think it’s OK for men to joke with their male friends about being violent towards women</w:t>
            </w:r>
            <w:r w:rsidRPr="0066642E">
              <w:rPr>
                <w:rFonts w:ascii="Montserrat" w:hAnsi="Montserrat" w:cs="Montserrat"/>
                <w:szCs w:val="18"/>
                <w:lang w:val="en-US"/>
              </w:rPr>
              <w:t>~</w:t>
            </w:r>
          </w:p>
        </w:tc>
        <w:tc>
          <w:tcPr>
            <w:tcW w:w="737" w:type="dxa"/>
          </w:tcPr>
          <w:p w14:paraId="1F6D3366"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3B59A327" w14:textId="77777777"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825</w:t>
            </w:r>
          </w:p>
        </w:tc>
        <w:tc>
          <w:tcPr>
            <w:tcW w:w="1024" w:type="dxa"/>
          </w:tcPr>
          <w:p w14:paraId="17C2C885" w14:textId="0E4FDA1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0.41</w:t>
            </w:r>
            <w:r w:rsidRPr="0066642E">
              <w:rPr>
                <w:rFonts w:cs="Open Sans"/>
                <w:szCs w:val="18"/>
                <w:vertAlign w:val="superscript"/>
              </w:rPr>
              <w:t>c</w:t>
            </w:r>
          </w:p>
        </w:tc>
        <w:tc>
          <w:tcPr>
            <w:tcW w:w="1190" w:type="dxa"/>
          </w:tcPr>
          <w:p w14:paraId="7A7A4E50" w14:textId="3F5DD8B8"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2.74</w:t>
            </w:r>
            <w:r w:rsidRPr="0066642E">
              <w:rPr>
                <w:rFonts w:cs="Open Sans"/>
                <w:szCs w:val="18"/>
                <w:vertAlign w:val="superscript"/>
              </w:rPr>
              <w:t>c</w:t>
            </w:r>
          </w:p>
        </w:tc>
        <w:tc>
          <w:tcPr>
            <w:tcW w:w="1186" w:type="dxa"/>
          </w:tcPr>
          <w:p w14:paraId="4F9871FC" w14:textId="15C846D9"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7.93</w:t>
            </w:r>
          </w:p>
        </w:tc>
        <w:tc>
          <w:tcPr>
            <w:tcW w:w="1110" w:type="dxa"/>
          </w:tcPr>
          <w:p w14:paraId="5A68B86F" w14:textId="6531B58F"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88.33*</w:t>
            </w:r>
          </w:p>
        </w:tc>
        <w:tc>
          <w:tcPr>
            <w:tcW w:w="1220" w:type="dxa"/>
          </w:tcPr>
          <w:p w14:paraId="6D499280" w14:textId="3F0F0C76"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0.44</w:t>
            </w:r>
            <w:r w:rsidRPr="0066642E">
              <w:rPr>
                <w:rFonts w:cs="Open Sans"/>
                <w:szCs w:val="18"/>
                <w:vertAlign w:val="superscript"/>
              </w:rPr>
              <w:t>c</w:t>
            </w:r>
          </w:p>
        </w:tc>
        <w:tc>
          <w:tcPr>
            <w:tcW w:w="1048" w:type="dxa"/>
          </w:tcPr>
          <w:p w14:paraId="46ED0929" w14:textId="1AF7E705"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3.16</w:t>
            </w:r>
          </w:p>
        </w:tc>
        <w:tc>
          <w:tcPr>
            <w:tcW w:w="1130" w:type="dxa"/>
          </w:tcPr>
          <w:p w14:paraId="28174565" w14:textId="5112DE2A" w:rsidR="00C6675C" w:rsidRPr="0066642E"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96.26</w:t>
            </w:r>
          </w:p>
        </w:tc>
      </w:tr>
      <w:tr w:rsidR="006038DD" w:rsidRPr="0066642E" w14:paraId="6BAD5FC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63472D0" w14:textId="4455F665" w:rsidR="006038DD" w:rsidRPr="0066642E" w:rsidRDefault="006038DD" w:rsidP="005649C9">
            <w:pPr>
              <w:pStyle w:val="Tablebody"/>
              <w:rPr>
                <w:rFonts w:cs="Open Sans"/>
                <w:szCs w:val="18"/>
              </w:rPr>
            </w:pPr>
            <w:r w:rsidRPr="0066642E">
              <w:rPr>
                <w:rFonts w:cs="Open Sans"/>
                <w:szCs w:val="18"/>
              </w:rPr>
              <w:t>G17</w:t>
            </w:r>
          </w:p>
        </w:tc>
        <w:tc>
          <w:tcPr>
            <w:tcW w:w="4706" w:type="dxa"/>
          </w:tcPr>
          <w:p w14:paraId="1525534E" w14:textId="111E58F1"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6642E">
              <w:rPr>
                <w:rFonts w:cs="Open Sans"/>
                <w:szCs w:val="18"/>
                <w:lang w:val="en-US"/>
              </w:rPr>
              <w:t>I think it’s OK for men to joke with their male friends about being violent towards women</w:t>
            </w:r>
            <w:r w:rsidRPr="0066642E">
              <w:rPr>
                <w:rFonts w:ascii="Montserrat" w:hAnsi="Montserrat" w:cs="Montserrat"/>
                <w:szCs w:val="18"/>
                <w:lang w:val="en-US"/>
              </w:rPr>
              <w:t>~</w:t>
            </w:r>
          </w:p>
        </w:tc>
        <w:tc>
          <w:tcPr>
            <w:tcW w:w="737" w:type="dxa"/>
          </w:tcPr>
          <w:p w14:paraId="53F9A496" w14:textId="5446CF9F"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2B2BF2BF" w14:textId="3B97D7D6"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9,090</w:t>
            </w:r>
          </w:p>
        </w:tc>
        <w:tc>
          <w:tcPr>
            <w:tcW w:w="1024" w:type="dxa"/>
          </w:tcPr>
          <w:p w14:paraId="500C6493" w14:textId="4B3FF4BF"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0.49</w:t>
            </w:r>
          </w:p>
        </w:tc>
        <w:tc>
          <w:tcPr>
            <w:tcW w:w="1190" w:type="dxa"/>
          </w:tcPr>
          <w:p w14:paraId="067B376B" w14:textId="6F9D3294"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1.09</w:t>
            </w:r>
          </w:p>
        </w:tc>
        <w:tc>
          <w:tcPr>
            <w:tcW w:w="1186" w:type="dxa"/>
          </w:tcPr>
          <w:p w14:paraId="4009B972" w14:textId="7CAA46E2"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3.87</w:t>
            </w:r>
          </w:p>
        </w:tc>
        <w:tc>
          <w:tcPr>
            <w:tcW w:w="1110" w:type="dxa"/>
          </w:tcPr>
          <w:p w14:paraId="501C1F62" w14:textId="2B6E3454"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93.84*</w:t>
            </w:r>
          </w:p>
        </w:tc>
        <w:tc>
          <w:tcPr>
            <w:tcW w:w="1220" w:type="dxa"/>
          </w:tcPr>
          <w:p w14:paraId="61ECCBB1" w14:textId="3DDA4778"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0.63</w:t>
            </w:r>
          </w:p>
        </w:tc>
        <w:tc>
          <w:tcPr>
            <w:tcW w:w="1048" w:type="dxa"/>
          </w:tcPr>
          <w:p w14:paraId="544F1E04" w14:textId="79F48EF9"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1.58</w:t>
            </w:r>
          </w:p>
        </w:tc>
        <w:tc>
          <w:tcPr>
            <w:tcW w:w="1130" w:type="dxa"/>
          </w:tcPr>
          <w:p w14:paraId="7A3F5BB0" w14:textId="361DD221" w:rsidR="006038DD" w:rsidRPr="0066642E" w:rsidRDefault="006038D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97.71</w:t>
            </w:r>
          </w:p>
        </w:tc>
      </w:tr>
    </w:tbl>
    <w:p w14:paraId="2A2B5718" w14:textId="2908424F" w:rsidR="00474B3F" w:rsidRDefault="00A35B1A" w:rsidP="005649C9">
      <w:pPr>
        <w:pStyle w:val="Tablesubheading0"/>
      </w:pPr>
      <w:r>
        <w:t>Subscale:</w:t>
      </w:r>
      <w:r w:rsidRPr="00A35B1A">
        <w:t xml:space="preserve"> </w:t>
      </w:r>
      <w:r w:rsidRPr="00531840">
        <w:t>Reinforce Gender Roles</w:t>
      </w:r>
    </w:p>
    <w:tbl>
      <w:tblPr>
        <w:tblStyle w:val="Table-SingleHeaderRow"/>
        <w:tblW w:w="14973" w:type="dxa"/>
        <w:tblLayout w:type="fixed"/>
        <w:tblLook w:val="00A0" w:firstRow="1" w:lastRow="0" w:firstColumn="1" w:lastColumn="0" w:noHBand="0" w:noVBand="0"/>
      </w:tblPr>
      <w:tblGrid>
        <w:gridCol w:w="737"/>
        <w:gridCol w:w="4706"/>
        <w:gridCol w:w="737"/>
        <w:gridCol w:w="885"/>
        <w:gridCol w:w="1024"/>
        <w:gridCol w:w="1190"/>
        <w:gridCol w:w="1186"/>
        <w:gridCol w:w="1110"/>
        <w:gridCol w:w="1220"/>
        <w:gridCol w:w="1048"/>
        <w:gridCol w:w="1130"/>
      </w:tblGrid>
      <w:tr w:rsidR="00A35B1A" w:rsidRPr="0066642E" w14:paraId="066B71A7" w14:textId="77777777" w:rsidTr="005649C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3114156A" w14:textId="77777777" w:rsidR="00A35B1A" w:rsidRPr="0066642E" w:rsidRDefault="00A35B1A" w:rsidP="005649C9">
            <w:pPr>
              <w:pStyle w:val="Tablebody"/>
              <w:rPr>
                <w:lang w:val="en-GB"/>
              </w:rPr>
            </w:pPr>
            <w:r w:rsidRPr="0066642E">
              <w:t>Code</w:t>
            </w:r>
          </w:p>
        </w:tc>
        <w:tc>
          <w:tcPr>
            <w:tcW w:w="4706" w:type="dxa"/>
          </w:tcPr>
          <w:p w14:paraId="6A86563A"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Abbreviated item wording</w:t>
            </w:r>
          </w:p>
        </w:tc>
        <w:tc>
          <w:tcPr>
            <w:tcW w:w="737" w:type="dxa"/>
          </w:tcPr>
          <w:p w14:paraId="3EA6DD4A"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Age</w:t>
            </w:r>
          </w:p>
        </w:tc>
        <w:tc>
          <w:tcPr>
            <w:tcW w:w="885" w:type="dxa"/>
          </w:tcPr>
          <w:p w14:paraId="22844124"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rPr>
                <w:rFonts w:ascii="Open Sans SemiBold" w:hAnsi="Open Sans SemiBold" w:cs="Open Sans SemiBold"/>
                <w:i/>
                <w:iCs/>
                <w:lang w:val="en-GB"/>
              </w:rPr>
              <w:t>N</w:t>
            </w:r>
          </w:p>
        </w:tc>
        <w:tc>
          <w:tcPr>
            <w:tcW w:w="1024" w:type="dxa"/>
          </w:tcPr>
          <w:p w14:paraId="46C3D313" w14:textId="054124E3"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Strongly agree</w:t>
            </w:r>
          </w:p>
        </w:tc>
        <w:tc>
          <w:tcPr>
            <w:tcW w:w="1190" w:type="dxa"/>
          </w:tcPr>
          <w:p w14:paraId="6185674D"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Somewhat agree</w:t>
            </w:r>
          </w:p>
        </w:tc>
        <w:tc>
          <w:tcPr>
            <w:tcW w:w="1186" w:type="dxa"/>
          </w:tcPr>
          <w:p w14:paraId="55D8E849"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Somewhat disagree</w:t>
            </w:r>
          </w:p>
        </w:tc>
        <w:tc>
          <w:tcPr>
            <w:tcW w:w="1110" w:type="dxa"/>
          </w:tcPr>
          <w:p w14:paraId="7D542743"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Strongly disagree</w:t>
            </w:r>
          </w:p>
        </w:tc>
        <w:tc>
          <w:tcPr>
            <w:tcW w:w="1220" w:type="dxa"/>
          </w:tcPr>
          <w:p w14:paraId="20732104" w14:textId="2F30D515"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Undecided</w:t>
            </w:r>
          </w:p>
        </w:tc>
        <w:tc>
          <w:tcPr>
            <w:tcW w:w="1048" w:type="dxa"/>
          </w:tcPr>
          <w:p w14:paraId="7BC64AAD" w14:textId="7F6B5E71"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Net agree</w:t>
            </w:r>
            <w:r w:rsidRPr="0066642E">
              <w:rPr>
                <w:vertAlign w:val="superscript"/>
              </w:rPr>
              <w:t>a</w:t>
            </w:r>
          </w:p>
        </w:tc>
        <w:tc>
          <w:tcPr>
            <w:tcW w:w="1130" w:type="dxa"/>
          </w:tcPr>
          <w:p w14:paraId="012BBFD8" w14:textId="77777777" w:rsidR="00A35B1A" w:rsidRPr="0066642E" w:rsidRDefault="00A35B1A" w:rsidP="005649C9">
            <w:pPr>
              <w:pStyle w:val="Tablebody"/>
              <w:cnfStyle w:val="100000000000" w:firstRow="1" w:lastRow="0" w:firstColumn="0" w:lastColumn="0" w:oddVBand="0" w:evenVBand="0" w:oddHBand="0" w:evenHBand="0" w:firstRowFirstColumn="0" w:firstRowLastColumn="0" w:lastRowFirstColumn="0" w:lastRowLastColumn="0"/>
              <w:rPr>
                <w:lang w:val="en-GB"/>
              </w:rPr>
            </w:pPr>
            <w:r w:rsidRPr="0066642E">
              <w:t>% Net disagree</w:t>
            </w:r>
            <w:r w:rsidRPr="0066642E">
              <w:rPr>
                <w:vertAlign w:val="superscript"/>
              </w:rPr>
              <w:t>b</w:t>
            </w:r>
          </w:p>
        </w:tc>
      </w:tr>
      <w:tr w:rsidR="00BD0D41" w:rsidRPr="0066642E" w14:paraId="1D617A3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1BA5D81" w14:textId="77777777" w:rsidR="00BD0D41" w:rsidRPr="0066642E" w:rsidRDefault="00BD0D41" w:rsidP="005649C9">
            <w:pPr>
              <w:pStyle w:val="Tablebody"/>
              <w:rPr>
                <w:rFonts w:cs="Open Sans"/>
                <w:szCs w:val="18"/>
                <w:lang w:val="en-GB"/>
              </w:rPr>
            </w:pPr>
            <w:r w:rsidRPr="0066642E">
              <w:rPr>
                <w:rFonts w:cs="Open Sans"/>
                <w:szCs w:val="18"/>
              </w:rPr>
              <w:t>G7</w:t>
            </w:r>
          </w:p>
        </w:tc>
        <w:tc>
          <w:tcPr>
            <w:tcW w:w="4706" w:type="dxa"/>
          </w:tcPr>
          <w:p w14:paraId="25A1F90E" w14:textId="77777777"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I think it is embarrassing for a man to have a job that is usually held by a woman</w:t>
            </w:r>
          </w:p>
        </w:tc>
        <w:tc>
          <w:tcPr>
            <w:tcW w:w="737" w:type="dxa"/>
          </w:tcPr>
          <w:p w14:paraId="51DC43BC" w14:textId="77777777"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0A1F5F3D" w14:textId="77777777"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2C08194B" w14:textId="4CF761EA"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1.05</w:t>
            </w:r>
            <w:r w:rsidRPr="0066642E">
              <w:rPr>
                <w:rFonts w:cs="Open Sans"/>
                <w:szCs w:val="18"/>
                <w:vertAlign w:val="superscript"/>
              </w:rPr>
              <w:t>c</w:t>
            </w:r>
          </w:p>
        </w:tc>
        <w:tc>
          <w:tcPr>
            <w:tcW w:w="1190" w:type="dxa"/>
          </w:tcPr>
          <w:p w14:paraId="39E2DB7A" w14:textId="1F254F85"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2.57</w:t>
            </w:r>
          </w:p>
        </w:tc>
        <w:tc>
          <w:tcPr>
            <w:tcW w:w="1186" w:type="dxa"/>
          </w:tcPr>
          <w:p w14:paraId="654FE530" w14:textId="349A1440"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11.08</w:t>
            </w:r>
          </w:p>
        </w:tc>
        <w:tc>
          <w:tcPr>
            <w:tcW w:w="1110" w:type="dxa"/>
          </w:tcPr>
          <w:p w14:paraId="531444AE" w14:textId="0C5391CA"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84.00</w:t>
            </w:r>
          </w:p>
        </w:tc>
        <w:tc>
          <w:tcPr>
            <w:tcW w:w="1220" w:type="dxa"/>
          </w:tcPr>
          <w:p w14:paraId="2F5E204A" w14:textId="66C28358"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1.19</w:t>
            </w:r>
          </w:p>
        </w:tc>
        <w:tc>
          <w:tcPr>
            <w:tcW w:w="1048" w:type="dxa"/>
          </w:tcPr>
          <w:p w14:paraId="0C10BCC4" w14:textId="1940D805"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3.62</w:t>
            </w:r>
          </w:p>
        </w:tc>
        <w:tc>
          <w:tcPr>
            <w:tcW w:w="1130" w:type="dxa"/>
          </w:tcPr>
          <w:p w14:paraId="50CE8217" w14:textId="1C9E1A2F" w:rsidR="00BD0D41" w:rsidRPr="0066642E" w:rsidRDefault="00BD0D4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95.08</w:t>
            </w:r>
          </w:p>
        </w:tc>
      </w:tr>
      <w:tr w:rsidR="00EA1B2C" w:rsidRPr="0066642E" w14:paraId="1FB6F60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97A05D4" w14:textId="6A33ECDB" w:rsidR="00EA1B2C" w:rsidRPr="0066642E" w:rsidRDefault="00EA1B2C" w:rsidP="005649C9">
            <w:pPr>
              <w:pStyle w:val="Tablebody"/>
              <w:rPr>
                <w:rFonts w:cs="Open Sans"/>
                <w:szCs w:val="18"/>
              </w:rPr>
            </w:pPr>
            <w:r w:rsidRPr="0066642E">
              <w:rPr>
                <w:rFonts w:cs="Open Sans"/>
                <w:szCs w:val="18"/>
              </w:rPr>
              <w:t>G7</w:t>
            </w:r>
          </w:p>
        </w:tc>
        <w:tc>
          <w:tcPr>
            <w:tcW w:w="4706" w:type="dxa"/>
          </w:tcPr>
          <w:p w14:paraId="293E43E0" w14:textId="311C25C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I think it is embarrassing for a man to have a job that is usually held by a woman</w:t>
            </w:r>
          </w:p>
        </w:tc>
        <w:tc>
          <w:tcPr>
            <w:tcW w:w="737" w:type="dxa"/>
          </w:tcPr>
          <w:p w14:paraId="54BEA225" w14:textId="1FE32D5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305F4101" w14:textId="694F7D2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514D9BDA" w14:textId="2982435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1.16</w:t>
            </w:r>
          </w:p>
        </w:tc>
        <w:tc>
          <w:tcPr>
            <w:tcW w:w="1190" w:type="dxa"/>
          </w:tcPr>
          <w:p w14:paraId="2960E7E4" w14:textId="055E8DE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3.25</w:t>
            </w:r>
          </w:p>
        </w:tc>
        <w:tc>
          <w:tcPr>
            <w:tcW w:w="1186" w:type="dxa"/>
          </w:tcPr>
          <w:p w14:paraId="05ACECAD" w14:textId="1777290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14.71</w:t>
            </w:r>
          </w:p>
        </w:tc>
        <w:tc>
          <w:tcPr>
            <w:tcW w:w="1110" w:type="dxa"/>
          </w:tcPr>
          <w:p w14:paraId="560049F7" w14:textId="516D649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79.19</w:t>
            </w:r>
          </w:p>
        </w:tc>
        <w:tc>
          <w:tcPr>
            <w:tcW w:w="1220" w:type="dxa"/>
          </w:tcPr>
          <w:p w14:paraId="64226D82" w14:textId="6CB871B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1.56</w:t>
            </w:r>
          </w:p>
        </w:tc>
        <w:tc>
          <w:tcPr>
            <w:tcW w:w="1048" w:type="dxa"/>
          </w:tcPr>
          <w:p w14:paraId="17CFF9D5" w14:textId="7AEF14D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4.41</w:t>
            </w:r>
          </w:p>
        </w:tc>
        <w:tc>
          <w:tcPr>
            <w:tcW w:w="1130" w:type="dxa"/>
          </w:tcPr>
          <w:p w14:paraId="20B01F8C" w14:textId="40FEEE6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93.89</w:t>
            </w:r>
          </w:p>
        </w:tc>
      </w:tr>
      <w:tr w:rsidR="00EA1B2C" w:rsidRPr="0066642E" w14:paraId="3974730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CBF8AFB" w14:textId="77777777" w:rsidR="00EA1B2C" w:rsidRPr="0066642E" w:rsidRDefault="00EA1B2C" w:rsidP="005649C9">
            <w:pPr>
              <w:pStyle w:val="Tablebody"/>
              <w:rPr>
                <w:rFonts w:cs="Open Sans"/>
                <w:szCs w:val="18"/>
                <w:lang w:val="en-GB"/>
              </w:rPr>
            </w:pPr>
            <w:r w:rsidRPr="0066642E">
              <w:rPr>
                <w:rFonts w:cs="Open Sans"/>
                <w:szCs w:val="18"/>
              </w:rPr>
              <w:t>G8</w:t>
            </w:r>
          </w:p>
        </w:tc>
        <w:tc>
          <w:tcPr>
            <w:tcW w:w="4706" w:type="dxa"/>
          </w:tcPr>
          <w:p w14:paraId="2B437489"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A man should never admit when others have hurt his feelings</w:t>
            </w:r>
          </w:p>
        </w:tc>
        <w:tc>
          <w:tcPr>
            <w:tcW w:w="737" w:type="dxa"/>
          </w:tcPr>
          <w:p w14:paraId="55DA6BD5"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3767AFD5"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3CDBF1E5" w14:textId="49741DC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0.93</w:t>
            </w:r>
            <w:r w:rsidRPr="0066642E">
              <w:rPr>
                <w:rFonts w:cs="Open Sans"/>
                <w:szCs w:val="18"/>
                <w:vertAlign w:val="superscript"/>
              </w:rPr>
              <w:t>c</w:t>
            </w:r>
          </w:p>
        </w:tc>
        <w:tc>
          <w:tcPr>
            <w:tcW w:w="1190" w:type="dxa"/>
          </w:tcPr>
          <w:p w14:paraId="75664E9C" w14:textId="64A7D05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3.21</w:t>
            </w:r>
          </w:p>
        </w:tc>
        <w:tc>
          <w:tcPr>
            <w:tcW w:w="1186" w:type="dxa"/>
          </w:tcPr>
          <w:p w14:paraId="4107E9BB" w14:textId="33B0B60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10.70</w:t>
            </w:r>
          </w:p>
        </w:tc>
        <w:tc>
          <w:tcPr>
            <w:tcW w:w="1110" w:type="dxa"/>
          </w:tcPr>
          <w:p w14:paraId="46C8B811" w14:textId="28D10D1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84.05</w:t>
            </w:r>
          </w:p>
        </w:tc>
        <w:tc>
          <w:tcPr>
            <w:tcW w:w="1220" w:type="dxa"/>
          </w:tcPr>
          <w:p w14:paraId="464AD954" w14:textId="06A852D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0.89</w:t>
            </w:r>
            <w:r w:rsidRPr="0066642E">
              <w:rPr>
                <w:rFonts w:cs="Open Sans"/>
                <w:szCs w:val="18"/>
                <w:vertAlign w:val="superscript"/>
              </w:rPr>
              <w:t>c</w:t>
            </w:r>
          </w:p>
        </w:tc>
        <w:tc>
          <w:tcPr>
            <w:tcW w:w="1048" w:type="dxa"/>
          </w:tcPr>
          <w:p w14:paraId="153936FD" w14:textId="30E01E1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4.14</w:t>
            </w:r>
          </w:p>
        </w:tc>
        <w:tc>
          <w:tcPr>
            <w:tcW w:w="1130" w:type="dxa"/>
          </w:tcPr>
          <w:p w14:paraId="34DA657E" w14:textId="62EC756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94.76</w:t>
            </w:r>
          </w:p>
        </w:tc>
      </w:tr>
      <w:tr w:rsidR="00EA1B2C" w:rsidRPr="0066642E" w14:paraId="09FF77C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C6E5CE1" w14:textId="4ABA1458" w:rsidR="00EA1B2C" w:rsidRPr="0066642E" w:rsidRDefault="00EA1B2C" w:rsidP="005649C9">
            <w:pPr>
              <w:pStyle w:val="Tablebody"/>
              <w:rPr>
                <w:rFonts w:cs="Open Sans"/>
                <w:szCs w:val="18"/>
              </w:rPr>
            </w:pPr>
            <w:r w:rsidRPr="0066642E">
              <w:rPr>
                <w:rFonts w:cs="Open Sans"/>
                <w:szCs w:val="18"/>
              </w:rPr>
              <w:t>G8</w:t>
            </w:r>
          </w:p>
        </w:tc>
        <w:tc>
          <w:tcPr>
            <w:tcW w:w="4706" w:type="dxa"/>
          </w:tcPr>
          <w:p w14:paraId="40EDEEBE" w14:textId="079D0D2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A man should never admit when others have hurt his</w:t>
            </w:r>
            <w:r>
              <w:rPr>
                <w:rFonts w:cs="Open Sans"/>
                <w:szCs w:val="18"/>
              </w:rPr>
              <w:t> </w:t>
            </w:r>
            <w:r w:rsidRPr="0066642E">
              <w:rPr>
                <w:rFonts w:cs="Open Sans"/>
                <w:szCs w:val="18"/>
              </w:rPr>
              <w:t>feelings</w:t>
            </w:r>
          </w:p>
        </w:tc>
        <w:tc>
          <w:tcPr>
            <w:tcW w:w="737" w:type="dxa"/>
          </w:tcPr>
          <w:p w14:paraId="02ECC20C" w14:textId="2F0F39B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4FDD03BA" w14:textId="7626B89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6CE4C758" w14:textId="468443C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1.48</w:t>
            </w:r>
          </w:p>
        </w:tc>
        <w:tc>
          <w:tcPr>
            <w:tcW w:w="1190" w:type="dxa"/>
          </w:tcPr>
          <w:p w14:paraId="1FC06478" w14:textId="5B29421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3.45</w:t>
            </w:r>
          </w:p>
        </w:tc>
        <w:tc>
          <w:tcPr>
            <w:tcW w:w="1186" w:type="dxa"/>
          </w:tcPr>
          <w:p w14:paraId="32DB1FD8" w14:textId="58D8946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15.90</w:t>
            </w:r>
          </w:p>
        </w:tc>
        <w:tc>
          <w:tcPr>
            <w:tcW w:w="1110" w:type="dxa"/>
          </w:tcPr>
          <w:p w14:paraId="1B61698D" w14:textId="07C190B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77.35</w:t>
            </w:r>
          </w:p>
        </w:tc>
        <w:tc>
          <w:tcPr>
            <w:tcW w:w="1220" w:type="dxa"/>
          </w:tcPr>
          <w:p w14:paraId="031B1606" w14:textId="27DA059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1.68</w:t>
            </w:r>
          </w:p>
        </w:tc>
        <w:tc>
          <w:tcPr>
            <w:tcW w:w="1048" w:type="dxa"/>
          </w:tcPr>
          <w:p w14:paraId="4128A8D0" w14:textId="7215396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4.93</w:t>
            </w:r>
          </w:p>
        </w:tc>
        <w:tc>
          <w:tcPr>
            <w:tcW w:w="1130" w:type="dxa"/>
          </w:tcPr>
          <w:p w14:paraId="4FE11C17" w14:textId="33485CE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93.25</w:t>
            </w:r>
          </w:p>
        </w:tc>
      </w:tr>
      <w:tr w:rsidR="00EA1B2C" w:rsidRPr="0066642E" w14:paraId="1EF0CBA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621C2A7" w14:textId="77777777" w:rsidR="00EA1B2C" w:rsidRPr="0066642E" w:rsidRDefault="00EA1B2C" w:rsidP="005649C9">
            <w:pPr>
              <w:pStyle w:val="Tablebody"/>
              <w:rPr>
                <w:rFonts w:cs="Open Sans"/>
                <w:szCs w:val="18"/>
                <w:lang w:val="en-GB"/>
              </w:rPr>
            </w:pPr>
            <w:r w:rsidRPr="0066642E">
              <w:rPr>
                <w:rFonts w:cs="Open Sans"/>
                <w:szCs w:val="18"/>
              </w:rPr>
              <w:t>G9</w:t>
            </w:r>
          </w:p>
        </w:tc>
        <w:tc>
          <w:tcPr>
            <w:tcW w:w="4706" w:type="dxa"/>
          </w:tcPr>
          <w:p w14:paraId="08357470"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Women need to have children to be fulfilled^</w:t>
            </w:r>
          </w:p>
        </w:tc>
        <w:tc>
          <w:tcPr>
            <w:tcW w:w="737" w:type="dxa"/>
          </w:tcPr>
          <w:p w14:paraId="05C0923B"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47B694FC"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053CE6B6" w14:textId="7711910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1.06</w:t>
            </w:r>
            <w:r w:rsidRPr="0066642E">
              <w:rPr>
                <w:rFonts w:cs="Open Sans"/>
                <w:szCs w:val="18"/>
                <w:vertAlign w:val="superscript"/>
              </w:rPr>
              <w:t>c</w:t>
            </w:r>
          </w:p>
        </w:tc>
        <w:tc>
          <w:tcPr>
            <w:tcW w:w="1190" w:type="dxa"/>
          </w:tcPr>
          <w:p w14:paraId="128E774B" w14:textId="2C1511C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2.64</w:t>
            </w:r>
          </w:p>
        </w:tc>
        <w:tc>
          <w:tcPr>
            <w:tcW w:w="1186" w:type="dxa"/>
          </w:tcPr>
          <w:p w14:paraId="09C6A328" w14:textId="1F1E648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13.72</w:t>
            </w:r>
          </w:p>
        </w:tc>
        <w:tc>
          <w:tcPr>
            <w:tcW w:w="1110" w:type="dxa"/>
          </w:tcPr>
          <w:p w14:paraId="29E6A880" w14:textId="5A7FE21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80.78*</w:t>
            </w:r>
          </w:p>
        </w:tc>
        <w:tc>
          <w:tcPr>
            <w:tcW w:w="1220" w:type="dxa"/>
          </w:tcPr>
          <w:p w14:paraId="3D0382D1" w14:textId="4E7C8FA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1.71</w:t>
            </w:r>
            <w:r w:rsidRPr="0066642E">
              <w:rPr>
                <w:rFonts w:cs="Open Sans"/>
                <w:szCs w:val="18"/>
                <w:vertAlign w:val="superscript"/>
              </w:rPr>
              <w:t>c</w:t>
            </w:r>
          </w:p>
        </w:tc>
        <w:tc>
          <w:tcPr>
            <w:tcW w:w="1048" w:type="dxa"/>
          </w:tcPr>
          <w:p w14:paraId="02AC8066" w14:textId="569271E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3.69</w:t>
            </w:r>
          </w:p>
        </w:tc>
        <w:tc>
          <w:tcPr>
            <w:tcW w:w="1130" w:type="dxa"/>
          </w:tcPr>
          <w:p w14:paraId="11986895" w14:textId="741F467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94.50*</w:t>
            </w:r>
          </w:p>
        </w:tc>
      </w:tr>
      <w:tr w:rsidR="00EA1B2C" w:rsidRPr="0066642E" w14:paraId="00283F1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B9CD2BD" w14:textId="59F11D2F" w:rsidR="00EA1B2C" w:rsidRPr="0066642E" w:rsidRDefault="00EA1B2C" w:rsidP="005649C9">
            <w:pPr>
              <w:pStyle w:val="Tablebody"/>
              <w:rPr>
                <w:rFonts w:cs="Open Sans"/>
                <w:szCs w:val="18"/>
              </w:rPr>
            </w:pPr>
            <w:r w:rsidRPr="0066642E">
              <w:rPr>
                <w:rFonts w:cs="Open Sans"/>
                <w:szCs w:val="18"/>
              </w:rPr>
              <w:lastRenderedPageBreak/>
              <w:t>G9</w:t>
            </w:r>
          </w:p>
        </w:tc>
        <w:tc>
          <w:tcPr>
            <w:tcW w:w="4706" w:type="dxa"/>
          </w:tcPr>
          <w:p w14:paraId="6A4D583A" w14:textId="58844B0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Women need to have children to be fulfilled^</w:t>
            </w:r>
          </w:p>
        </w:tc>
        <w:tc>
          <w:tcPr>
            <w:tcW w:w="737" w:type="dxa"/>
          </w:tcPr>
          <w:p w14:paraId="343E926C" w14:textId="66405DC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5F83FB8B" w14:textId="4E59B71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6555FA2E" w14:textId="62D2B2F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2.91</w:t>
            </w:r>
          </w:p>
        </w:tc>
        <w:tc>
          <w:tcPr>
            <w:tcW w:w="1190" w:type="dxa"/>
          </w:tcPr>
          <w:p w14:paraId="2E6BAC20" w14:textId="4829A3D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5.00</w:t>
            </w:r>
          </w:p>
        </w:tc>
        <w:tc>
          <w:tcPr>
            <w:tcW w:w="1186" w:type="dxa"/>
          </w:tcPr>
          <w:p w14:paraId="73B7134D" w14:textId="007F930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16.15</w:t>
            </w:r>
          </w:p>
        </w:tc>
        <w:tc>
          <w:tcPr>
            <w:tcW w:w="1110" w:type="dxa"/>
          </w:tcPr>
          <w:p w14:paraId="516C5C58" w14:textId="39391DA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71.91*</w:t>
            </w:r>
          </w:p>
        </w:tc>
        <w:tc>
          <w:tcPr>
            <w:tcW w:w="1220" w:type="dxa"/>
          </w:tcPr>
          <w:p w14:paraId="451F810C" w14:textId="5F3492B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3.72</w:t>
            </w:r>
          </w:p>
        </w:tc>
        <w:tc>
          <w:tcPr>
            <w:tcW w:w="1048" w:type="dxa"/>
          </w:tcPr>
          <w:p w14:paraId="64A68478" w14:textId="7EEE9C5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7.91</w:t>
            </w:r>
          </w:p>
        </w:tc>
        <w:tc>
          <w:tcPr>
            <w:tcW w:w="1130" w:type="dxa"/>
          </w:tcPr>
          <w:p w14:paraId="6334EB00" w14:textId="22F00E6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88.06*</w:t>
            </w:r>
          </w:p>
        </w:tc>
      </w:tr>
      <w:tr w:rsidR="00EA1B2C" w:rsidRPr="0066642E" w14:paraId="73E7FAA7" w14:textId="77777777" w:rsidTr="005649C9">
        <w:trPr>
          <w:trHeight w:val="685"/>
        </w:trPr>
        <w:tc>
          <w:tcPr>
            <w:cnfStyle w:val="001000000000" w:firstRow="0" w:lastRow="0" w:firstColumn="1" w:lastColumn="0" w:oddVBand="0" w:evenVBand="0" w:oddHBand="0" w:evenHBand="0" w:firstRowFirstColumn="0" w:firstRowLastColumn="0" w:lastRowFirstColumn="0" w:lastRowLastColumn="0"/>
            <w:tcW w:w="737" w:type="dxa"/>
          </w:tcPr>
          <w:p w14:paraId="0ECFAF18" w14:textId="7AA0EB37" w:rsidR="00EA1B2C" w:rsidRPr="0066642E" w:rsidRDefault="00EA1B2C" w:rsidP="005649C9">
            <w:pPr>
              <w:pStyle w:val="Tablebody"/>
              <w:rPr>
                <w:rFonts w:cs="Open Sans"/>
                <w:szCs w:val="18"/>
                <w:lang w:val="en-GB"/>
              </w:rPr>
            </w:pPr>
            <w:r w:rsidRPr="0066642E">
              <w:rPr>
                <w:rFonts w:cs="Open Sans"/>
                <w:szCs w:val="18"/>
              </w:rPr>
              <w:t>G14</w:t>
            </w:r>
          </w:p>
        </w:tc>
        <w:tc>
          <w:tcPr>
            <w:tcW w:w="4706" w:type="dxa"/>
          </w:tcPr>
          <w:p w14:paraId="507CE6FD" w14:textId="7273FA6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If a woman earns more than her male partner, it</w:t>
            </w:r>
            <w:r>
              <w:rPr>
                <w:rFonts w:cs="Open Sans"/>
                <w:szCs w:val="18"/>
              </w:rPr>
              <w:t> </w:t>
            </w:r>
            <w:r w:rsidRPr="0066642E">
              <w:rPr>
                <w:rFonts w:cs="Open Sans"/>
                <w:szCs w:val="18"/>
              </w:rPr>
              <w:t>is</w:t>
            </w:r>
            <w:r>
              <w:rPr>
                <w:rFonts w:cs="Open Sans"/>
                <w:szCs w:val="18"/>
              </w:rPr>
              <w:t> </w:t>
            </w:r>
            <w:r w:rsidRPr="0066642E">
              <w:rPr>
                <w:rFonts w:cs="Open Sans"/>
                <w:szCs w:val="18"/>
              </w:rPr>
              <w:t>not good for the relationship^</w:t>
            </w:r>
          </w:p>
        </w:tc>
        <w:tc>
          <w:tcPr>
            <w:tcW w:w="737" w:type="dxa"/>
          </w:tcPr>
          <w:p w14:paraId="62B64562"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0590B9C4"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74AB22E4" w14:textId="77F693D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1.20</w:t>
            </w:r>
            <w:r w:rsidRPr="0066642E">
              <w:rPr>
                <w:rFonts w:cs="Open Sans"/>
                <w:szCs w:val="18"/>
                <w:vertAlign w:val="superscript"/>
              </w:rPr>
              <w:t>c</w:t>
            </w:r>
          </w:p>
        </w:tc>
        <w:tc>
          <w:tcPr>
            <w:tcW w:w="1190" w:type="dxa"/>
          </w:tcPr>
          <w:p w14:paraId="4AC58457" w14:textId="3640364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2.76</w:t>
            </w:r>
          </w:p>
        </w:tc>
        <w:tc>
          <w:tcPr>
            <w:tcW w:w="1186" w:type="dxa"/>
          </w:tcPr>
          <w:p w14:paraId="519181A0" w14:textId="5963AB9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15.08</w:t>
            </w:r>
          </w:p>
        </w:tc>
        <w:tc>
          <w:tcPr>
            <w:tcW w:w="1110" w:type="dxa"/>
          </w:tcPr>
          <w:p w14:paraId="258523B9" w14:textId="047ED39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79.99</w:t>
            </w:r>
          </w:p>
        </w:tc>
        <w:tc>
          <w:tcPr>
            <w:tcW w:w="1220" w:type="dxa"/>
          </w:tcPr>
          <w:p w14:paraId="59A4BB0F" w14:textId="027E9DE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0.89</w:t>
            </w:r>
            <w:r w:rsidRPr="0066642E">
              <w:rPr>
                <w:rFonts w:cs="Open Sans"/>
                <w:szCs w:val="18"/>
                <w:vertAlign w:val="superscript"/>
              </w:rPr>
              <w:t>c</w:t>
            </w:r>
          </w:p>
        </w:tc>
        <w:tc>
          <w:tcPr>
            <w:tcW w:w="1048" w:type="dxa"/>
          </w:tcPr>
          <w:p w14:paraId="35397354" w14:textId="753E3B8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3.96</w:t>
            </w:r>
          </w:p>
        </w:tc>
        <w:tc>
          <w:tcPr>
            <w:tcW w:w="1130" w:type="dxa"/>
          </w:tcPr>
          <w:p w14:paraId="395102DF" w14:textId="573726A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95.07</w:t>
            </w:r>
          </w:p>
        </w:tc>
      </w:tr>
      <w:tr w:rsidR="00EA1B2C" w:rsidRPr="0066642E" w14:paraId="416DC26E" w14:textId="77777777" w:rsidTr="005649C9">
        <w:trPr>
          <w:trHeight w:val="685"/>
        </w:trPr>
        <w:tc>
          <w:tcPr>
            <w:cnfStyle w:val="001000000000" w:firstRow="0" w:lastRow="0" w:firstColumn="1" w:lastColumn="0" w:oddVBand="0" w:evenVBand="0" w:oddHBand="0" w:evenHBand="0" w:firstRowFirstColumn="0" w:firstRowLastColumn="0" w:lastRowFirstColumn="0" w:lastRowLastColumn="0"/>
            <w:tcW w:w="737" w:type="dxa"/>
          </w:tcPr>
          <w:p w14:paraId="10DA06BA" w14:textId="3DD12184" w:rsidR="00EA1B2C" w:rsidRPr="0066642E" w:rsidRDefault="00EA1B2C" w:rsidP="005649C9">
            <w:pPr>
              <w:pStyle w:val="Tablebody"/>
              <w:rPr>
                <w:rFonts w:cs="Open Sans"/>
                <w:szCs w:val="18"/>
              </w:rPr>
            </w:pPr>
            <w:r w:rsidRPr="0066642E">
              <w:rPr>
                <w:rFonts w:cs="Open Sans"/>
                <w:szCs w:val="18"/>
              </w:rPr>
              <w:t>G14</w:t>
            </w:r>
          </w:p>
        </w:tc>
        <w:tc>
          <w:tcPr>
            <w:tcW w:w="4706" w:type="dxa"/>
          </w:tcPr>
          <w:p w14:paraId="1740C937" w14:textId="35C3BF3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If a woman earns more than her male partner, it is not good for the relationship^</w:t>
            </w:r>
          </w:p>
        </w:tc>
        <w:tc>
          <w:tcPr>
            <w:tcW w:w="737" w:type="dxa"/>
          </w:tcPr>
          <w:p w14:paraId="2B740CF0" w14:textId="318BBB1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1E211161" w14:textId="5896040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75A486EF" w14:textId="0E24643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1.71</w:t>
            </w:r>
          </w:p>
        </w:tc>
        <w:tc>
          <w:tcPr>
            <w:tcW w:w="1190" w:type="dxa"/>
          </w:tcPr>
          <w:p w14:paraId="43D970B7" w14:textId="25267C1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5.47</w:t>
            </w:r>
          </w:p>
        </w:tc>
        <w:tc>
          <w:tcPr>
            <w:tcW w:w="1186" w:type="dxa"/>
          </w:tcPr>
          <w:p w14:paraId="07C5F9EB" w14:textId="507412F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18.50</w:t>
            </w:r>
          </w:p>
        </w:tc>
        <w:tc>
          <w:tcPr>
            <w:tcW w:w="1110" w:type="dxa"/>
          </w:tcPr>
          <w:p w14:paraId="51117341" w14:textId="1009656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71.17</w:t>
            </w:r>
          </w:p>
        </w:tc>
        <w:tc>
          <w:tcPr>
            <w:tcW w:w="1220" w:type="dxa"/>
          </w:tcPr>
          <w:p w14:paraId="257F5803" w14:textId="5384E78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2.97</w:t>
            </w:r>
          </w:p>
        </w:tc>
        <w:tc>
          <w:tcPr>
            <w:tcW w:w="1048" w:type="dxa"/>
          </w:tcPr>
          <w:p w14:paraId="216024F0" w14:textId="2CB40E1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7.17</w:t>
            </w:r>
          </w:p>
        </w:tc>
        <w:tc>
          <w:tcPr>
            <w:tcW w:w="1130" w:type="dxa"/>
          </w:tcPr>
          <w:p w14:paraId="0075C75C" w14:textId="128CC06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89.67</w:t>
            </w:r>
          </w:p>
        </w:tc>
      </w:tr>
      <w:tr w:rsidR="00EA1B2C" w:rsidRPr="0066642E" w14:paraId="592F64E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0BA7605" w14:textId="77777777" w:rsidR="00EA1B2C" w:rsidRPr="0066642E" w:rsidRDefault="00EA1B2C" w:rsidP="005649C9">
            <w:pPr>
              <w:pStyle w:val="Tablebody"/>
              <w:rPr>
                <w:rFonts w:cs="Open Sans"/>
                <w:szCs w:val="18"/>
                <w:lang w:val="en-GB"/>
              </w:rPr>
            </w:pPr>
            <w:r w:rsidRPr="0066642E">
              <w:rPr>
                <w:rFonts w:cs="Open Sans"/>
                <w:szCs w:val="18"/>
              </w:rPr>
              <w:t>G15</w:t>
            </w:r>
          </w:p>
        </w:tc>
        <w:tc>
          <w:tcPr>
            <w:tcW w:w="4706" w:type="dxa"/>
          </w:tcPr>
          <w:p w14:paraId="4C4E7BC7"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When a couple start dating, the woman should not be the one to initiate sex^</w:t>
            </w:r>
          </w:p>
        </w:tc>
        <w:tc>
          <w:tcPr>
            <w:tcW w:w="737" w:type="dxa"/>
          </w:tcPr>
          <w:p w14:paraId="79EF5296"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6D4047C4"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7416DC39" w14:textId="49934DB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1.43</w:t>
            </w:r>
            <w:r w:rsidRPr="0066642E">
              <w:rPr>
                <w:rFonts w:cs="Open Sans"/>
                <w:szCs w:val="18"/>
                <w:vertAlign w:val="superscript"/>
              </w:rPr>
              <w:t>c</w:t>
            </w:r>
          </w:p>
        </w:tc>
        <w:tc>
          <w:tcPr>
            <w:tcW w:w="1190" w:type="dxa"/>
          </w:tcPr>
          <w:p w14:paraId="4AB8EA30" w14:textId="2466FA8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3.93</w:t>
            </w:r>
          </w:p>
        </w:tc>
        <w:tc>
          <w:tcPr>
            <w:tcW w:w="1186" w:type="dxa"/>
          </w:tcPr>
          <w:p w14:paraId="30E4CF1D" w14:textId="4752C08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24.82</w:t>
            </w:r>
          </w:p>
        </w:tc>
        <w:tc>
          <w:tcPr>
            <w:tcW w:w="1110" w:type="dxa"/>
          </w:tcPr>
          <w:p w14:paraId="3C8564F9" w14:textId="0562FB1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60.11</w:t>
            </w:r>
          </w:p>
        </w:tc>
        <w:tc>
          <w:tcPr>
            <w:tcW w:w="1220" w:type="dxa"/>
          </w:tcPr>
          <w:p w14:paraId="0AA41535" w14:textId="489F9EE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8.96</w:t>
            </w:r>
          </w:p>
        </w:tc>
        <w:tc>
          <w:tcPr>
            <w:tcW w:w="1048" w:type="dxa"/>
          </w:tcPr>
          <w:p w14:paraId="2AFCCC9E" w14:textId="3A91D52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5.36</w:t>
            </w:r>
          </w:p>
        </w:tc>
        <w:tc>
          <w:tcPr>
            <w:tcW w:w="1130" w:type="dxa"/>
          </w:tcPr>
          <w:p w14:paraId="7691F9F7" w14:textId="3B867D7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rPr>
            </w:pPr>
            <w:r w:rsidRPr="0066642E">
              <w:rPr>
                <w:rFonts w:cs="Open Sans"/>
                <w:szCs w:val="18"/>
              </w:rPr>
              <w:t>84.92</w:t>
            </w:r>
          </w:p>
        </w:tc>
      </w:tr>
      <w:tr w:rsidR="00EA1B2C" w:rsidRPr="0066642E" w14:paraId="4395D74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D612103" w14:textId="00674B28" w:rsidR="00EA1B2C" w:rsidRPr="0066642E" w:rsidRDefault="00EA1B2C" w:rsidP="005649C9">
            <w:pPr>
              <w:pStyle w:val="Tablebody"/>
              <w:rPr>
                <w:rFonts w:cs="Open Sans"/>
                <w:szCs w:val="18"/>
              </w:rPr>
            </w:pPr>
            <w:r w:rsidRPr="0066642E">
              <w:rPr>
                <w:rFonts w:cs="Open Sans"/>
                <w:szCs w:val="18"/>
              </w:rPr>
              <w:t>G15</w:t>
            </w:r>
          </w:p>
        </w:tc>
        <w:tc>
          <w:tcPr>
            <w:tcW w:w="4706" w:type="dxa"/>
          </w:tcPr>
          <w:p w14:paraId="123C6DE6" w14:textId="31318A2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When a couple start dating, the woman should not be</w:t>
            </w:r>
            <w:r>
              <w:rPr>
                <w:rFonts w:cs="Open Sans"/>
                <w:szCs w:val="18"/>
              </w:rPr>
              <w:t> </w:t>
            </w:r>
            <w:r w:rsidRPr="0066642E">
              <w:rPr>
                <w:rFonts w:cs="Open Sans"/>
                <w:szCs w:val="18"/>
              </w:rPr>
              <w:t>the one to initiate sex^</w:t>
            </w:r>
          </w:p>
        </w:tc>
        <w:tc>
          <w:tcPr>
            <w:tcW w:w="737" w:type="dxa"/>
          </w:tcPr>
          <w:p w14:paraId="3350C322" w14:textId="548DB56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3C5ABA21" w14:textId="5B76572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7FA36877" w14:textId="65FAB90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2.49</w:t>
            </w:r>
          </w:p>
        </w:tc>
        <w:tc>
          <w:tcPr>
            <w:tcW w:w="1190" w:type="dxa"/>
          </w:tcPr>
          <w:p w14:paraId="3AEB8D53" w14:textId="5E9A1CE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4.04</w:t>
            </w:r>
          </w:p>
        </w:tc>
        <w:tc>
          <w:tcPr>
            <w:tcW w:w="1186" w:type="dxa"/>
          </w:tcPr>
          <w:p w14:paraId="799978CC" w14:textId="5953F3C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25.45</w:t>
            </w:r>
          </w:p>
        </w:tc>
        <w:tc>
          <w:tcPr>
            <w:tcW w:w="1110" w:type="dxa"/>
          </w:tcPr>
          <w:p w14:paraId="0FBC2D89" w14:textId="04BC110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58.72</w:t>
            </w:r>
          </w:p>
        </w:tc>
        <w:tc>
          <w:tcPr>
            <w:tcW w:w="1220" w:type="dxa"/>
          </w:tcPr>
          <w:p w14:paraId="412BAB53" w14:textId="3DE61D6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8.35</w:t>
            </w:r>
          </w:p>
        </w:tc>
        <w:tc>
          <w:tcPr>
            <w:tcW w:w="1048" w:type="dxa"/>
          </w:tcPr>
          <w:p w14:paraId="43585EBA" w14:textId="400396F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6.53</w:t>
            </w:r>
          </w:p>
        </w:tc>
        <w:tc>
          <w:tcPr>
            <w:tcW w:w="1130" w:type="dxa"/>
          </w:tcPr>
          <w:p w14:paraId="3036DBAA" w14:textId="64C28C2B"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84.18</w:t>
            </w:r>
          </w:p>
        </w:tc>
      </w:tr>
    </w:tbl>
    <w:p w14:paraId="3B08EC50" w14:textId="3DFFD250" w:rsidR="00474B3F" w:rsidRDefault="00901E89" w:rsidP="005649C9">
      <w:pPr>
        <w:pStyle w:val="Tablesubheading0"/>
      </w:pPr>
      <w:r>
        <w:t>Subscale:</w:t>
      </w:r>
      <w:r w:rsidRPr="00901E89">
        <w:t xml:space="preserve"> </w:t>
      </w:r>
      <w:r w:rsidRPr="0066642E">
        <w:t>Undermine Leadership</w:t>
      </w:r>
    </w:p>
    <w:tbl>
      <w:tblPr>
        <w:tblStyle w:val="Table-SingleHeaderRow"/>
        <w:tblW w:w="14973" w:type="dxa"/>
        <w:tblLayout w:type="fixed"/>
        <w:tblLook w:val="00A0" w:firstRow="1" w:lastRow="0" w:firstColumn="1" w:lastColumn="0" w:noHBand="0" w:noVBand="0"/>
      </w:tblPr>
      <w:tblGrid>
        <w:gridCol w:w="737"/>
        <w:gridCol w:w="4706"/>
        <w:gridCol w:w="737"/>
        <w:gridCol w:w="885"/>
        <w:gridCol w:w="1024"/>
        <w:gridCol w:w="1190"/>
        <w:gridCol w:w="1186"/>
        <w:gridCol w:w="1110"/>
        <w:gridCol w:w="1220"/>
        <w:gridCol w:w="1048"/>
        <w:gridCol w:w="1130"/>
      </w:tblGrid>
      <w:tr w:rsidR="002520E8" w:rsidRPr="0066642E" w14:paraId="3C2BCC08" w14:textId="77777777" w:rsidTr="005649C9">
        <w:trPr>
          <w:cnfStyle w:val="100000000000" w:firstRow="1" w:lastRow="0" w:firstColumn="0" w:lastColumn="0" w:oddVBand="0" w:evenVBand="0" w:oddHBand="0" w:evenHBand="0" w:firstRowFirstColumn="0" w:firstRowLastColumn="0" w:lastRowFirstColumn="0" w:lastRowLastColumn="0"/>
          <w:trHeight w:val="880"/>
          <w:tblHeader/>
        </w:trPr>
        <w:tc>
          <w:tcPr>
            <w:cnfStyle w:val="001000000000" w:firstRow="0" w:lastRow="0" w:firstColumn="1" w:lastColumn="0" w:oddVBand="0" w:evenVBand="0" w:oddHBand="0" w:evenHBand="0" w:firstRowFirstColumn="0" w:firstRowLastColumn="0" w:lastRowFirstColumn="0" w:lastRowLastColumn="0"/>
            <w:tcW w:w="737" w:type="dxa"/>
          </w:tcPr>
          <w:p w14:paraId="06A5B012" w14:textId="553596D7" w:rsidR="002520E8" w:rsidRPr="0066642E" w:rsidRDefault="002520E8" w:rsidP="005649C9">
            <w:pPr>
              <w:pStyle w:val="Tablebody"/>
              <w:rPr>
                <w:rFonts w:cs="Open Sans"/>
                <w:szCs w:val="18"/>
                <w:lang w:val="en-GB"/>
              </w:rPr>
            </w:pPr>
            <w:r w:rsidRPr="0066642E">
              <w:t>Code</w:t>
            </w:r>
          </w:p>
        </w:tc>
        <w:tc>
          <w:tcPr>
            <w:tcW w:w="4706" w:type="dxa"/>
          </w:tcPr>
          <w:p w14:paraId="1D6045FC" w14:textId="03E89EC9"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t>Abbreviated item wording</w:t>
            </w:r>
          </w:p>
        </w:tc>
        <w:tc>
          <w:tcPr>
            <w:tcW w:w="737" w:type="dxa"/>
          </w:tcPr>
          <w:p w14:paraId="116984CE" w14:textId="0E202EFC"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t>Age</w:t>
            </w:r>
          </w:p>
        </w:tc>
        <w:tc>
          <w:tcPr>
            <w:tcW w:w="885" w:type="dxa"/>
          </w:tcPr>
          <w:p w14:paraId="1818856A" w14:textId="03B7223D"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rPr>
                <w:rFonts w:ascii="Open Sans SemiBold" w:hAnsi="Open Sans SemiBold" w:cs="Open Sans SemiBold"/>
                <w:i/>
                <w:iCs/>
                <w:lang w:val="en-GB"/>
              </w:rPr>
              <w:t>N</w:t>
            </w:r>
          </w:p>
        </w:tc>
        <w:tc>
          <w:tcPr>
            <w:tcW w:w="1024" w:type="dxa"/>
          </w:tcPr>
          <w:p w14:paraId="76A21AFF" w14:textId="2AFA7DAC" w:rsidR="002520E8" w:rsidRPr="002520E8"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t>% Strongly agree</w:t>
            </w:r>
          </w:p>
        </w:tc>
        <w:tc>
          <w:tcPr>
            <w:tcW w:w="1190" w:type="dxa"/>
          </w:tcPr>
          <w:p w14:paraId="3345AFA4" w14:textId="66B3F398"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t>%</w:t>
            </w:r>
          </w:p>
          <w:p w14:paraId="4CDCED87" w14:textId="1D6B0840"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t>Somewhat agree</w:t>
            </w:r>
          </w:p>
        </w:tc>
        <w:tc>
          <w:tcPr>
            <w:tcW w:w="1186" w:type="dxa"/>
          </w:tcPr>
          <w:p w14:paraId="2782DE4D" w14:textId="152C6575"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t xml:space="preserve">% </w:t>
            </w:r>
            <w:r w:rsidRPr="0066642E">
              <w:t>Somewhat disagree</w:t>
            </w:r>
          </w:p>
        </w:tc>
        <w:tc>
          <w:tcPr>
            <w:tcW w:w="1110" w:type="dxa"/>
          </w:tcPr>
          <w:p w14:paraId="53471170" w14:textId="5A1AE91D"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t>% Strongly disagree</w:t>
            </w:r>
          </w:p>
        </w:tc>
        <w:tc>
          <w:tcPr>
            <w:tcW w:w="1220" w:type="dxa"/>
          </w:tcPr>
          <w:p w14:paraId="656C92A7" w14:textId="2094EC55" w:rsidR="002520E8" w:rsidRPr="002520E8"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cs="Open Sans"/>
                <w:szCs w:val="18"/>
                <w:lang w:val="en-GB"/>
              </w:rPr>
            </w:pPr>
            <w:r w:rsidRPr="0066642E">
              <w:t>% Undecided</w:t>
            </w:r>
          </w:p>
        </w:tc>
        <w:tc>
          <w:tcPr>
            <w:tcW w:w="1048" w:type="dxa"/>
          </w:tcPr>
          <w:p w14:paraId="4FF765B7" w14:textId="1974FFF0"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t>% Net agree</w:t>
            </w:r>
            <w:r w:rsidRPr="0066642E">
              <w:rPr>
                <w:vertAlign w:val="superscript"/>
              </w:rPr>
              <w:t>a</w:t>
            </w:r>
          </w:p>
        </w:tc>
        <w:tc>
          <w:tcPr>
            <w:tcW w:w="1130" w:type="dxa"/>
          </w:tcPr>
          <w:p w14:paraId="3F019E89" w14:textId="219A6AF3" w:rsidR="002520E8" w:rsidRPr="0066642E" w:rsidRDefault="002520E8" w:rsidP="005649C9">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t>% Net disagree</w:t>
            </w:r>
            <w:r w:rsidRPr="0066642E">
              <w:rPr>
                <w:vertAlign w:val="superscript"/>
              </w:rPr>
              <w:t>b</w:t>
            </w:r>
          </w:p>
        </w:tc>
      </w:tr>
      <w:tr w:rsidR="00291211" w:rsidRPr="0066642E" w14:paraId="6633489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446BE0C" w14:textId="557232BE" w:rsidR="00291211" w:rsidRPr="0066642E" w:rsidRDefault="00291211" w:rsidP="005649C9">
            <w:pPr>
              <w:pStyle w:val="Tablebody"/>
              <w:rPr>
                <w:rFonts w:cs="Open Sans"/>
                <w:szCs w:val="18"/>
              </w:rPr>
            </w:pPr>
            <w:r w:rsidRPr="0066642E">
              <w:rPr>
                <w:rFonts w:cs="Open Sans"/>
                <w:szCs w:val="18"/>
              </w:rPr>
              <w:t>G4</w:t>
            </w:r>
          </w:p>
        </w:tc>
        <w:tc>
          <w:tcPr>
            <w:tcW w:w="4706" w:type="dxa"/>
          </w:tcPr>
          <w:p w14:paraId="28F586BC" w14:textId="4512C6B1" w:rsidR="00291211" w:rsidRPr="002520E8"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520E8">
              <w:rPr>
                <w:rFonts w:cs="Open Sans"/>
                <w:spacing w:val="-6"/>
                <w:szCs w:val="18"/>
                <w:lang w:val="en-US"/>
              </w:rPr>
              <w:t>On the whole, men make better political leaders than</w:t>
            </w:r>
            <w:r>
              <w:rPr>
                <w:rFonts w:cs="Open Sans"/>
                <w:spacing w:val="-6"/>
                <w:szCs w:val="18"/>
                <w:lang w:val="en-US"/>
              </w:rPr>
              <w:t> </w:t>
            </w:r>
            <w:r w:rsidRPr="002520E8">
              <w:rPr>
                <w:rFonts w:cs="Open Sans"/>
                <w:spacing w:val="-6"/>
                <w:szCs w:val="18"/>
                <w:lang w:val="en-US"/>
              </w:rPr>
              <w:t>women</w:t>
            </w:r>
          </w:p>
        </w:tc>
        <w:tc>
          <w:tcPr>
            <w:tcW w:w="737" w:type="dxa"/>
          </w:tcPr>
          <w:p w14:paraId="6E3EB2DC" w14:textId="529631ED"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16–24</w:t>
            </w:r>
          </w:p>
        </w:tc>
        <w:tc>
          <w:tcPr>
            <w:tcW w:w="885" w:type="dxa"/>
          </w:tcPr>
          <w:p w14:paraId="76609695" w14:textId="67062DDB"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1,669</w:t>
            </w:r>
          </w:p>
        </w:tc>
        <w:tc>
          <w:tcPr>
            <w:tcW w:w="1024" w:type="dxa"/>
          </w:tcPr>
          <w:p w14:paraId="5EECA4C8" w14:textId="142B813D"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2.18</w:t>
            </w:r>
          </w:p>
        </w:tc>
        <w:tc>
          <w:tcPr>
            <w:tcW w:w="1190" w:type="dxa"/>
          </w:tcPr>
          <w:p w14:paraId="6F4795F6" w14:textId="30C9A1CD"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6.90</w:t>
            </w:r>
          </w:p>
        </w:tc>
        <w:tc>
          <w:tcPr>
            <w:tcW w:w="1186" w:type="dxa"/>
          </w:tcPr>
          <w:p w14:paraId="4174B023" w14:textId="3D5C05A5"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18.87</w:t>
            </w:r>
          </w:p>
        </w:tc>
        <w:tc>
          <w:tcPr>
            <w:tcW w:w="1110" w:type="dxa"/>
          </w:tcPr>
          <w:p w14:paraId="7BAA978E" w14:textId="19E53B03"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65.67</w:t>
            </w:r>
          </w:p>
        </w:tc>
        <w:tc>
          <w:tcPr>
            <w:tcW w:w="1220" w:type="dxa"/>
          </w:tcPr>
          <w:p w14:paraId="402FD595" w14:textId="3348000F"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6.09</w:t>
            </w:r>
          </w:p>
        </w:tc>
        <w:tc>
          <w:tcPr>
            <w:tcW w:w="1048" w:type="dxa"/>
          </w:tcPr>
          <w:p w14:paraId="4F03C273" w14:textId="4811E906"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9.08</w:t>
            </w:r>
          </w:p>
        </w:tc>
        <w:tc>
          <w:tcPr>
            <w:tcW w:w="1130" w:type="dxa"/>
          </w:tcPr>
          <w:p w14:paraId="797A5C49" w14:textId="079F31CF" w:rsidR="00291211" w:rsidRPr="0066642E" w:rsidRDefault="00291211"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84.53</w:t>
            </w:r>
          </w:p>
        </w:tc>
      </w:tr>
      <w:tr w:rsidR="00EA1B2C" w:rsidRPr="0066642E" w14:paraId="4CA91BB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D9B7486" w14:textId="5D687FF7" w:rsidR="00EA1B2C" w:rsidRPr="0066642E" w:rsidRDefault="00EA1B2C" w:rsidP="005649C9">
            <w:pPr>
              <w:pStyle w:val="Tablebody"/>
              <w:rPr>
                <w:rFonts w:cs="Open Sans"/>
                <w:szCs w:val="18"/>
              </w:rPr>
            </w:pPr>
            <w:r w:rsidRPr="0066642E">
              <w:rPr>
                <w:rFonts w:cs="Open Sans"/>
                <w:szCs w:val="18"/>
              </w:rPr>
              <w:t>G4</w:t>
            </w:r>
          </w:p>
        </w:tc>
        <w:tc>
          <w:tcPr>
            <w:tcW w:w="4706" w:type="dxa"/>
          </w:tcPr>
          <w:p w14:paraId="3FD1FF30" w14:textId="3627B176"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520E8">
              <w:rPr>
                <w:rFonts w:cs="Open Sans"/>
                <w:spacing w:val="-6"/>
                <w:szCs w:val="18"/>
                <w:lang w:val="en-US"/>
              </w:rPr>
              <w:t>On the whole, men make better political leaders than</w:t>
            </w:r>
            <w:r>
              <w:rPr>
                <w:rFonts w:cs="Open Sans"/>
                <w:spacing w:val="-6"/>
                <w:szCs w:val="18"/>
                <w:lang w:val="en-US"/>
              </w:rPr>
              <w:t> </w:t>
            </w:r>
            <w:r w:rsidRPr="002520E8">
              <w:rPr>
                <w:rFonts w:cs="Open Sans"/>
                <w:spacing w:val="-6"/>
                <w:szCs w:val="18"/>
                <w:lang w:val="en-US"/>
              </w:rPr>
              <w:t>women</w:t>
            </w:r>
          </w:p>
        </w:tc>
        <w:tc>
          <w:tcPr>
            <w:tcW w:w="737" w:type="dxa"/>
          </w:tcPr>
          <w:p w14:paraId="7637AB5A" w14:textId="2BCFBC0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50B59082" w14:textId="5B6C5EC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6075ABF5" w14:textId="677D187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3.04</w:t>
            </w:r>
          </w:p>
        </w:tc>
        <w:tc>
          <w:tcPr>
            <w:tcW w:w="1190" w:type="dxa"/>
          </w:tcPr>
          <w:p w14:paraId="1D52C2F4" w14:textId="45215A9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5.97</w:t>
            </w:r>
          </w:p>
        </w:tc>
        <w:tc>
          <w:tcPr>
            <w:tcW w:w="1186" w:type="dxa"/>
          </w:tcPr>
          <w:p w14:paraId="0B0DC22B" w14:textId="2B9D0AE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17.72</w:t>
            </w:r>
          </w:p>
        </w:tc>
        <w:tc>
          <w:tcPr>
            <w:tcW w:w="1110" w:type="dxa"/>
          </w:tcPr>
          <w:p w14:paraId="29DE8F97" w14:textId="42B814A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67.94</w:t>
            </w:r>
          </w:p>
        </w:tc>
        <w:tc>
          <w:tcPr>
            <w:tcW w:w="1220" w:type="dxa"/>
          </w:tcPr>
          <w:p w14:paraId="5A374E86" w14:textId="2AFD81F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4.87</w:t>
            </w:r>
          </w:p>
        </w:tc>
        <w:tc>
          <w:tcPr>
            <w:tcW w:w="1048" w:type="dxa"/>
          </w:tcPr>
          <w:p w14:paraId="16CC4D23" w14:textId="5A6EDFA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9.01</w:t>
            </w:r>
          </w:p>
        </w:tc>
        <w:tc>
          <w:tcPr>
            <w:tcW w:w="1130" w:type="dxa"/>
          </w:tcPr>
          <w:p w14:paraId="36B8051E" w14:textId="6A85FE9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85.66</w:t>
            </w:r>
          </w:p>
        </w:tc>
      </w:tr>
      <w:tr w:rsidR="00EA1B2C" w:rsidRPr="0066642E" w14:paraId="3EBCEEB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ADBA0EB" w14:textId="77777777" w:rsidR="00EA1B2C" w:rsidRPr="0066642E" w:rsidRDefault="00EA1B2C" w:rsidP="005649C9">
            <w:pPr>
              <w:pStyle w:val="Tablebody"/>
              <w:rPr>
                <w:rFonts w:cs="Open Sans"/>
                <w:szCs w:val="18"/>
                <w:lang w:val="en-GB"/>
              </w:rPr>
            </w:pPr>
            <w:r w:rsidRPr="0066642E">
              <w:rPr>
                <w:rFonts w:cs="Open Sans"/>
                <w:szCs w:val="18"/>
              </w:rPr>
              <w:t>G5</w:t>
            </w:r>
          </w:p>
        </w:tc>
        <w:tc>
          <w:tcPr>
            <w:tcW w:w="4706" w:type="dxa"/>
          </w:tcPr>
          <w:p w14:paraId="66B945BD" w14:textId="77777777"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520E8">
              <w:rPr>
                <w:rFonts w:cs="Open Sans"/>
                <w:spacing w:val="-6"/>
                <w:szCs w:val="18"/>
                <w:lang w:val="en-US"/>
              </w:rPr>
              <w:t>In the workplace, men generally make more capable bosses than women^</w:t>
            </w:r>
          </w:p>
        </w:tc>
        <w:tc>
          <w:tcPr>
            <w:tcW w:w="737" w:type="dxa"/>
          </w:tcPr>
          <w:p w14:paraId="6CB552DA"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03386451"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6A3B98C2" w14:textId="0146800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2.34</w:t>
            </w:r>
            <w:r w:rsidRPr="0066642E">
              <w:rPr>
                <w:rFonts w:cs="Open Sans"/>
                <w:szCs w:val="18"/>
                <w:vertAlign w:val="superscript"/>
              </w:rPr>
              <w:t>c</w:t>
            </w:r>
          </w:p>
        </w:tc>
        <w:tc>
          <w:tcPr>
            <w:tcW w:w="1190" w:type="dxa"/>
          </w:tcPr>
          <w:p w14:paraId="07E72958" w14:textId="79096D5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6.66</w:t>
            </w:r>
          </w:p>
        </w:tc>
        <w:tc>
          <w:tcPr>
            <w:tcW w:w="1186" w:type="dxa"/>
          </w:tcPr>
          <w:p w14:paraId="4026AD25" w14:textId="72D5171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20.87</w:t>
            </w:r>
          </w:p>
        </w:tc>
        <w:tc>
          <w:tcPr>
            <w:tcW w:w="1110" w:type="dxa"/>
          </w:tcPr>
          <w:p w14:paraId="2D05E8DF" w14:textId="5D3E158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65.47</w:t>
            </w:r>
          </w:p>
        </w:tc>
        <w:tc>
          <w:tcPr>
            <w:tcW w:w="1220" w:type="dxa"/>
          </w:tcPr>
          <w:p w14:paraId="22B82A24" w14:textId="5BE37AE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4.37</w:t>
            </w:r>
          </w:p>
        </w:tc>
        <w:tc>
          <w:tcPr>
            <w:tcW w:w="1048" w:type="dxa"/>
          </w:tcPr>
          <w:p w14:paraId="3523EE9B" w14:textId="5FEB2B9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9.00</w:t>
            </w:r>
          </w:p>
        </w:tc>
        <w:tc>
          <w:tcPr>
            <w:tcW w:w="1130" w:type="dxa"/>
          </w:tcPr>
          <w:p w14:paraId="21CFDF79" w14:textId="32AA9B4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86.34</w:t>
            </w:r>
          </w:p>
        </w:tc>
      </w:tr>
      <w:tr w:rsidR="00EA1B2C" w:rsidRPr="0066642E" w14:paraId="66519E6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0EFA1E5" w14:textId="25D3398D" w:rsidR="00EA1B2C" w:rsidRPr="0066642E" w:rsidRDefault="00EA1B2C" w:rsidP="005649C9">
            <w:pPr>
              <w:pStyle w:val="Tablebody"/>
              <w:rPr>
                <w:rFonts w:cs="Open Sans"/>
                <w:szCs w:val="18"/>
              </w:rPr>
            </w:pPr>
            <w:r w:rsidRPr="0066642E">
              <w:rPr>
                <w:rFonts w:cs="Open Sans"/>
                <w:szCs w:val="18"/>
              </w:rPr>
              <w:t>G5</w:t>
            </w:r>
          </w:p>
        </w:tc>
        <w:tc>
          <w:tcPr>
            <w:tcW w:w="4706" w:type="dxa"/>
          </w:tcPr>
          <w:p w14:paraId="042271B6" w14:textId="07D7A940"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520E8">
              <w:rPr>
                <w:rFonts w:cs="Open Sans"/>
                <w:spacing w:val="-6"/>
                <w:szCs w:val="18"/>
                <w:lang w:val="en-US"/>
              </w:rPr>
              <w:t>In the workplace, men generally make more capable bosses than women^</w:t>
            </w:r>
          </w:p>
        </w:tc>
        <w:tc>
          <w:tcPr>
            <w:tcW w:w="737" w:type="dxa"/>
          </w:tcPr>
          <w:p w14:paraId="38710A57" w14:textId="7784AE3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63A68BEB" w14:textId="381CC6D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0752AEEF" w14:textId="4304924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3.28</w:t>
            </w:r>
          </w:p>
        </w:tc>
        <w:tc>
          <w:tcPr>
            <w:tcW w:w="1190" w:type="dxa"/>
          </w:tcPr>
          <w:p w14:paraId="0A0DC445" w14:textId="216B75E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7.28</w:t>
            </w:r>
          </w:p>
        </w:tc>
        <w:tc>
          <w:tcPr>
            <w:tcW w:w="1186" w:type="dxa"/>
          </w:tcPr>
          <w:p w14:paraId="4D2F3C72" w14:textId="32979BF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19.20</w:t>
            </w:r>
          </w:p>
        </w:tc>
        <w:tc>
          <w:tcPr>
            <w:tcW w:w="1110" w:type="dxa"/>
          </w:tcPr>
          <w:p w14:paraId="282EAFCA" w14:textId="7D46A27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65.43</w:t>
            </w:r>
          </w:p>
        </w:tc>
        <w:tc>
          <w:tcPr>
            <w:tcW w:w="1220" w:type="dxa"/>
          </w:tcPr>
          <w:p w14:paraId="221AB213" w14:textId="19D3FD1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4.39</w:t>
            </w:r>
          </w:p>
        </w:tc>
        <w:tc>
          <w:tcPr>
            <w:tcW w:w="1048" w:type="dxa"/>
          </w:tcPr>
          <w:p w14:paraId="752E46A2" w14:textId="74A0011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10.56</w:t>
            </w:r>
          </w:p>
        </w:tc>
        <w:tc>
          <w:tcPr>
            <w:tcW w:w="1130" w:type="dxa"/>
          </w:tcPr>
          <w:p w14:paraId="0B58BCDA" w14:textId="3956A4A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84.63</w:t>
            </w:r>
          </w:p>
        </w:tc>
      </w:tr>
      <w:tr w:rsidR="00EA1B2C" w:rsidRPr="0066642E" w14:paraId="51E96E2C" w14:textId="77777777" w:rsidTr="005649C9">
        <w:trPr>
          <w:trHeight w:val="501"/>
        </w:trPr>
        <w:tc>
          <w:tcPr>
            <w:cnfStyle w:val="001000000000" w:firstRow="0" w:lastRow="0" w:firstColumn="1" w:lastColumn="0" w:oddVBand="0" w:evenVBand="0" w:oddHBand="0" w:evenHBand="0" w:firstRowFirstColumn="0" w:firstRowLastColumn="0" w:lastRowFirstColumn="0" w:lastRowLastColumn="0"/>
            <w:tcW w:w="737" w:type="dxa"/>
          </w:tcPr>
          <w:p w14:paraId="2EC96F60" w14:textId="77777777" w:rsidR="00EA1B2C" w:rsidRPr="0066642E" w:rsidRDefault="00EA1B2C" w:rsidP="005649C9">
            <w:pPr>
              <w:pStyle w:val="Tablebody"/>
              <w:rPr>
                <w:rFonts w:cs="Open Sans"/>
                <w:szCs w:val="18"/>
                <w:lang w:val="en-GB"/>
              </w:rPr>
            </w:pPr>
            <w:r w:rsidRPr="0066642E">
              <w:rPr>
                <w:rFonts w:cs="Open Sans"/>
                <w:szCs w:val="18"/>
              </w:rPr>
              <w:t>G6</w:t>
            </w:r>
          </w:p>
        </w:tc>
        <w:tc>
          <w:tcPr>
            <w:tcW w:w="4706" w:type="dxa"/>
          </w:tcPr>
          <w:p w14:paraId="00C28F58" w14:textId="57339B8E"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520E8">
              <w:rPr>
                <w:rFonts w:cs="Open Sans"/>
                <w:spacing w:val="-6"/>
                <w:szCs w:val="18"/>
                <w:lang w:val="en-US"/>
              </w:rPr>
              <w:t>Men, rather than women, should hold positions of</w:t>
            </w:r>
            <w:r>
              <w:rPr>
                <w:rFonts w:cs="Open Sans"/>
                <w:spacing w:val="-6"/>
                <w:szCs w:val="18"/>
                <w:lang w:val="en-US"/>
              </w:rPr>
              <w:t> </w:t>
            </w:r>
            <w:r w:rsidRPr="002520E8">
              <w:rPr>
                <w:rFonts w:cs="Open Sans"/>
                <w:spacing w:val="-6"/>
                <w:szCs w:val="18"/>
                <w:lang w:val="en-US"/>
              </w:rPr>
              <w:t>responsibility in the community^</w:t>
            </w:r>
          </w:p>
        </w:tc>
        <w:tc>
          <w:tcPr>
            <w:tcW w:w="737" w:type="dxa"/>
          </w:tcPr>
          <w:p w14:paraId="4301D1CD"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37DA6D1B"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840</w:t>
            </w:r>
          </w:p>
        </w:tc>
        <w:tc>
          <w:tcPr>
            <w:tcW w:w="1024" w:type="dxa"/>
          </w:tcPr>
          <w:p w14:paraId="61F1DB77" w14:textId="4ED33E8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4.57</w:t>
            </w:r>
          </w:p>
        </w:tc>
        <w:tc>
          <w:tcPr>
            <w:tcW w:w="1190" w:type="dxa"/>
          </w:tcPr>
          <w:p w14:paraId="62DEEF5E" w14:textId="41EA395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6.54</w:t>
            </w:r>
          </w:p>
        </w:tc>
        <w:tc>
          <w:tcPr>
            <w:tcW w:w="1186" w:type="dxa"/>
          </w:tcPr>
          <w:p w14:paraId="7C960E35" w14:textId="5E62C92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18.61</w:t>
            </w:r>
          </w:p>
        </w:tc>
        <w:tc>
          <w:tcPr>
            <w:tcW w:w="1110" w:type="dxa"/>
          </w:tcPr>
          <w:p w14:paraId="18E08E40" w14:textId="4704958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66.42</w:t>
            </w:r>
          </w:p>
        </w:tc>
        <w:tc>
          <w:tcPr>
            <w:tcW w:w="1220" w:type="dxa"/>
          </w:tcPr>
          <w:p w14:paraId="08C6FEAE" w14:textId="0DE0A7C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3.50</w:t>
            </w:r>
          </w:p>
        </w:tc>
        <w:tc>
          <w:tcPr>
            <w:tcW w:w="1048" w:type="dxa"/>
          </w:tcPr>
          <w:p w14:paraId="09534E64" w14:textId="7F4A1BC3"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11.11</w:t>
            </w:r>
          </w:p>
        </w:tc>
        <w:tc>
          <w:tcPr>
            <w:tcW w:w="1130" w:type="dxa"/>
          </w:tcPr>
          <w:p w14:paraId="131619D3" w14:textId="74C2221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85.03</w:t>
            </w:r>
          </w:p>
        </w:tc>
      </w:tr>
      <w:tr w:rsidR="00EA1B2C" w:rsidRPr="0066642E" w14:paraId="4D0DEF33" w14:textId="77777777" w:rsidTr="005649C9">
        <w:trPr>
          <w:trHeight w:val="501"/>
        </w:trPr>
        <w:tc>
          <w:tcPr>
            <w:cnfStyle w:val="001000000000" w:firstRow="0" w:lastRow="0" w:firstColumn="1" w:lastColumn="0" w:oddVBand="0" w:evenVBand="0" w:oddHBand="0" w:evenHBand="0" w:firstRowFirstColumn="0" w:firstRowLastColumn="0" w:lastRowFirstColumn="0" w:lastRowLastColumn="0"/>
            <w:tcW w:w="737" w:type="dxa"/>
          </w:tcPr>
          <w:p w14:paraId="467C98B2" w14:textId="29C1C813" w:rsidR="00EA1B2C" w:rsidRPr="0066642E" w:rsidRDefault="00EA1B2C" w:rsidP="005649C9">
            <w:pPr>
              <w:pStyle w:val="Tablebody"/>
              <w:rPr>
                <w:rFonts w:cs="Open Sans"/>
                <w:szCs w:val="18"/>
              </w:rPr>
            </w:pPr>
            <w:r w:rsidRPr="0066642E">
              <w:rPr>
                <w:rFonts w:cs="Open Sans"/>
                <w:szCs w:val="18"/>
              </w:rPr>
              <w:t>G6</w:t>
            </w:r>
          </w:p>
        </w:tc>
        <w:tc>
          <w:tcPr>
            <w:tcW w:w="4706" w:type="dxa"/>
          </w:tcPr>
          <w:p w14:paraId="34FAB7D6" w14:textId="065BD913"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520E8">
              <w:rPr>
                <w:rFonts w:cs="Open Sans"/>
                <w:spacing w:val="-6"/>
                <w:szCs w:val="18"/>
                <w:lang w:val="en-US"/>
              </w:rPr>
              <w:t>Men, rather than women, should hold positions of</w:t>
            </w:r>
            <w:r>
              <w:rPr>
                <w:rFonts w:cs="Open Sans"/>
                <w:spacing w:val="-6"/>
                <w:szCs w:val="18"/>
                <w:lang w:val="en-US"/>
              </w:rPr>
              <w:t> </w:t>
            </w:r>
            <w:r w:rsidRPr="002520E8">
              <w:rPr>
                <w:rFonts w:cs="Open Sans"/>
                <w:spacing w:val="-6"/>
                <w:szCs w:val="18"/>
                <w:lang w:val="en-US"/>
              </w:rPr>
              <w:t>responsibility in the community^</w:t>
            </w:r>
          </w:p>
        </w:tc>
        <w:tc>
          <w:tcPr>
            <w:tcW w:w="737" w:type="dxa"/>
          </w:tcPr>
          <w:p w14:paraId="116B580C" w14:textId="0CA3618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5E1D8CE3" w14:textId="72E157A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8,726</w:t>
            </w:r>
          </w:p>
        </w:tc>
        <w:tc>
          <w:tcPr>
            <w:tcW w:w="1024" w:type="dxa"/>
          </w:tcPr>
          <w:p w14:paraId="2EB2DA13" w14:textId="49EC72D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3.45</w:t>
            </w:r>
          </w:p>
        </w:tc>
        <w:tc>
          <w:tcPr>
            <w:tcW w:w="1190" w:type="dxa"/>
          </w:tcPr>
          <w:p w14:paraId="1E64DD2D" w14:textId="0EFD8AF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4.02</w:t>
            </w:r>
          </w:p>
        </w:tc>
        <w:tc>
          <w:tcPr>
            <w:tcW w:w="1186" w:type="dxa"/>
          </w:tcPr>
          <w:p w14:paraId="1E85CBC2" w14:textId="2FC96480"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16.38</w:t>
            </w:r>
          </w:p>
        </w:tc>
        <w:tc>
          <w:tcPr>
            <w:tcW w:w="1110" w:type="dxa"/>
          </w:tcPr>
          <w:p w14:paraId="0DE6A51A" w14:textId="5C214782"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72.66</w:t>
            </w:r>
          </w:p>
        </w:tc>
        <w:tc>
          <w:tcPr>
            <w:tcW w:w="1220" w:type="dxa"/>
          </w:tcPr>
          <w:p w14:paraId="64587ED4" w14:textId="03C12B3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3.24</w:t>
            </w:r>
          </w:p>
        </w:tc>
        <w:tc>
          <w:tcPr>
            <w:tcW w:w="1048" w:type="dxa"/>
          </w:tcPr>
          <w:p w14:paraId="3206878C" w14:textId="24A44A9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7.47</w:t>
            </w:r>
          </w:p>
        </w:tc>
        <w:tc>
          <w:tcPr>
            <w:tcW w:w="1130" w:type="dxa"/>
          </w:tcPr>
          <w:p w14:paraId="3F8ADB5A" w14:textId="4DCDE8E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89.04</w:t>
            </w:r>
          </w:p>
        </w:tc>
      </w:tr>
      <w:tr w:rsidR="00EA1B2C" w:rsidRPr="0066642E" w14:paraId="2E6AF60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A79D04B" w14:textId="77777777" w:rsidR="00EA1B2C" w:rsidRPr="0066642E" w:rsidRDefault="00EA1B2C" w:rsidP="005649C9">
            <w:pPr>
              <w:pStyle w:val="Tablebody"/>
              <w:rPr>
                <w:rFonts w:cs="Open Sans"/>
                <w:szCs w:val="18"/>
                <w:lang w:val="en-GB"/>
              </w:rPr>
            </w:pPr>
            <w:r w:rsidRPr="0066642E">
              <w:rPr>
                <w:rFonts w:cs="Open Sans"/>
                <w:szCs w:val="18"/>
              </w:rPr>
              <w:t>G11</w:t>
            </w:r>
          </w:p>
        </w:tc>
        <w:tc>
          <w:tcPr>
            <w:tcW w:w="4706" w:type="dxa"/>
          </w:tcPr>
          <w:p w14:paraId="5E38CDAD" w14:textId="0A6C892E"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520E8">
              <w:rPr>
                <w:rFonts w:cs="Open Sans"/>
                <w:spacing w:val="-6"/>
                <w:szCs w:val="18"/>
                <w:lang w:val="en-US"/>
              </w:rPr>
              <w:t>Women are less capable than men of thinking logically</w:t>
            </w:r>
          </w:p>
        </w:tc>
        <w:tc>
          <w:tcPr>
            <w:tcW w:w="737" w:type="dxa"/>
          </w:tcPr>
          <w:p w14:paraId="44373D10"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16–24</w:t>
            </w:r>
          </w:p>
        </w:tc>
        <w:tc>
          <w:tcPr>
            <w:tcW w:w="885" w:type="dxa"/>
          </w:tcPr>
          <w:p w14:paraId="162E7923" w14:textId="7777777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6642E">
              <w:rPr>
                <w:rFonts w:cs="Open Sans"/>
                <w:szCs w:val="18"/>
              </w:rPr>
              <w:t>1,669</w:t>
            </w:r>
          </w:p>
        </w:tc>
        <w:tc>
          <w:tcPr>
            <w:tcW w:w="1024" w:type="dxa"/>
          </w:tcPr>
          <w:p w14:paraId="1FA402F1" w14:textId="530AFC3E"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1.52</w:t>
            </w:r>
          </w:p>
        </w:tc>
        <w:tc>
          <w:tcPr>
            <w:tcW w:w="1190" w:type="dxa"/>
          </w:tcPr>
          <w:p w14:paraId="2AEC0538" w14:textId="7FD5FF9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4.35</w:t>
            </w:r>
          </w:p>
        </w:tc>
        <w:tc>
          <w:tcPr>
            <w:tcW w:w="1186" w:type="dxa"/>
          </w:tcPr>
          <w:p w14:paraId="43FDF268" w14:textId="6D674FC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8.00</w:t>
            </w:r>
          </w:p>
        </w:tc>
        <w:tc>
          <w:tcPr>
            <w:tcW w:w="1110" w:type="dxa"/>
          </w:tcPr>
          <w:p w14:paraId="17B8492E" w14:textId="1AC2346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84.24</w:t>
            </w:r>
          </w:p>
        </w:tc>
        <w:tc>
          <w:tcPr>
            <w:tcW w:w="1220" w:type="dxa"/>
          </w:tcPr>
          <w:p w14:paraId="7FB18AF4" w14:textId="4257BABF"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1.67</w:t>
            </w:r>
          </w:p>
        </w:tc>
        <w:tc>
          <w:tcPr>
            <w:tcW w:w="1048" w:type="dxa"/>
          </w:tcPr>
          <w:p w14:paraId="23DAB680" w14:textId="1715D329"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5.87</w:t>
            </w:r>
          </w:p>
        </w:tc>
        <w:tc>
          <w:tcPr>
            <w:tcW w:w="1130" w:type="dxa"/>
          </w:tcPr>
          <w:p w14:paraId="1CF2EC96" w14:textId="4A6E992C"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66642E">
              <w:rPr>
                <w:rFonts w:cs="Open Sans"/>
                <w:szCs w:val="18"/>
              </w:rPr>
              <w:t>92.24</w:t>
            </w:r>
          </w:p>
        </w:tc>
      </w:tr>
      <w:tr w:rsidR="00EA1B2C" w:rsidRPr="0066642E" w14:paraId="5C8A87A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9B3F65F" w14:textId="33EF321E" w:rsidR="00EA1B2C" w:rsidRPr="0066642E" w:rsidRDefault="00EA1B2C" w:rsidP="005649C9">
            <w:pPr>
              <w:pStyle w:val="Tablebody"/>
              <w:rPr>
                <w:rFonts w:cs="Open Sans"/>
                <w:szCs w:val="18"/>
              </w:rPr>
            </w:pPr>
            <w:r>
              <w:rPr>
                <w:rFonts w:cs="Open Sans"/>
                <w:szCs w:val="18"/>
              </w:rPr>
              <w:t xml:space="preserve">  </w:t>
            </w:r>
            <w:r w:rsidRPr="0066642E">
              <w:rPr>
                <w:rFonts w:cs="Open Sans"/>
                <w:szCs w:val="18"/>
              </w:rPr>
              <w:t>G11</w:t>
            </w:r>
          </w:p>
        </w:tc>
        <w:tc>
          <w:tcPr>
            <w:tcW w:w="4706" w:type="dxa"/>
          </w:tcPr>
          <w:p w14:paraId="67FF8548" w14:textId="7A6269DC" w:rsidR="00EA1B2C" w:rsidRPr="002520E8"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520E8">
              <w:rPr>
                <w:rFonts w:cs="Open Sans"/>
                <w:spacing w:val="-6"/>
                <w:szCs w:val="18"/>
                <w:lang w:val="en-US"/>
              </w:rPr>
              <w:t>Women are less capable than men of thinking logically</w:t>
            </w:r>
          </w:p>
        </w:tc>
        <w:tc>
          <w:tcPr>
            <w:tcW w:w="737" w:type="dxa"/>
          </w:tcPr>
          <w:p w14:paraId="50A91524" w14:textId="2C840945"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25+</w:t>
            </w:r>
          </w:p>
        </w:tc>
        <w:tc>
          <w:tcPr>
            <w:tcW w:w="885" w:type="dxa"/>
          </w:tcPr>
          <w:p w14:paraId="019CD4D5" w14:textId="606468B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17,431</w:t>
            </w:r>
          </w:p>
        </w:tc>
        <w:tc>
          <w:tcPr>
            <w:tcW w:w="1024" w:type="dxa"/>
          </w:tcPr>
          <w:p w14:paraId="789D9F2E" w14:textId="07122DB8"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1.47</w:t>
            </w:r>
          </w:p>
        </w:tc>
        <w:tc>
          <w:tcPr>
            <w:tcW w:w="1190" w:type="dxa"/>
          </w:tcPr>
          <w:p w14:paraId="51F0A391" w14:textId="5F709B46"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3.77</w:t>
            </w:r>
          </w:p>
        </w:tc>
        <w:tc>
          <w:tcPr>
            <w:tcW w:w="1186" w:type="dxa"/>
          </w:tcPr>
          <w:p w14:paraId="17BFE0CC" w14:textId="7E01A571"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9.84</w:t>
            </w:r>
          </w:p>
        </w:tc>
        <w:tc>
          <w:tcPr>
            <w:tcW w:w="1110" w:type="dxa"/>
          </w:tcPr>
          <w:p w14:paraId="371FB3E6" w14:textId="2034D82A"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83.30</w:t>
            </w:r>
          </w:p>
        </w:tc>
        <w:tc>
          <w:tcPr>
            <w:tcW w:w="1220" w:type="dxa"/>
          </w:tcPr>
          <w:p w14:paraId="56454476" w14:textId="26557D54"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1.43</w:t>
            </w:r>
          </w:p>
        </w:tc>
        <w:tc>
          <w:tcPr>
            <w:tcW w:w="1048" w:type="dxa"/>
          </w:tcPr>
          <w:p w14:paraId="3A604EC4" w14:textId="38B5D097"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5.24</w:t>
            </w:r>
          </w:p>
        </w:tc>
        <w:tc>
          <w:tcPr>
            <w:tcW w:w="1130" w:type="dxa"/>
          </w:tcPr>
          <w:p w14:paraId="1BBA7E43" w14:textId="320FF8DD" w:rsidR="00EA1B2C" w:rsidRPr="0066642E" w:rsidRDefault="00EA1B2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6642E">
              <w:rPr>
                <w:rFonts w:cs="Open Sans"/>
                <w:szCs w:val="18"/>
              </w:rPr>
              <w:t>93.14</w:t>
            </w:r>
          </w:p>
        </w:tc>
      </w:tr>
    </w:tbl>
    <w:p w14:paraId="2E6AC573" w14:textId="77777777" w:rsidR="0066642E" w:rsidRPr="0066642E" w:rsidRDefault="0066642E" w:rsidP="00C1558D">
      <w:pPr>
        <w:pStyle w:val="datatablenote"/>
      </w:pPr>
      <w:r w:rsidRPr="0066642E">
        <w:rPr>
          <w:b/>
        </w:rPr>
        <w:t>Note:</w:t>
      </w:r>
      <w:r w:rsidRPr="0066642E">
        <w:t xml:space="preserve"> Numbers in bold reflect the significantly higher value in the comparison.</w:t>
      </w:r>
    </w:p>
    <w:p w14:paraId="5125A4AB" w14:textId="77777777" w:rsidR="0066642E" w:rsidRPr="0066642E" w:rsidRDefault="0066642E" w:rsidP="00C1558D">
      <w:pPr>
        <w:pStyle w:val="datatablenote"/>
      </w:pPr>
      <w:r w:rsidRPr="0066642E">
        <w:t xml:space="preserve">Percentages may not add to 100 as “unanswered” category is not shown in the table. </w:t>
      </w:r>
    </w:p>
    <w:p w14:paraId="2C2B106F" w14:textId="77777777" w:rsidR="0066642E" w:rsidRPr="0066642E" w:rsidRDefault="0066642E" w:rsidP="00C1558D">
      <w:pPr>
        <w:pStyle w:val="datatablenote"/>
      </w:pPr>
      <w:r w:rsidRPr="0066642E">
        <w:rPr>
          <w:b/>
        </w:rPr>
        <w:t>a</w:t>
      </w:r>
      <w:r w:rsidRPr="0066642E">
        <w:t xml:space="preserve"> “Net agree” refers to answering “agree” either “strongly” or “somewhat”. </w:t>
      </w:r>
    </w:p>
    <w:p w14:paraId="0B2243C6" w14:textId="77777777" w:rsidR="0066642E" w:rsidRPr="0066642E" w:rsidRDefault="0066642E" w:rsidP="00C1558D">
      <w:pPr>
        <w:pStyle w:val="datatablenote"/>
      </w:pPr>
      <w:r w:rsidRPr="0066642E">
        <w:rPr>
          <w:b/>
        </w:rPr>
        <w:t>b</w:t>
      </w:r>
      <w:r w:rsidRPr="0066642E">
        <w:t xml:space="preserve"> “Net disagree” refers to answering “disagree” either “strongly” or “somewhat”.</w:t>
      </w:r>
    </w:p>
    <w:p w14:paraId="3C8EC76A" w14:textId="77777777" w:rsidR="0066642E" w:rsidRPr="0066642E" w:rsidRDefault="0066642E" w:rsidP="00C1558D">
      <w:pPr>
        <w:pStyle w:val="datatablenote"/>
      </w:pPr>
      <w:r w:rsidRPr="0066642E">
        <w:rPr>
          <w:b/>
        </w:rPr>
        <w:t>c</w:t>
      </w:r>
      <w:r w:rsidRPr="0066642E">
        <w:t xml:space="preserve"> This result should be interpreted with caution because it has a relative standard error &gt;25%. </w:t>
      </w:r>
    </w:p>
    <w:p w14:paraId="4C850818" w14:textId="77777777" w:rsidR="0066642E" w:rsidRPr="0066642E" w:rsidRDefault="0066642E" w:rsidP="00C1558D">
      <w:pPr>
        <w:pStyle w:val="datatablenote"/>
      </w:pPr>
      <w:r w:rsidRPr="0066642E">
        <w:lastRenderedPageBreak/>
        <w:t xml:space="preserve">* Statistically significant difference between 16- to 24-year-olds and 25+ year-olds. </w:t>
      </w:r>
    </w:p>
    <w:p w14:paraId="269471B6" w14:textId="77777777" w:rsidR="0066642E" w:rsidRPr="0066642E" w:rsidRDefault="0066642E" w:rsidP="00C1558D">
      <w:pPr>
        <w:pStyle w:val="datatablenote"/>
      </w:pPr>
      <w:r w:rsidRPr="0066642E">
        <w:rPr>
          <w:rFonts w:ascii="Montserrat" w:hAnsi="Montserrat" w:cs="Montserrat"/>
        </w:rPr>
        <w:t>~</w:t>
      </w:r>
      <w:r w:rsidRPr="0066642E">
        <w:t xml:space="preserve"> Asked of one quarter of the sample. </w:t>
      </w:r>
    </w:p>
    <w:p w14:paraId="6BCA8FBB" w14:textId="77777777" w:rsidR="005649C9" w:rsidRDefault="0066642E" w:rsidP="005649C9">
      <w:pPr>
        <w:pStyle w:val="datatablenote"/>
      </w:pPr>
      <w:r w:rsidRPr="0066642E">
        <w:t>^ Asked of half the sample.</w:t>
      </w:r>
      <w:bookmarkStart w:id="270" w:name="_Toc187402255"/>
    </w:p>
    <w:p w14:paraId="251B3D4E" w14:textId="126FF304" w:rsidR="00076997" w:rsidRDefault="00DB4795" w:rsidP="005649C9">
      <w:pPr>
        <w:pStyle w:val="TableheadingTablesandfigures"/>
      </w:pPr>
      <w:r>
        <w:t xml:space="preserve">Table </w:t>
      </w:r>
      <w:r w:rsidR="004A7ED7">
        <w:fldChar w:fldCharType="begin"/>
      </w:r>
      <w:r w:rsidR="004A7ED7">
        <w:instrText xml:space="preserve"> STYLEREF 1 \s </w:instrText>
      </w:r>
      <w:r w:rsidR="004A7ED7">
        <w:fldChar w:fldCharType="separate"/>
      </w:r>
      <w:r w:rsidR="004A7ED7">
        <w:rPr>
          <w:noProof/>
        </w:rPr>
        <w:t>14</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7</w:t>
      </w:r>
      <w:r w:rsidR="004A7ED7">
        <w:rPr>
          <w:noProof/>
        </w:rPr>
        <w:fldChar w:fldCharType="end"/>
      </w:r>
      <w:r w:rsidRPr="00DB4795">
        <w:t xml:space="preserve">: </w:t>
      </w:r>
      <w:r w:rsidR="007134A4">
        <w:tab/>
      </w:r>
      <w:r w:rsidRPr="00DB4795">
        <w:t>Attitudes towards Violence against Women Scale (AVAWS) items by age, all ages, 2021</w:t>
      </w:r>
      <w:bookmarkEnd w:id="270"/>
    </w:p>
    <w:p w14:paraId="5167C36A" w14:textId="406B434B" w:rsidR="00AA07BC" w:rsidRPr="008C29F3" w:rsidRDefault="00AA07BC" w:rsidP="005649C9">
      <w:pPr>
        <w:pStyle w:val="Tablesubheading0"/>
        <w:rPr>
          <w:lang w:val="it-IT"/>
        </w:rPr>
      </w:pPr>
      <w:r>
        <w:t>Subscale:</w:t>
      </w:r>
      <w:r w:rsidRPr="00AA07BC">
        <w:t xml:space="preserve"> </w:t>
      </w:r>
      <w:r w:rsidRPr="00076997">
        <w:t>Minimise Violence</w:t>
      </w:r>
    </w:p>
    <w:tbl>
      <w:tblPr>
        <w:tblStyle w:val="Table-SingleHeaderRow"/>
        <w:tblW w:w="14952" w:type="dxa"/>
        <w:tblLayout w:type="fixed"/>
        <w:tblLook w:val="00A0" w:firstRow="1" w:lastRow="0" w:firstColumn="1" w:lastColumn="0" w:noHBand="0" w:noVBand="0"/>
      </w:tblPr>
      <w:tblGrid>
        <w:gridCol w:w="723"/>
        <w:gridCol w:w="4592"/>
        <w:gridCol w:w="737"/>
        <w:gridCol w:w="737"/>
        <w:gridCol w:w="1077"/>
        <w:gridCol w:w="1247"/>
        <w:gridCol w:w="1191"/>
        <w:gridCol w:w="1110"/>
        <w:gridCol w:w="1248"/>
        <w:gridCol w:w="1099"/>
        <w:gridCol w:w="1191"/>
      </w:tblGrid>
      <w:tr w:rsidR="00CC7EC8" w:rsidRPr="00076997" w14:paraId="3E7C1D7B" w14:textId="77777777" w:rsidTr="005649C9">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723" w:type="dxa"/>
          </w:tcPr>
          <w:p w14:paraId="55FA38A5" w14:textId="77777777" w:rsidR="00CC7EC8" w:rsidRPr="00076997" w:rsidRDefault="00CC7EC8" w:rsidP="005649C9">
            <w:pPr>
              <w:pStyle w:val="Tablebody"/>
              <w:rPr>
                <w:b w:val="0"/>
                <w:lang w:val="en-GB"/>
              </w:rPr>
            </w:pPr>
            <w:r w:rsidRPr="00076997">
              <w:t>Code</w:t>
            </w:r>
          </w:p>
        </w:tc>
        <w:tc>
          <w:tcPr>
            <w:tcW w:w="4592" w:type="dxa"/>
          </w:tcPr>
          <w:p w14:paraId="7B5BE8A1"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Abbreviated item wording</w:t>
            </w:r>
          </w:p>
        </w:tc>
        <w:tc>
          <w:tcPr>
            <w:tcW w:w="737" w:type="dxa"/>
          </w:tcPr>
          <w:p w14:paraId="0FF86EC3"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Age</w:t>
            </w:r>
          </w:p>
        </w:tc>
        <w:tc>
          <w:tcPr>
            <w:tcW w:w="737" w:type="dxa"/>
          </w:tcPr>
          <w:p w14:paraId="48BDF57F"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76997">
              <w:rPr>
                <w:rStyle w:val="Emphasis"/>
                <w:lang w:val="en-GB"/>
              </w:rPr>
              <w:t>N</w:t>
            </w:r>
          </w:p>
        </w:tc>
        <w:tc>
          <w:tcPr>
            <w:tcW w:w="1077" w:type="dxa"/>
          </w:tcPr>
          <w:p w14:paraId="3A7FEDFE"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agree</w:t>
            </w:r>
          </w:p>
        </w:tc>
        <w:tc>
          <w:tcPr>
            <w:tcW w:w="1247" w:type="dxa"/>
          </w:tcPr>
          <w:p w14:paraId="58D9EF7B"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agree</w:t>
            </w:r>
          </w:p>
        </w:tc>
        <w:tc>
          <w:tcPr>
            <w:tcW w:w="1191" w:type="dxa"/>
          </w:tcPr>
          <w:p w14:paraId="3BC52317"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disagree</w:t>
            </w:r>
          </w:p>
        </w:tc>
        <w:tc>
          <w:tcPr>
            <w:tcW w:w="1110" w:type="dxa"/>
          </w:tcPr>
          <w:p w14:paraId="14E0084B"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disagree</w:t>
            </w:r>
          </w:p>
        </w:tc>
        <w:tc>
          <w:tcPr>
            <w:tcW w:w="1248" w:type="dxa"/>
          </w:tcPr>
          <w:p w14:paraId="71AADE0A"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Undecided</w:t>
            </w:r>
          </w:p>
        </w:tc>
        <w:tc>
          <w:tcPr>
            <w:tcW w:w="1099" w:type="dxa"/>
          </w:tcPr>
          <w:p w14:paraId="431519B2"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agree</w:t>
            </w:r>
            <w:r w:rsidRPr="00076997">
              <w:rPr>
                <w:vertAlign w:val="superscript"/>
              </w:rPr>
              <w:t>a</w:t>
            </w:r>
          </w:p>
        </w:tc>
        <w:tc>
          <w:tcPr>
            <w:tcW w:w="1191" w:type="dxa"/>
          </w:tcPr>
          <w:p w14:paraId="1B87A971" w14:textId="77777777" w:rsidR="00CC7EC8" w:rsidRPr="00076997" w:rsidRDefault="00CC7EC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disagree</w:t>
            </w:r>
            <w:r w:rsidRPr="00076997">
              <w:rPr>
                <w:vertAlign w:val="superscript"/>
              </w:rPr>
              <w:t>b</w:t>
            </w:r>
          </w:p>
        </w:tc>
      </w:tr>
      <w:tr w:rsidR="00FF6FA8" w:rsidRPr="00076997" w14:paraId="1FC5E06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E1552D5" w14:textId="77777777" w:rsidR="00FF6FA8" w:rsidRPr="00076997" w:rsidRDefault="00FF6FA8" w:rsidP="005649C9">
            <w:pPr>
              <w:pStyle w:val="Tablebody"/>
              <w:rPr>
                <w:rFonts w:cs="Open Sans"/>
                <w:szCs w:val="18"/>
                <w:lang w:val="en-GB"/>
              </w:rPr>
            </w:pPr>
            <w:r w:rsidRPr="00076997">
              <w:rPr>
                <w:rFonts w:cs="Open Sans"/>
                <w:szCs w:val="18"/>
              </w:rPr>
              <w:t>D16</w:t>
            </w:r>
          </w:p>
        </w:tc>
        <w:tc>
          <w:tcPr>
            <w:tcW w:w="4592" w:type="dxa"/>
          </w:tcPr>
          <w:p w14:paraId="4317A4A6" w14:textId="745AAA57"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is a private matter that should be</w:t>
            </w:r>
            <w:r>
              <w:rPr>
                <w:rFonts w:cs="Open Sans"/>
                <w:szCs w:val="18"/>
                <w:lang w:val="en-US"/>
              </w:rPr>
              <w:t> </w:t>
            </w:r>
            <w:r w:rsidRPr="00076997">
              <w:rPr>
                <w:rFonts w:cs="Open Sans"/>
                <w:szCs w:val="18"/>
                <w:lang w:val="en-US"/>
              </w:rPr>
              <w:t>handled in the family^</w:t>
            </w:r>
          </w:p>
        </w:tc>
        <w:tc>
          <w:tcPr>
            <w:tcW w:w="737" w:type="dxa"/>
          </w:tcPr>
          <w:p w14:paraId="7D14441A" w14:textId="77777777"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D858472" w14:textId="77777777"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0F2CAF28" w14:textId="2A93C69B"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3.42</w:t>
            </w:r>
          </w:p>
        </w:tc>
        <w:tc>
          <w:tcPr>
            <w:tcW w:w="1247" w:type="dxa"/>
          </w:tcPr>
          <w:p w14:paraId="2F2A73CC" w14:textId="727EDC74"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12.04</w:t>
            </w:r>
          </w:p>
        </w:tc>
        <w:tc>
          <w:tcPr>
            <w:tcW w:w="1191" w:type="dxa"/>
          </w:tcPr>
          <w:p w14:paraId="16037DBF" w14:textId="0236E71A"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27.18*</w:t>
            </w:r>
          </w:p>
        </w:tc>
        <w:tc>
          <w:tcPr>
            <w:tcW w:w="1110" w:type="dxa"/>
          </w:tcPr>
          <w:p w14:paraId="3EB86D0A" w14:textId="41A2F426"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55.00*</w:t>
            </w:r>
          </w:p>
        </w:tc>
        <w:tc>
          <w:tcPr>
            <w:tcW w:w="1248" w:type="dxa"/>
          </w:tcPr>
          <w:p w14:paraId="48147D2F" w14:textId="237D1DD0"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2.36</w:t>
            </w:r>
            <w:r w:rsidRPr="00076997">
              <w:rPr>
                <w:rFonts w:cs="Open Sans"/>
                <w:szCs w:val="18"/>
                <w:vertAlign w:val="superscript"/>
              </w:rPr>
              <w:t>c</w:t>
            </w:r>
          </w:p>
        </w:tc>
        <w:tc>
          <w:tcPr>
            <w:tcW w:w="1099" w:type="dxa"/>
          </w:tcPr>
          <w:p w14:paraId="61C60E7D" w14:textId="5F82CCD1"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15.46</w:t>
            </w:r>
          </w:p>
        </w:tc>
        <w:tc>
          <w:tcPr>
            <w:tcW w:w="1191" w:type="dxa"/>
          </w:tcPr>
          <w:p w14:paraId="14B285DB" w14:textId="741D7B2E" w:rsidR="00FF6FA8" w:rsidRPr="00076997" w:rsidRDefault="00FF6FA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82.17</w:t>
            </w:r>
          </w:p>
        </w:tc>
      </w:tr>
      <w:tr w:rsidR="00C6675C" w:rsidRPr="00076997" w14:paraId="550479E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9B26BA4" w14:textId="1BE16765" w:rsidR="00C6675C" w:rsidRPr="00076997" w:rsidRDefault="00C6675C" w:rsidP="005649C9">
            <w:pPr>
              <w:pStyle w:val="Tablebody"/>
              <w:rPr>
                <w:rFonts w:cs="Open Sans"/>
                <w:szCs w:val="18"/>
              </w:rPr>
            </w:pPr>
            <w:r w:rsidRPr="00076997">
              <w:rPr>
                <w:rFonts w:cs="Open Sans"/>
                <w:szCs w:val="18"/>
              </w:rPr>
              <w:t>D16</w:t>
            </w:r>
          </w:p>
        </w:tc>
        <w:tc>
          <w:tcPr>
            <w:tcW w:w="4592" w:type="dxa"/>
          </w:tcPr>
          <w:p w14:paraId="7CD86A9C" w14:textId="40935FD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is a private matter that should be</w:t>
            </w:r>
            <w:r>
              <w:rPr>
                <w:rFonts w:cs="Open Sans"/>
                <w:szCs w:val="18"/>
                <w:lang w:val="en-US"/>
              </w:rPr>
              <w:t> </w:t>
            </w:r>
            <w:r w:rsidRPr="00076997">
              <w:rPr>
                <w:rFonts w:cs="Open Sans"/>
                <w:szCs w:val="18"/>
                <w:lang w:val="en-US"/>
              </w:rPr>
              <w:t>handled in the family^</w:t>
            </w:r>
          </w:p>
        </w:tc>
        <w:tc>
          <w:tcPr>
            <w:tcW w:w="737" w:type="dxa"/>
          </w:tcPr>
          <w:p w14:paraId="157EE26D" w14:textId="70D0DEA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FC13DE6" w14:textId="17FB5A5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73707346" w14:textId="20C52D7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3.86</w:t>
            </w:r>
          </w:p>
        </w:tc>
        <w:tc>
          <w:tcPr>
            <w:tcW w:w="1247" w:type="dxa"/>
          </w:tcPr>
          <w:p w14:paraId="3C0332A6" w14:textId="476D3B9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7.39</w:t>
            </w:r>
          </w:p>
        </w:tc>
        <w:tc>
          <w:tcPr>
            <w:tcW w:w="1191" w:type="dxa"/>
          </w:tcPr>
          <w:p w14:paraId="61BAEBA3" w14:textId="4493ED2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16.19*</w:t>
            </w:r>
          </w:p>
        </w:tc>
        <w:tc>
          <w:tcPr>
            <w:tcW w:w="1110" w:type="dxa"/>
          </w:tcPr>
          <w:p w14:paraId="5AEEA42E" w14:textId="79FD5D6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71.11*</w:t>
            </w:r>
          </w:p>
        </w:tc>
        <w:tc>
          <w:tcPr>
            <w:tcW w:w="1248" w:type="dxa"/>
          </w:tcPr>
          <w:p w14:paraId="101D5BFF" w14:textId="07F47A9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1.40</w:t>
            </w:r>
          </w:p>
        </w:tc>
        <w:tc>
          <w:tcPr>
            <w:tcW w:w="1099" w:type="dxa"/>
          </w:tcPr>
          <w:p w14:paraId="515EEC99" w14:textId="4910457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11.26</w:t>
            </w:r>
          </w:p>
        </w:tc>
        <w:tc>
          <w:tcPr>
            <w:tcW w:w="1191" w:type="dxa"/>
          </w:tcPr>
          <w:p w14:paraId="41A794CE" w14:textId="104649D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87.29</w:t>
            </w:r>
          </w:p>
        </w:tc>
      </w:tr>
      <w:tr w:rsidR="00C6675C" w:rsidRPr="00076997" w14:paraId="24A1258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F190BAB" w14:textId="77777777" w:rsidR="00C6675C" w:rsidRPr="00076997" w:rsidRDefault="00C6675C" w:rsidP="005649C9">
            <w:pPr>
              <w:pStyle w:val="Tablebody"/>
              <w:rPr>
                <w:rFonts w:cs="Open Sans"/>
                <w:szCs w:val="18"/>
                <w:lang w:val="en-GB"/>
              </w:rPr>
            </w:pPr>
            <w:r w:rsidRPr="00076997">
              <w:rPr>
                <w:rFonts w:cs="Open Sans"/>
                <w:szCs w:val="18"/>
              </w:rPr>
              <w:t>D17</w:t>
            </w:r>
          </w:p>
        </w:tc>
        <w:tc>
          <w:tcPr>
            <w:tcW w:w="4592" w:type="dxa"/>
          </w:tcPr>
          <w:p w14:paraId="1EE15512" w14:textId="14A1C23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A lot of what is called domestic violence is really just</w:t>
            </w:r>
            <w:r>
              <w:rPr>
                <w:rFonts w:cs="Open Sans"/>
                <w:szCs w:val="18"/>
                <w:lang w:val="en-US"/>
              </w:rPr>
              <w:t> </w:t>
            </w:r>
            <w:r w:rsidRPr="00076997">
              <w:rPr>
                <w:rFonts w:cs="Open Sans"/>
                <w:szCs w:val="18"/>
                <w:lang w:val="en-US"/>
              </w:rPr>
              <w:t>a normal reaction to day-to-day stress and</w:t>
            </w:r>
            <w:r>
              <w:rPr>
                <w:rFonts w:cs="Open Sans"/>
                <w:szCs w:val="18"/>
                <w:lang w:val="en-US"/>
              </w:rPr>
              <w:t> </w:t>
            </w:r>
            <w:r w:rsidRPr="00076997">
              <w:rPr>
                <w:rFonts w:cs="Open Sans"/>
                <w:szCs w:val="18"/>
                <w:lang w:val="en-US"/>
              </w:rPr>
              <w:t>frustration</w:t>
            </w:r>
          </w:p>
        </w:tc>
        <w:tc>
          <w:tcPr>
            <w:tcW w:w="737" w:type="dxa"/>
          </w:tcPr>
          <w:p w14:paraId="458964FC"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42F40265"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50E00FC9" w14:textId="4275377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3.82</w:t>
            </w:r>
          </w:p>
        </w:tc>
        <w:tc>
          <w:tcPr>
            <w:tcW w:w="1247" w:type="dxa"/>
          </w:tcPr>
          <w:p w14:paraId="761A2E48" w14:textId="051CC64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14.63</w:t>
            </w:r>
          </w:p>
        </w:tc>
        <w:tc>
          <w:tcPr>
            <w:tcW w:w="1191" w:type="dxa"/>
          </w:tcPr>
          <w:p w14:paraId="599B6E0D" w14:textId="2CA2818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22.73</w:t>
            </w:r>
          </w:p>
        </w:tc>
        <w:tc>
          <w:tcPr>
            <w:tcW w:w="1110" w:type="dxa"/>
          </w:tcPr>
          <w:p w14:paraId="4E3249AF" w14:textId="0323D0C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56.40</w:t>
            </w:r>
          </w:p>
        </w:tc>
        <w:tc>
          <w:tcPr>
            <w:tcW w:w="1248" w:type="dxa"/>
          </w:tcPr>
          <w:p w14:paraId="41C30935" w14:textId="0DE5B60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2.38</w:t>
            </w:r>
          </w:p>
        </w:tc>
        <w:tc>
          <w:tcPr>
            <w:tcW w:w="1099" w:type="dxa"/>
          </w:tcPr>
          <w:p w14:paraId="5BC41A34" w14:textId="5C62340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18.45</w:t>
            </w:r>
          </w:p>
        </w:tc>
        <w:tc>
          <w:tcPr>
            <w:tcW w:w="1191" w:type="dxa"/>
          </w:tcPr>
          <w:p w14:paraId="3E8C3A30" w14:textId="56FCB9B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79.14</w:t>
            </w:r>
          </w:p>
        </w:tc>
      </w:tr>
      <w:tr w:rsidR="00C6675C" w:rsidRPr="00076997" w14:paraId="39431CB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2C8C97A" w14:textId="3D7FCEB5" w:rsidR="00C6675C" w:rsidRPr="00076997" w:rsidRDefault="00C6675C" w:rsidP="005649C9">
            <w:pPr>
              <w:pStyle w:val="Tablebody"/>
              <w:rPr>
                <w:rFonts w:cs="Open Sans"/>
                <w:szCs w:val="18"/>
              </w:rPr>
            </w:pPr>
            <w:r w:rsidRPr="00076997">
              <w:rPr>
                <w:rFonts w:cs="Open Sans"/>
                <w:szCs w:val="18"/>
              </w:rPr>
              <w:t>D17</w:t>
            </w:r>
          </w:p>
        </w:tc>
        <w:tc>
          <w:tcPr>
            <w:tcW w:w="4592" w:type="dxa"/>
          </w:tcPr>
          <w:p w14:paraId="5BE62BE1" w14:textId="2F839BF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A lot of what is called domestic violence is really just</w:t>
            </w:r>
            <w:r>
              <w:rPr>
                <w:rFonts w:cs="Open Sans"/>
                <w:szCs w:val="18"/>
                <w:lang w:val="en-US"/>
              </w:rPr>
              <w:t> </w:t>
            </w:r>
            <w:r w:rsidRPr="00076997">
              <w:rPr>
                <w:rFonts w:cs="Open Sans"/>
                <w:szCs w:val="18"/>
                <w:lang w:val="en-US"/>
              </w:rPr>
              <w:t>a normal reaction to day-to-day stress and</w:t>
            </w:r>
            <w:r>
              <w:rPr>
                <w:rFonts w:cs="Open Sans"/>
                <w:szCs w:val="18"/>
                <w:lang w:val="en-US"/>
              </w:rPr>
              <w:t> </w:t>
            </w:r>
            <w:r w:rsidRPr="00076997">
              <w:rPr>
                <w:rFonts w:cs="Open Sans"/>
                <w:szCs w:val="18"/>
                <w:lang w:val="en-US"/>
              </w:rPr>
              <w:t>frustration</w:t>
            </w:r>
          </w:p>
        </w:tc>
        <w:tc>
          <w:tcPr>
            <w:tcW w:w="737" w:type="dxa"/>
          </w:tcPr>
          <w:p w14:paraId="282E396C" w14:textId="67026BA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105DA02E" w14:textId="62E7DBB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72D6C42C" w14:textId="73E5390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6.31</w:t>
            </w:r>
          </w:p>
        </w:tc>
        <w:tc>
          <w:tcPr>
            <w:tcW w:w="1247" w:type="dxa"/>
          </w:tcPr>
          <w:p w14:paraId="3430C66B" w14:textId="3BCA705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17.86</w:t>
            </w:r>
          </w:p>
        </w:tc>
        <w:tc>
          <w:tcPr>
            <w:tcW w:w="1191" w:type="dxa"/>
          </w:tcPr>
          <w:p w14:paraId="4E38C937" w14:textId="604420C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18.80</w:t>
            </w:r>
          </w:p>
        </w:tc>
        <w:tc>
          <w:tcPr>
            <w:tcW w:w="1110" w:type="dxa"/>
          </w:tcPr>
          <w:p w14:paraId="738C34B8" w14:textId="30AB53F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54.04</w:t>
            </w:r>
          </w:p>
        </w:tc>
        <w:tc>
          <w:tcPr>
            <w:tcW w:w="1248" w:type="dxa"/>
          </w:tcPr>
          <w:p w14:paraId="64CF6CB4" w14:textId="37C09E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2.93</w:t>
            </w:r>
          </w:p>
        </w:tc>
        <w:tc>
          <w:tcPr>
            <w:tcW w:w="1099" w:type="dxa"/>
          </w:tcPr>
          <w:p w14:paraId="048A2AF5" w14:textId="7393D69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24.17</w:t>
            </w:r>
          </w:p>
        </w:tc>
        <w:tc>
          <w:tcPr>
            <w:tcW w:w="1191" w:type="dxa"/>
          </w:tcPr>
          <w:p w14:paraId="439EAC41" w14:textId="099C623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72.83</w:t>
            </w:r>
          </w:p>
        </w:tc>
      </w:tr>
      <w:tr w:rsidR="00C6675C" w:rsidRPr="00076997" w14:paraId="324A23D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6D4831E" w14:textId="77777777" w:rsidR="00C6675C" w:rsidRPr="00076997" w:rsidRDefault="00C6675C" w:rsidP="005649C9">
            <w:pPr>
              <w:pStyle w:val="Tablebody"/>
              <w:rPr>
                <w:rFonts w:cs="Open Sans"/>
                <w:szCs w:val="18"/>
                <w:lang w:val="en-GB"/>
              </w:rPr>
            </w:pPr>
            <w:r w:rsidRPr="00076997">
              <w:rPr>
                <w:rFonts w:cs="Open Sans"/>
                <w:szCs w:val="18"/>
              </w:rPr>
              <w:t>D18</w:t>
            </w:r>
          </w:p>
        </w:tc>
        <w:tc>
          <w:tcPr>
            <w:tcW w:w="4592" w:type="dxa"/>
          </w:tcPr>
          <w:p w14:paraId="41B6CA8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can be excused if it results from people getting so angry that they temporarily lose control</w:t>
            </w:r>
          </w:p>
        </w:tc>
        <w:tc>
          <w:tcPr>
            <w:tcW w:w="737" w:type="dxa"/>
          </w:tcPr>
          <w:p w14:paraId="1C83579C"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75C4BD9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1100F4B0" w14:textId="16A81DC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4.64</w:t>
            </w:r>
          </w:p>
        </w:tc>
        <w:tc>
          <w:tcPr>
            <w:tcW w:w="1247" w:type="dxa"/>
          </w:tcPr>
          <w:p w14:paraId="5DA85ED4" w14:textId="0DBA08B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8.83</w:t>
            </w:r>
          </w:p>
        </w:tc>
        <w:tc>
          <w:tcPr>
            <w:tcW w:w="1191" w:type="dxa"/>
          </w:tcPr>
          <w:p w14:paraId="125D9802" w14:textId="519BCE7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13.39</w:t>
            </w:r>
          </w:p>
        </w:tc>
        <w:tc>
          <w:tcPr>
            <w:tcW w:w="1110" w:type="dxa"/>
          </w:tcPr>
          <w:p w14:paraId="4D254AA9" w14:textId="531B621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72.05</w:t>
            </w:r>
          </w:p>
        </w:tc>
        <w:tc>
          <w:tcPr>
            <w:tcW w:w="1248" w:type="dxa"/>
          </w:tcPr>
          <w:p w14:paraId="7399764F" w14:textId="632D05A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1.03</w:t>
            </w:r>
          </w:p>
        </w:tc>
        <w:tc>
          <w:tcPr>
            <w:tcW w:w="1099" w:type="dxa"/>
          </w:tcPr>
          <w:p w14:paraId="3BF3DAE8" w14:textId="586581F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13.47</w:t>
            </w:r>
          </w:p>
        </w:tc>
        <w:tc>
          <w:tcPr>
            <w:tcW w:w="1191" w:type="dxa"/>
          </w:tcPr>
          <w:p w14:paraId="4E4B1AA6" w14:textId="6CC274D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85.44</w:t>
            </w:r>
          </w:p>
        </w:tc>
      </w:tr>
      <w:tr w:rsidR="00C6675C" w:rsidRPr="00076997" w14:paraId="2AFB628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2783880" w14:textId="3A7BB504" w:rsidR="00C6675C" w:rsidRPr="00076997" w:rsidRDefault="00C6675C" w:rsidP="005649C9">
            <w:pPr>
              <w:pStyle w:val="Tablebody"/>
              <w:rPr>
                <w:rFonts w:cs="Open Sans"/>
                <w:szCs w:val="18"/>
              </w:rPr>
            </w:pPr>
            <w:r w:rsidRPr="00076997">
              <w:rPr>
                <w:rFonts w:cs="Open Sans"/>
                <w:szCs w:val="18"/>
              </w:rPr>
              <w:t>D18</w:t>
            </w:r>
          </w:p>
        </w:tc>
        <w:tc>
          <w:tcPr>
            <w:tcW w:w="4592" w:type="dxa"/>
          </w:tcPr>
          <w:p w14:paraId="191C5B2C" w14:textId="03CAE4E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can be excused if it results from people getting so angry that they temporarily lose</w:t>
            </w:r>
            <w:r>
              <w:rPr>
                <w:rFonts w:cs="Open Sans"/>
                <w:szCs w:val="18"/>
                <w:lang w:val="en-US"/>
              </w:rPr>
              <w:t> </w:t>
            </w:r>
            <w:r w:rsidRPr="00076997">
              <w:rPr>
                <w:rFonts w:cs="Open Sans"/>
                <w:szCs w:val="18"/>
                <w:lang w:val="en-US"/>
              </w:rPr>
              <w:t>control</w:t>
            </w:r>
          </w:p>
        </w:tc>
        <w:tc>
          <w:tcPr>
            <w:tcW w:w="737" w:type="dxa"/>
          </w:tcPr>
          <w:p w14:paraId="6FE26433" w14:textId="19BB531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5B2AE1BA" w14:textId="426EB06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17227750" w14:textId="2B71671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6.98</w:t>
            </w:r>
          </w:p>
        </w:tc>
        <w:tc>
          <w:tcPr>
            <w:tcW w:w="1247" w:type="dxa"/>
          </w:tcPr>
          <w:p w14:paraId="2047EA44" w14:textId="388C756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7.84</w:t>
            </w:r>
          </w:p>
        </w:tc>
        <w:tc>
          <w:tcPr>
            <w:tcW w:w="1191" w:type="dxa"/>
          </w:tcPr>
          <w:p w14:paraId="01F30102" w14:textId="7F80FC6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7.98</w:t>
            </w:r>
          </w:p>
        </w:tc>
        <w:tc>
          <w:tcPr>
            <w:tcW w:w="1110" w:type="dxa"/>
          </w:tcPr>
          <w:p w14:paraId="627A5615" w14:textId="125F212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76.07</w:t>
            </w:r>
          </w:p>
        </w:tc>
        <w:tc>
          <w:tcPr>
            <w:tcW w:w="1248" w:type="dxa"/>
          </w:tcPr>
          <w:p w14:paraId="0A4551DB" w14:textId="6686CD9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1.01</w:t>
            </w:r>
          </w:p>
        </w:tc>
        <w:tc>
          <w:tcPr>
            <w:tcW w:w="1099" w:type="dxa"/>
          </w:tcPr>
          <w:p w14:paraId="2061EA18" w14:textId="5C8B366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14.82</w:t>
            </w:r>
          </w:p>
        </w:tc>
        <w:tc>
          <w:tcPr>
            <w:tcW w:w="1191" w:type="dxa"/>
          </w:tcPr>
          <w:p w14:paraId="675E62A6" w14:textId="63B3385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84.05</w:t>
            </w:r>
          </w:p>
        </w:tc>
      </w:tr>
      <w:tr w:rsidR="00C6675C" w:rsidRPr="00076997" w14:paraId="3585D24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F87A4FE" w14:textId="77777777" w:rsidR="00C6675C" w:rsidRPr="00076997" w:rsidRDefault="00C6675C" w:rsidP="005649C9">
            <w:pPr>
              <w:pStyle w:val="Tablebody"/>
              <w:rPr>
                <w:rFonts w:cs="Open Sans"/>
                <w:szCs w:val="18"/>
                <w:lang w:val="en-GB"/>
              </w:rPr>
            </w:pPr>
            <w:r w:rsidRPr="00076997">
              <w:rPr>
                <w:rFonts w:cs="Open Sans"/>
                <w:szCs w:val="18"/>
              </w:rPr>
              <w:t>D19</w:t>
            </w:r>
          </w:p>
        </w:tc>
        <w:tc>
          <w:tcPr>
            <w:tcW w:w="4592" w:type="dxa"/>
          </w:tcPr>
          <w:p w14:paraId="01D17ECB" w14:textId="0D4B5D9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can be excused if, afterwards, the violent person genuinely regrets what they have</w:t>
            </w:r>
            <w:r>
              <w:rPr>
                <w:rFonts w:cs="Open Sans"/>
                <w:szCs w:val="18"/>
                <w:lang w:val="en-US"/>
              </w:rPr>
              <w:t> </w:t>
            </w:r>
            <w:r w:rsidRPr="00076997">
              <w:rPr>
                <w:rFonts w:cs="Open Sans"/>
                <w:szCs w:val="18"/>
                <w:lang w:val="en-US"/>
              </w:rPr>
              <w:t>done</w:t>
            </w:r>
          </w:p>
        </w:tc>
        <w:tc>
          <w:tcPr>
            <w:tcW w:w="737" w:type="dxa"/>
          </w:tcPr>
          <w:p w14:paraId="5CF9E60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79FB2BF5"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23D82851" w14:textId="7EBCEA9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3.46</w:t>
            </w:r>
          </w:p>
        </w:tc>
        <w:tc>
          <w:tcPr>
            <w:tcW w:w="1247" w:type="dxa"/>
          </w:tcPr>
          <w:p w14:paraId="39F87EE3" w14:textId="169841F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12.56</w:t>
            </w:r>
          </w:p>
        </w:tc>
        <w:tc>
          <w:tcPr>
            <w:tcW w:w="1191" w:type="dxa"/>
          </w:tcPr>
          <w:p w14:paraId="689C13E1" w14:textId="4DD7E79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27.53*</w:t>
            </w:r>
          </w:p>
        </w:tc>
        <w:tc>
          <w:tcPr>
            <w:tcW w:w="1110" w:type="dxa"/>
          </w:tcPr>
          <w:p w14:paraId="72C30248" w14:textId="6E36F81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54.22*</w:t>
            </w:r>
          </w:p>
        </w:tc>
        <w:tc>
          <w:tcPr>
            <w:tcW w:w="1248" w:type="dxa"/>
          </w:tcPr>
          <w:p w14:paraId="0B62F9D5" w14:textId="014EE8A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2.22</w:t>
            </w:r>
          </w:p>
        </w:tc>
        <w:tc>
          <w:tcPr>
            <w:tcW w:w="1099" w:type="dxa"/>
          </w:tcPr>
          <w:p w14:paraId="62D4B091" w14:textId="003A9BE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16.02</w:t>
            </w:r>
          </w:p>
        </w:tc>
        <w:tc>
          <w:tcPr>
            <w:tcW w:w="1191" w:type="dxa"/>
          </w:tcPr>
          <w:p w14:paraId="090C3CD1" w14:textId="4E719DD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81.75</w:t>
            </w:r>
          </w:p>
        </w:tc>
      </w:tr>
      <w:tr w:rsidR="00C6675C" w:rsidRPr="00076997" w14:paraId="5C89989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EA9F873" w14:textId="2BF36917" w:rsidR="00C6675C" w:rsidRPr="00076997" w:rsidRDefault="00C6675C" w:rsidP="005649C9">
            <w:pPr>
              <w:pStyle w:val="Tablebody"/>
              <w:rPr>
                <w:rFonts w:cs="Open Sans"/>
                <w:szCs w:val="18"/>
              </w:rPr>
            </w:pPr>
            <w:r w:rsidRPr="00076997">
              <w:rPr>
                <w:rFonts w:cs="Open Sans"/>
                <w:szCs w:val="18"/>
              </w:rPr>
              <w:t>D19</w:t>
            </w:r>
          </w:p>
        </w:tc>
        <w:tc>
          <w:tcPr>
            <w:tcW w:w="4592" w:type="dxa"/>
          </w:tcPr>
          <w:p w14:paraId="09AD3ACF" w14:textId="1D2D2A5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can be excused if, afterwards, the</w:t>
            </w:r>
            <w:r>
              <w:rPr>
                <w:rFonts w:cs="Open Sans"/>
                <w:szCs w:val="18"/>
                <w:lang w:val="en-US"/>
              </w:rPr>
              <w:t> </w:t>
            </w:r>
            <w:r w:rsidRPr="00076997">
              <w:rPr>
                <w:rFonts w:cs="Open Sans"/>
                <w:szCs w:val="18"/>
                <w:lang w:val="en-US"/>
              </w:rPr>
              <w:t>violent person genuinely regrets what they have</w:t>
            </w:r>
            <w:r>
              <w:rPr>
                <w:rFonts w:cs="Open Sans"/>
                <w:szCs w:val="18"/>
                <w:lang w:val="en-US"/>
              </w:rPr>
              <w:t> </w:t>
            </w:r>
            <w:r w:rsidRPr="00076997">
              <w:rPr>
                <w:rFonts w:cs="Open Sans"/>
                <w:szCs w:val="18"/>
                <w:lang w:val="en-US"/>
              </w:rPr>
              <w:t>done</w:t>
            </w:r>
          </w:p>
        </w:tc>
        <w:tc>
          <w:tcPr>
            <w:tcW w:w="737" w:type="dxa"/>
          </w:tcPr>
          <w:p w14:paraId="55B5C162" w14:textId="68BED3A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8C8B08F" w14:textId="7BCA8B6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062A1D44" w14:textId="2452D12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4.06</w:t>
            </w:r>
          </w:p>
        </w:tc>
        <w:tc>
          <w:tcPr>
            <w:tcW w:w="1247" w:type="dxa"/>
          </w:tcPr>
          <w:p w14:paraId="18B17FD7" w14:textId="182F6E6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8.72</w:t>
            </w:r>
          </w:p>
        </w:tc>
        <w:tc>
          <w:tcPr>
            <w:tcW w:w="1191" w:type="dxa"/>
          </w:tcPr>
          <w:p w14:paraId="6C820F2E" w14:textId="6EAB7B6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12.77*</w:t>
            </w:r>
          </w:p>
        </w:tc>
        <w:tc>
          <w:tcPr>
            <w:tcW w:w="1110" w:type="dxa"/>
          </w:tcPr>
          <w:p w14:paraId="548D3AC4" w14:textId="43AAD0C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72.72*</w:t>
            </w:r>
          </w:p>
        </w:tc>
        <w:tc>
          <w:tcPr>
            <w:tcW w:w="1248" w:type="dxa"/>
          </w:tcPr>
          <w:p w14:paraId="49145023" w14:textId="0B1917F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1.63</w:t>
            </w:r>
          </w:p>
        </w:tc>
        <w:tc>
          <w:tcPr>
            <w:tcW w:w="1099" w:type="dxa"/>
          </w:tcPr>
          <w:p w14:paraId="2B532DE0" w14:textId="5CB97A9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12.78</w:t>
            </w:r>
          </w:p>
        </w:tc>
        <w:tc>
          <w:tcPr>
            <w:tcW w:w="1191" w:type="dxa"/>
          </w:tcPr>
          <w:p w14:paraId="3113B814" w14:textId="52A078C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85.49</w:t>
            </w:r>
          </w:p>
        </w:tc>
      </w:tr>
      <w:tr w:rsidR="00C6675C" w:rsidRPr="00076997" w14:paraId="77B5278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0C59C38" w14:textId="6044030D" w:rsidR="00C6675C" w:rsidRPr="00FF6FA8" w:rsidRDefault="00C6675C" w:rsidP="005649C9">
            <w:pPr>
              <w:pStyle w:val="Tablebody"/>
              <w:rPr>
                <w:rFonts w:cs="Open Sans"/>
                <w:szCs w:val="18"/>
              </w:rPr>
            </w:pPr>
            <w:r w:rsidRPr="00076997">
              <w:rPr>
                <w:rFonts w:cs="Open Sans"/>
                <w:szCs w:val="18"/>
              </w:rPr>
              <w:t>D20</w:t>
            </w:r>
          </w:p>
        </w:tc>
        <w:tc>
          <w:tcPr>
            <w:tcW w:w="4592" w:type="dxa"/>
          </w:tcPr>
          <w:p w14:paraId="2806EFF4" w14:textId="397DA3E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can be excused if the offender is</w:t>
            </w:r>
            <w:r>
              <w:rPr>
                <w:rFonts w:cs="Open Sans"/>
                <w:szCs w:val="18"/>
                <w:lang w:val="en-US"/>
              </w:rPr>
              <w:t> </w:t>
            </w:r>
            <w:r w:rsidRPr="00076997">
              <w:rPr>
                <w:rFonts w:cs="Open Sans"/>
                <w:szCs w:val="18"/>
                <w:lang w:val="en-US"/>
              </w:rPr>
              <w:t>heavily affected by alcohol</w:t>
            </w:r>
          </w:p>
        </w:tc>
        <w:tc>
          <w:tcPr>
            <w:tcW w:w="737" w:type="dxa"/>
          </w:tcPr>
          <w:p w14:paraId="2D3034CA"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D65F85C"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59F32F7B" w14:textId="46CE2F6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2.71</w:t>
            </w:r>
          </w:p>
        </w:tc>
        <w:tc>
          <w:tcPr>
            <w:tcW w:w="1247" w:type="dxa"/>
          </w:tcPr>
          <w:p w14:paraId="566EE2BA" w14:textId="0544744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3.30</w:t>
            </w:r>
          </w:p>
        </w:tc>
        <w:tc>
          <w:tcPr>
            <w:tcW w:w="1191" w:type="dxa"/>
          </w:tcPr>
          <w:p w14:paraId="5F43D26A" w14:textId="31A3C8A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10.01*</w:t>
            </w:r>
          </w:p>
        </w:tc>
        <w:tc>
          <w:tcPr>
            <w:tcW w:w="1110" w:type="dxa"/>
          </w:tcPr>
          <w:p w14:paraId="471DBA96" w14:textId="38C43B5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83.66</w:t>
            </w:r>
          </w:p>
        </w:tc>
        <w:tc>
          <w:tcPr>
            <w:tcW w:w="1248" w:type="dxa"/>
          </w:tcPr>
          <w:p w14:paraId="454C4E53" w14:textId="0AA0522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0.33</w:t>
            </w:r>
            <w:r w:rsidRPr="00076997">
              <w:rPr>
                <w:rFonts w:cs="Open Sans"/>
                <w:szCs w:val="18"/>
                <w:vertAlign w:val="superscript"/>
              </w:rPr>
              <w:t>c</w:t>
            </w:r>
          </w:p>
        </w:tc>
        <w:tc>
          <w:tcPr>
            <w:tcW w:w="1099" w:type="dxa"/>
          </w:tcPr>
          <w:p w14:paraId="25B49991" w14:textId="64548BC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6.00</w:t>
            </w:r>
          </w:p>
        </w:tc>
        <w:tc>
          <w:tcPr>
            <w:tcW w:w="1191" w:type="dxa"/>
          </w:tcPr>
          <w:p w14:paraId="2CBD5D68" w14:textId="0D83601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93.67</w:t>
            </w:r>
          </w:p>
        </w:tc>
      </w:tr>
      <w:tr w:rsidR="00C6675C" w:rsidRPr="00076997" w14:paraId="753E8F0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C8D9608" w14:textId="72F988B5" w:rsidR="00C6675C" w:rsidRPr="00076997" w:rsidRDefault="00C6675C" w:rsidP="005649C9">
            <w:pPr>
              <w:pStyle w:val="Tablebody"/>
              <w:rPr>
                <w:rFonts w:cs="Open Sans"/>
                <w:szCs w:val="18"/>
              </w:rPr>
            </w:pPr>
            <w:r w:rsidRPr="00076997">
              <w:rPr>
                <w:rFonts w:cs="Open Sans"/>
                <w:szCs w:val="18"/>
              </w:rPr>
              <w:t>D20</w:t>
            </w:r>
          </w:p>
        </w:tc>
        <w:tc>
          <w:tcPr>
            <w:tcW w:w="4592" w:type="dxa"/>
          </w:tcPr>
          <w:p w14:paraId="1EC18B59" w14:textId="47A1CDF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can be excused if the offender is</w:t>
            </w:r>
            <w:r>
              <w:rPr>
                <w:rFonts w:cs="Open Sans"/>
                <w:szCs w:val="18"/>
                <w:lang w:val="en-US"/>
              </w:rPr>
              <w:t> </w:t>
            </w:r>
            <w:r w:rsidRPr="00076997">
              <w:rPr>
                <w:rFonts w:cs="Open Sans"/>
                <w:szCs w:val="18"/>
                <w:lang w:val="en-US"/>
              </w:rPr>
              <w:t>heavily affected by alcohol</w:t>
            </w:r>
          </w:p>
        </w:tc>
        <w:tc>
          <w:tcPr>
            <w:tcW w:w="737" w:type="dxa"/>
          </w:tcPr>
          <w:p w14:paraId="020B9207" w14:textId="25673B9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10EDCEF8" w14:textId="04661F4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0E29AAF5" w14:textId="5CCA66D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3.68</w:t>
            </w:r>
          </w:p>
        </w:tc>
        <w:tc>
          <w:tcPr>
            <w:tcW w:w="1247" w:type="dxa"/>
          </w:tcPr>
          <w:p w14:paraId="6F903F95" w14:textId="5BD9337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2.08</w:t>
            </w:r>
          </w:p>
        </w:tc>
        <w:tc>
          <w:tcPr>
            <w:tcW w:w="1191" w:type="dxa"/>
          </w:tcPr>
          <w:p w14:paraId="0BE43B61" w14:textId="3697DD0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5.06*</w:t>
            </w:r>
          </w:p>
        </w:tc>
        <w:tc>
          <w:tcPr>
            <w:tcW w:w="1110" w:type="dxa"/>
          </w:tcPr>
          <w:p w14:paraId="4DC6C2A4" w14:textId="7B083BD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88.65</w:t>
            </w:r>
          </w:p>
        </w:tc>
        <w:tc>
          <w:tcPr>
            <w:tcW w:w="1248" w:type="dxa"/>
          </w:tcPr>
          <w:p w14:paraId="5D25F594" w14:textId="05ECE4E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0.50</w:t>
            </w:r>
          </w:p>
        </w:tc>
        <w:tc>
          <w:tcPr>
            <w:tcW w:w="1099" w:type="dxa"/>
          </w:tcPr>
          <w:p w14:paraId="144B0D1A" w14:textId="6C16292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5.76</w:t>
            </w:r>
          </w:p>
        </w:tc>
        <w:tc>
          <w:tcPr>
            <w:tcW w:w="1191" w:type="dxa"/>
          </w:tcPr>
          <w:p w14:paraId="1E426C39" w14:textId="29351EE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93.71</w:t>
            </w:r>
          </w:p>
        </w:tc>
      </w:tr>
      <w:tr w:rsidR="00C6675C" w:rsidRPr="00076997" w14:paraId="00D2B1E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7D87AD8" w14:textId="77777777" w:rsidR="00C6675C" w:rsidRPr="00076997" w:rsidRDefault="00C6675C" w:rsidP="005649C9">
            <w:pPr>
              <w:pStyle w:val="Tablebody"/>
              <w:rPr>
                <w:rFonts w:cs="Open Sans"/>
                <w:szCs w:val="18"/>
                <w:lang w:val="en-GB"/>
              </w:rPr>
            </w:pPr>
            <w:r w:rsidRPr="00076997">
              <w:rPr>
                <w:rFonts w:cs="Open Sans"/>
                <w:szCs w:val="18"/>
              </w:rPr>
              <w:t>D21</w:t>
            </w:r>
          </w:p>
        </w:tc>
        <w:tc>
          <w:tcPr>
            <w:tcW w:w="4592" w:type="dxa"/>
          </w:tcPr>
          <w:p w14:paraId="66ED7DA5" w14:textId="1CDF95E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can be excused if the victim is</w:t>
            </w:r>
            <w:r>
              <w:rPr>
                <w:rFonts w:cs="Open Sans"/>
                <w:szCs w:val="18"/>
                <w:lang w:val="en-US"/>
              </w:rPr>
              <w:t> </w:t>
            </w:r>
            <w:r w:rsidRPr="00076997">
              <w:rPr>
                <w:rFonts w:cs="Open Sans"/>
                <w:szCs w:val="18"/>
                <w:lang w:val="en-US"/>
              </w:rPr>
              <w:t>heavily affected by alcohol</w:t>
            </w:r>
          </w:p>
        </w:tc>
        <w:tc>
          <w:tcPr>
            <w:tcW w:w="737" w:type="dxa"/>
          </w:tcPr>
          <w:p w14:paraId="3FFA003A"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74E7906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3419D4E9" w14:textId="507459C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1.97</w:t>
            </w:r>
          </w:p>
        </w:tc>
        <w:tc>
          <w:tcPr>
            <w:tcW w:w="1247" w:type="dxa"/>
          </w:tcPr>
          <w:p w14:paraId="3607299F" w14:textId="4EEA8F5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4.80</w:t>
            </w:r>
          </w:p>
        </w:tc>
        <w:tc>
          <w:tcPr>
            <w:tcW w:w="1191" w:type="dxa"/>
          </w:tcPr>
          <w:p w14:paraId="3131DBD9" w14:textId="7021FD1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12.51</w:t>
            </w:r>
          </w:p>
        </w:tc>
        <w:tc>
          <w:tcPr>
            <w:tcW w:w="1110" w:type="dxa"/>
          </w:tcPr>
          <w:p w14:paraId="08D74344" w14:textId="1160F02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79.57</w:t>
            </w:r>
          </w:p>
        </w:tc>
        <w:tc>
          <w:tcPr>
            <w:tcW w:w="1248" w:type="dxa"/>
          </w:tcPr>
          <w:p w14:paraId="32DF6393" w14:textId="437C828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1.15</w:t>
            </w:r>
            <w:r w:rsidRPr="00076997">
              <w:rPr>
                <w:rFonts w:cs="Open Sans"/>
                <w:szCs w:val="18"/>
                <w:vertAlign w:val="superscript"/>
              </w:rPr>
              <w:t>c</w:t>
            </w:r>
          </w:p>
        </w:tc>
        <w:tc>
          <w:tcPr>
            <w:tcW w:w="1099" w:type="dxa"/>
          </w:tcPr>
          <w:p w14:paraId="5BACB656" w14:textId="0E848D5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6.77</w:t>
            </w:r>
          </w:p>
        </w:tc>
        <w:tc>
          <w:tcPr>
            <w:tcW w:w="1191" w:type="dxa"/>
          </w:tcPr>
          <w:p w14:paraId="0E702F49" w14:textId="36FC60C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92.08</w:t>
            </w:r>
          </w:p>
        </w:tc>
      </w:tr>
      <w:tr w:rsidR="00C6675C" w:rsidRPr="00076997" w14:paraId="4C92020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F2F5161" w14:textId="70368C3A" w:rsidR="00C6675C" w:rsidRPr="00076997" w:rsidRDefault="00C6675C" w:rsidP="005649C9">
            <w:pPr>
              <w:pStyle w:val="Tablebody"/>
              <w:rPr>
                <w:rFonts w:cs="Open Sans"/>
                <w:szCs w:val="18"/>
              </w:rPr>
            </w:pPr>
            <w:r w:rsidRPr="00076997">
              <w:rPr>
                <w:rFonts w:cs="Open Sans"/>
                <w:szCs w:val="18"/>
              </w:rPr>
              <w:lastRenderedPageBreak/>
              <w:t>D21</w:t>
            </w:r>
          </w:p>
        </w:tc>
        <w:tc>
          <w:tcPr>
            <w:tcW w:w="4592" w:type="dxa"/>
          </w:tcPr>
          <w:p w14:paraId="6551E8BA" w14:textId="5B1731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can be excused if the victim is</w:t>
            </w:r>
            <w:r>
              <w:rPr>
                <w:rFonts w:cs="Open Sans"/>
                <w:szCs w:val="18"/>
                <w:lang w:val="en-US"/>
              </w:rPr>
              <w:t> </w:t>
            </w:r>
            <w:r w:rsidRPr="00076997">
              <w:rPr>
                <w:rFonts w:cs="Open Sans"/>
                <w:szCs w:val="18"/>
                <w:lang w:val="en-US"/>
              </w:rPr>
              <w:t>heavily affected by alcohol</w:t>
            </w:r>
          </w:p>
        </w:tc>
        <w:tc>
          <w:tcPr>
            <w:tcW w:w="737" w:type="dxa"/>
          </w:tcPr>
          <w:p w14:paraId="125A1664" w14:textId="23D1913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519C69B" w14:textId="39BC2BB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68E4FEB3" w14:textId="02E6E62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3.21</w:t>
            </w:r>
          </w:p>
        </w:tc>
        <w:tc>
          <w:tcPr>
            <w:tcW w:w="1247" w:type="dxa"/>
          </w:tcPr>
          <w:p w14:paraId="340C036D" w14:textId="6F19112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2.78</w:t>
            </w:r>
          </w:p>
        </w:tc>
        <w:tc>
          <w:tcPr>
            <w:tcW w:w="1191" w:type="dxa"/>
          </w:tcPr>
          <w:p w14:paraId="4BEC43BD" w14:textId="2FB3157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8.90</w:t>
            </w:r>
          </w:p>
        </w:tc>
        <w:tc>
          <w:tcPr>
            <w:tcW w:w="1110" w:type="dxa"/>
          </w:tcPr>
          <w:p w14:paraId="41EF8D04" w14:textId="044AD44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83.71</w:t>
            </w:r>
          </w:p>
        </w:tc>
        <w:tc>
          <w:tcPr>
            <w:tcW w:w="1248" w:type="dxa"/>
          </w:tcPr>
          <w:p w14:paraId="1E01A6C0" w14:textId="45BEE9D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1.35</w:t>
            </w:r>
          </w:p>
        </w:tc>
        <w:tc>
          <w:tcPr>
            <w:tcW w:w="1099" w:type="dxa"/>
          </w:tcPr>
          <w:p w14:paraId="4066D47D" w14:textId="481E61A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5.99</w:t>
            </w:r>
          </w:p>
        </w:tc>
        <w:tc>
          <w:tcPr>
            <w:tcW w:w="1191" w:type="dxa"/>
          </w:tcPr>
          <w:p w14:paraId="43F296DA" w14:textId="50944CF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92.60</w:t>
            </w:r>
          </w:p>
        </w:tc>
      </w:tr>
      <w:tr w:rsidR="00C6675C" w:rsidRPr="00076997" w14:paraId="26223F1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3B16E97" w14:textId="54B44CDD" w:rsidR="00C6675C" w:rsidRPr="00076997" w:rsidRDefault="00C6675C" w:rsidP="005649C9">
            <w:pPr>
              <w:pStyle w:val="Tablebody"/>
              <w:rPr>
                <w:rFonts w:cs="Open Sans"/>
                <w:szCs w:val="18"/>
                <w:lang w:val="en-GB"/>
              </w:rPr>
            </w:pPr>
            <w:r w:rsidRPr="00076997">
              <w:rPr>
                <w:rFonts w:cs="Open Sans"/>
                <w:szCs w:val="18"/>
              </w:rPr>
              <w:t>D22</w:t>
            </w:r>
          </w:p>
        </w:tc>
        <w:tc>
          <w:tcPr>
            <w:tcW w:w="4592" w:type="dxa"/>
          </w:tcPr>
          <w:p w14:paraId="08EC707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Domestic violence can be excused if the violent person was themselves abused as a child</w:t>
            </w:r>
          </w:p>
        </w:tc>
        <w:tc>
          <w:tcPr>
            <w:tcW w:w="737" w:type="dxa"/>
          </w:tcPr>
          <w:p w14:paraId="71A38EB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AA734F6"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161727A8" w14:textId="4A5C1EC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2.88</w:t>
            </w:r>
          </w:p>
        </w:tc>
        <w:tc>
          <w:tcPr>
            <w:tcW w:w="1247" w:type="dxa"/>
          </w:tcPr>
          <w:p w14:paraId="2054C950" w14:textId="2497E59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5.67</w:t>
            </w:r>
          </w:p>
        </w:tc>
        <w:tc>
          <w:tcPr>
            <w:tcW w:w="1191" w:type="dxa"/>
          </w:tcPr>
          <w:p w14:paraId="14044933" w14:textId="4B7DA7D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21.09*</w:t>
            </w:r>
          </w:p>
        </w:tc>
        <w:tc>
          <w:tcPr>
            <w:tcW w:w="1110" w:type="dxa"/>
          </w:tcPr>
          <w:p w14:paraId="4D984E7C" w14:textId="253420C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68.67</w:t>
            </w:r>
          </w:p>
        </w:tc>
        <w:tc>
          <w:tcPr>
            <w:tcW w:w="1248" w:type="dxa"/>
          </w:tcPr>
          <w:p w14:paraId="3104BF88" w14:textId="079C390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1.65</w:t>
            </w:r>
          </w:p>
        </w:tc>
        <w:tc>
          <w:tcPr>
            <w:tcW w:w="1099" w:type="dxa"/>
          </w:tcPr>
          <w:p w14:paraId="64B01CA9" w14:textId="320F247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8.56</w:t>
            </w:r>
          </w:p>
        </w:tc>
        <w:tc>
          <w:tcPr>
            <w:tcW w:w="1191" w:type="dxa"/>
          </w:tcPr>
          <w:p w14:paraId="1A2F5D7D" w14:textId="42C0088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89.75</w:t>
            </w:r>
          </w:p>
        </w:tc>
      </w:tr>
      <w:tr w:rsidR="00C6675C" w:rsidRPr="00076997" w14:paraId="5F6ECE9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79B249F" w14:textId="50EB5B4F" w:rsidR="00C6675C" w:rsidRPr="00076997" w:rsidRDefault="00C6675C" w:rsidP="005649C9">
            <w:pPr>
              <w:pStyle w:val="Tablebody"/>
              <w:rPr>
                <w:rFonts w:cs="Open Sans"/>
                <w:szCs w:val="18"/>
              </w:rPr>
            </w:pPr>
            <w:r w:rsidRPr="00076997">
              <w:rPr>
                <w:rFonts w:cs="Open Sans"/>
                <w:szCs w:val="18"/>
              </w:rPr>
              <w:t>D22</w:t>
            </w:r>
          </w:p>
        </w:tc>
        <w:tc>
          <w:tcPr>
            <w:tcW w:w="4592" w:type="dxa"/>
          </w:tcPr>
          <w:p w14:paraId="45D8CDBD" w14:textId="64A6BE1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Domestic violence can be excused if the violent person was themselves abused as a child</w:t>
            </w:r>
          </w:p>
        </w:tc>
        <w:tc>
          <w:tcPr>
            <w:tcW w:w="737" w:type="dxa"/>
          </w:tcPr>
          <w:p w14:paraId="2959ADAB" w14:textId="6BD6D7C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0684313" w14:textId="2C202D2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6AE21474" w14:textId="69711EC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2.96</w:t>
            </w:r>
          </w:p>
        </w:tc>
        <w:tc>
          <w:tcPr>
            <w:tcW w:w="1247" w:type="dxa"/>
          </w:tcPr>
          <w:p w14:paraId="7E379D59" w14:textId="33B6FB4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4.70</w:t>
            </w:r>
          </w:p>
        </w:tc>
        <w:tc>
          <w:tcPr>
            <w:tcW w:w="1191" w:type="dxa"/>
          </w:tcPr>
          <w:p w14:paraId="369C5F3C" w14:textId="0DD1DE9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13.72*</w:t>
            </w:r>
          </w:p>
        </w:tc>
        <w:tc>
          <w:tcPr>
            <w:tcW w:w="1110" w:type="dxa"/>
          </w:tcPr>
          <w:p w14:paraId="27FE5D09" w14:textId="4754B82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76.71</w:t>
            </w:r>
          </w:p>
        </w:tc>
        <w:tc>
          <w:tcPr>
            <w:tcW w:w="1248" w:type="dxa"/>
          </w:tcPr>
          <w:p w14:paraId="6443ECBF" w14:textId="182A32C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1.82</w:t>
            </w:r>
          </w:p>
        </w:tc>
        <w:tc>
          <w:tcPr>
            <w:tcW w:w="1099" w:type="dxa"/>
          </w:tcPr>
          <w:p w14:paraId="1CDE4A5C" w14:textId="25E99D2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7.66</w:t>
            </w:r>
          </w:p>
        </w:tc>
        <w:tc>
          <w:tcPr>
            <w:tcW w:w="1191" w:type="dxa"/>
          </w:tcPr>
          <w:p w14:paraId="16D75F46" w14:textId="0E3EE43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90.43</w:t>
            </w:r>
          </w:p>
        </w:tc>
      </w:tr>
      <w:tr w:rsidR="00C6675C" w:rsidRPr="00076997" w14:paraId="3F94675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FFEEE75" w14:textId="77777777" w:rsidR="00C6675C" w:rsidRPr="00076997" w:rsidRDefault="00C6675C" w:rsidP="005649C9">
            <w:pPr>
              <w:pStyle w:val="Tablebody"/>
              <w:rPr>
                <w:rFonts w:cs="Open Sans"/>
                <w:szCs w:val="18"/>
                <w:lang w:val="en-GB"/>
              </w:rPr>
            </w:pPr>
            <w:r w:rsidRPr="00076997">
              <w:rPr>
                <w:rFonts w:cs="Open Sans"/>
                <w:szCs w:val="18"/>
              </w:rPr>
              <w:t>D24</w:t>
            </w:r>
          </w:p>
        </w:tc>
        <w:tc>
          <w:tcPr>
            <w:tcW w:w="4592" w:type="dxa"/>
          </w:tcPr>
          <w:p w14:paraId="620ED6D8"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It’s a woman’s duty to stay in a violent relationship to keep the family together^</w:t>
            </w:r>
          </w:p>
        </w:tc>
        <w:tc>
          <w:tcPr>
            <w:tcW w:w="737" w:type="dxa"/>
          </w:tcPr>
          <w:p w14:paraId="6E54FC3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4D5D1C2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19F06309" w14:textId="39D4B96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2.76</w:t>
            </w:r>
          </w:p>
        </w:tc>
        <w:tc>
          <w:tcPr>
            <w:tcW w:w="1247" w:type="dxa"/>
          </w:tcPr>
          <w:p w14:paraId="3A72F5F4" w14:textId="14AD9C4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2.51</w:t>
            </w:r>
            <w:r w:rsidRPr="00076997">
              <w:rPr>
                <w:rFonts w:cs="Open Sans"/>
                <w:szCs w:val="18"/>
                <w:vertAlign w:val="superscript"/>
              </w:rPr>
              <w:t>c</w:t>
            </w:r>
          </w:p>
        </w:tc>
        <w:tc>
          <w:tcPr>
            <w:tcW w:w="1191" w:type="dxa"/>
          </w:tcPr>
          <w:p w14:paraId="5FA762B7" w14:textId="1B86AA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6.32</w:t>
            </w:r>
          </w:p>
        </w:tc>
        <w:tc>
          <w:tcPr>
            <w:tcW w:w="1110" w:type="dxa"/>
          </w:tcPr>
          <w:p w14:paraId="436247BB" w14:textId="65FBE90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88.03</w:t>
            </w:r>
          </w:p>
        </w:tc>
        <w:tc>
          <w:tcPr>
            <w:tcW w:w="1248" w:type="dxa"/>
          </w:tcPr>
          <w:p w14:paraId="79CEFE4E" w14:textId="1AA83F2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0.39</w:t>
            </w:r>
            <w:r w:rsidRPr="00076997">
              <w:rPr>
                <w:rFonts w:cs="Open Sans"/>
                <w:szCs w:val="18"/>
                <w:vertAlign w:val="superscript"/>
              </w:rPr>
              <w:t>c</w:t>
            </w:r>
          </w:p>
        </w:tc>
        <w:tc>
          <w:tcPr>
            <w:tcW w:w="1099" w:type="dxa"/>
          </w:tcPr>
          <w:p w14:paraId="13C66393" w14:textId="4E4B689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5.27</w:t>
            </w:r>
          </w:p>
        </w:tc>
        <w:tc>
          <w:tcPr>
            <w:tcW w:w="1191" w:type="dxa"/>
          </w:tcPr>
          <w:p w14:paraId="78AA7D43" w14:textId="17E347D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94.35</w:t>
            </w:r>
          </w:p>
        </w:tc>
      </w:tr>
      <w:tr w:rsidR="00C6675C" w:rsidRPr="00076997" w14:paraId="60B182E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A52A240" w14:textId="1D49DA4D" w:rsidR="00C6675C" w:rsidRPr="00076997" w:rsidRDefault="00C6675C" w:rsidP="005649C9">
            <w:pPr>
              <w:pStyle w:val="Tablebody"/>
              <w:rPr>
                <w:rFonts w:cs="Open Sans"/>
                <w:szCs w:val="18"/>
              </w:rPr>
            </w:pPr>
            <w:r w:rsidRPr="00076997">
              <w:rPr>
                <w:rFonts w:cs="Open Sans"/>
                <w:szCs w:val="18"/>
              </w:rPr>
              <w:t>D24</w:t>
            </w:r>
          </w:p>
        </w:tc>
        <w:tc>
          <w:tcPr>
            <w:tcW w:w="4592" w:type="dxa"/>
          </w:tcPr>
          <w:p w14:paraId="1F2717EA" w14:textId="0CFFCDC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It’s a woman’s duty to stay in a violent relationship to</w:t>
            </w:r>
            <w:r>
              <w:rPr>
                <w:rFonts w:cs="Open Sans"/>
                <w:szCs w:val="18"/>
                <w:lang w:val="en-US"/>
              </w:rPr>
              <w:t> </w:t>
            </w:r>
            <w:r w:rsidRPr="00076997">
              <w:rPr>
                <w:rFonts w:cs="Open Sans"/>
                <w:szCs w:val="18"/>
                <w:lang w:val="en-US"/>
              </w:rPr>
              <w:t>keep the family together^</w:t>
            </w:r>
          </w:p>
        </w:tc>
        <w:tc>
          <w:tcPr>
            <w:tcW w:w="737" w:type="dxa"/>
          </w:tcPr>
          <w:p w14:paraId="39CD3B5C" w14:textId="4C851FB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116AF99D" w14:textId="2A1E3E3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4FF6B08F" w14:textId="6546A20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1.87</w:t>
            </w:r>
          </w:p>
        </w:tc>
        <w:tc>
          <w:tcPr>
            <w:tcW w:w="1247" w:type="dxa"/>
          </w:tcPr>
          <w:p w14:paraId="45E04473" w14:textId="61C371C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2.63</w:t>
            </w:r>
          </w:p>
        </w:tc>
        <w:tc>
          <w:tcPr>
            <w:tcW w:w="1191" w:type="dxa"/>
          </w:tcPr>
          <w:p w14:paraId="47AEDC33" w14:textId="21F20F0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4.46</w:t>
            </w:r>
          </w:p>
        </w:tc>
        <w:tc>
          <w:tcPr>
            <w:tcW w:w="1110" w:type="dxa"/>
          </w:tcPr>
          <w:p w14:paraId="1A426400" w14:textId="5E3770E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90.42</w:t>
            </w:r>
          </w:p>
        </w:tc>
        <w:tc>
          <w:tcPr>
            <w:tcW w:w="1248" w:type="dxa"/>
          </w:tcPr>
          <w:p w14:paraId="000314D1" w14:textId="0FF36D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0.60</w:t>
            </w:r>
          </w:p>
        </w:tc>
        <w:tc>
          <w:tcPr>
            <w:tcW w:w="1099" w:type="dxa"/>
          </w:tcPr>
          <w:p w14:paraId="11424DFA" w14:textId="08C2F67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4.50</w:t>
            </w:r>
          </w:p>
        </w:tc>
        <w:tc>
          <w:tcPr>
            <w:tcW w:w="1191" w:type="dxa"/>
          </w:tcPr>
          <w:p w14:paraId="37B61E34" w14:textId="3A76EA2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94.87</w:t>
            </w:r>
          </w:p>
        </w:tc>
      </w:tr>
      <w:tr w:rsidR="00C6675C" w:rsidRPr="00076997" w14:paraId="345771E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2AE18E7" w14:textId="77777777" w:rsidR="00C6675C" w:rsidRPr="00076997" w:rsidRDefault="00C6675C" w:rsidP="005649C9">
            <w:pPr>
              <w:pStyle w:val="Tablebody"/>
              <w:rPr>
                <w:rFonts w:cs="Open Sans"/>
                <w:szCs w:val="18"/>
                <w:lang w:val="en-GB"/>
              </w:rPr>
            </w:pPr>
            <w:r w:rsidRPr="00076997">
              <w:rPr>
                <w:rFonts w:cs="Open Sans"/>
                <w:szCs w:val="18"/>
              </w:rPr>
              <w:t>D25</w:t>
            </w:r>
          </w:p>
        </w:tc>
        <w:tc>
          <w:tcPr>
            <w:tcW w:w="4592" w:type="dxa"/>
          </w:tcPr>
          <w:p w14:paraId="2BFE1E86"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Sometimes a woman can make a man so angry that he hits her when he didn’t mean to^</w:t>
            </w:r>
          </w:p>
        </w:tc>
        <w:tc>
          <w:tcPr>
            <w:tcW w:w="737" w:type="dxa"/>
          </w:tcPr>
          <w:p w14:paraId="4EE5D4E5"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225235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64CEDB36" w14:textId="7183DD7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3.53</w:t>
            </w:r>
          </w:p>
        </w:tc>
        <w:tc>
          <w:tcPr>
            <w:tcW w:w="1247" w:type="dxa"/>
          </w:tcPr>
          <w:p w14:paraId="5198AEAA" w14:textId="051DA65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12.67</w:t>
            </w:r>
          </w:p>
        </w:tc>
        <w:tc>
          <w:tcPr>
            <w:tcW w:w="1191" w:type="dxa"/>
          </w:tcPr>
          <w:p w14:paraId="4630E7CD" w14:textId="22BEBBE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12.28</w:t>
            </w:r>
          </w:p>
        </w:tc>
        <w:tc>
          <w:tcPr>
            <w:tcW w:w="1110" w:type="dxa"/>
          </w:tcPr>
          <w:p w14:paraId="03946033" w14:textId="32B7577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67.83</w:t>
            </w:r>
          </w:p>
        </w:tc>
        <w:tc>
          <w:tcPr>
            <w:tcW w:w="1248" w:type="dxa"/>
          </w:tcPr>
          <w:p w14:paraId="73643310" w14:textId="0C57055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3.33</w:t>
            </w:r>
          </w:p>
        </w:tc>
        <w:tc>
          <w:tcPr>
            <w:tcW w:w="1099" w:type="dxa"/>
          </w:tcPr>
          <w:p w14:paraId="58B508DB" w14:textId="3ED9EB7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16.20</w:t>
            </w:r>
          </w:p>
        </w:tc>
        <w:tc>
          <w:tcPr>
            <w:tcW w:w="1191" w:type="dxa"/>
          </w:tcPr>
          <w:p w14:paraId="07571F46" w14:textId="125C621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80.12</w:t>
            </w:r>
          </w:p>
        </w:tc>
      </w:tr>
      <w:tr w:rsidR="00C6675C" w:rsidRPr="00076997" w14:paraId="79B5F4F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A334923" w14:textId="408A3C78" w:rsidR="00C6675C" w:rsidRPr="00076997" w:rsidRDefault="00C6675C" w:rsidP="005649C9">
            <w:pPr>
              <w:pStyle w:val="Tablebody"/>
              <w:rPr>
                <w:rFonts w:cs="Open Sans"/>
                <w:szCs w:val="18"/>
              </w:rPr>
            </w:pPr>
            <w:r w:rsidRPr="00076997">
              <w:rPr>
                <w:rFonts w:cs="Open Sans"/>
                <w:szCs w:val="18"/>
              </w:rPr>
              <w:t>D25</w:t>
            </w:r>
          </w:p>
        </w:tc>
        <w:tc>
          <w:tcPr>
            <w:tcW w:w="4592" w:type="dxa"/>
          </w:tcPr>
          <w:p w14:paraId="2C89A5F3" w14:textId="25B7251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Sometimes a woman can make a man so angry that he hits her when he didn’t mean to^</w:t>
            </w:r>
          </w:p>
        </w:tc>
        <w:tc>
          <w:tcPr>
            <w:tcW w:w="737" w:type="dxa"/>
          </w:tcPr>
          <w:p w14:paraId="37B013C6" w14:textId="7E15CE2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8F36B1E" w14:textId="2593556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2D615616" w14:textId="203F83E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4.50</w:t>
            </w:r>
          </w:p>
        </w:tc>
        <w:tc>
          <w:tcPr>
            <w:tcW w:w="1247" w:type="dxa"/>
          </w:tcPr>
          <w:p w14:paraId="0A304AF5" w14:textId="3FB496C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14.77</w:t>
            </w:r>
          </w:p>
        </w:tc>
        <w:tc>
          <w:tcPr>
            <w:tcW w:w="1191" w:type="dxa"/>
          </w:tcPr>
          <w:p w14:paraId="79B85EFC" w14:textId="0E082F6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8.16</w:t>
            </w:r>
          </w:p>
        </w:tc>
        <w:tc>
          <w:tcPr>
            <w:tcW w:w="1110" w:type="dxa"/>
          </w:tcPr>
          <w:p w14:paraId="3120DC6A" w14:textId="6B101CB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69.45</w:t>
            </w:r>
          </w:p>
        </w:tc>
        <w:tc>
          <w:tcPr>
            <w:tcW w:w="1248" w:type="dxa"/>
          </w:tcPr>
          <w:p w14:paraId="54B49384" w14:textId="642BB56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2.77</w:t>
            </w:r>
          </w:p>
        </w:tc>
        <w:tc>
          <w:tcPr>
            <w:tcW w:w="1099" w:type="dxa"/>
          </w:tcPr>
          <w:p w14:paraId="2E8C13F5" w14:textId="7BDB57E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19.27</w:t>
            </w:r>
          </w:p>
        </w:tc>
        <w:tc>
          <w:tcPr>
            <w:tcW w:w="1191" w:type="dxa"/>
          </w:tcPr>
          <w:p w14:paraId="4EE67226" w14:textId="28C751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77.61</w:t>
            </w:r>
          </w:p>
        </w:tc>
      </w:tr>
      <w:tr w:rsidR="00C6675C" w:rsidRPr="00076997" w14:paraId="001EFBC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5AFF5B0" w14:textId="77777777" w:rsidR="00C6675C" w:rsidRPr="00076997" w:rsidRDefault="00C6675C" w:rsidP="005649C9">
            <w:pPr>
              <w:pStyle w:val="Tablebody"/>
              <w:rPr>
                <w:rFonts w:cs="Open Sans"/>
                <w:szCs w:val="18"/>
                <w:lang w:val="en-GB"/>
              </w:rPr>
            </w:pPr>
            <w:r w:rsidRPr="00076997">
              <w:rPr>
                <w:rFonts w:cs="Open Sans"/>
                <w:szCs w:val="18"/>
              </w:rPr>
              <w:t>D30</w:t>
            </w:r>
          </w:p>
        </w:tc>
        <w:tc>
          <w:tcPr>
            <w:tcW w:w="4592" w:type="dxa"/>
          </w:tcPr>
          <w:p w14:paraId="0A713EFA"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should keep quiet about domestic violence to protect their family’s reputation</w:t>
            </w:r>
          </w:p>
        </w:tc>
        <w:tc>
          <w:tcPr>
            <w:tcW w:w="737" w:type="dxa"/>
          </w:tcPr>
          <w:p w14:paraId="3589AEB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7E00C7FE"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0CFA78D4" w14:textId="736A5A5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1.07</w:t>
            </w:r>
            <w:r w:rsidRPr="00076997">
              <w:rPr>
                <w:rFonts w:cs="Open Sans"/>
                <w:szCs w:val="18"/>
                <w:vertAlign w:val="superscript"/>
              </w:rPr>
              <w:t>c</w:t>
            </w:r>
          </w:p>
        </w:tc>
        <w:tc>
          <w:tcPr>
            <w:tcW w:w="1247" w:type="dxa"/>
          </w:tcPr>
          <w:p w14:paraId="3A935E33" w14:textId="5DEB563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1.55</w:t>
            </w:r>
          </w:p>
        </w:tc>
        <w:tc>
          <w:tcPr>
            <w:tcW w:w="1191" w:type="dxa"/>
          </w:tcPr>
          <w:p w14:paraId="68ABF832" w14:textId="1D3DD6D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4.91</w:t>
            </w:r>
          </w:p>
        </w:tc>
        <w:tc>
          <w:tcPr>
            <w:tcW w:w="1110" w:type="dxa"/>
          </w:tcPr>
          <w:p w14:paraId="2941A71E" w14:textId="583B69D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92.26</w:t>
            </w:r>
          </w:p>
        </w:tc>
        <w:tc>
          <w:tcPr>
            <w:tcW w:w="1248" w:type="dxa"/>
          </w:tcPr>
          <w:p w14:paraId="73F97968" w14:textId="490B6BF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0.20</w:t>
            </w:r>
            <w:r w:rsidRPr="00076997">
              <w:rPr>
                <w:rFonts w:cs="Open Sans"/>
                <w:szCs w:val="18"/>
                <w:vertAlign w:val="superscript"/>
              </w:rPr>
              <w:t>c</w:t>
            </w:r>
          </w:p>
        </w:tc>
        <w:tc>
          <w:tcPr>
            <w:tcW w:w="1099" w:type="dxa"/>
          </w:tcPr>
          <w:p w14:paraId="3452950A" w14:textId="5875B78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2.62</w:t>
            </w:r>
          </w:p>
        </w:tc>
        <w:tc>
          <w:tcPr>
            <w:tcW w:w="1191" w:type="dxa"/>
          </w:tcPr>
          <w:p w14:paraId="47AE2DC7" w14:textId="22604D4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97.17</w:t>
            </w:r>
          </w:p>
        </w:tc>
      </w:tr>
      <w:tr w:rsidR="00C6675C" w:rsidRPr="00076997" w14:paraId="5B04E47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FBB059E" w14:textId="4E3DC4FB" w:rsidR="00C6675C" w:rsidRPr="00076997" w:rsidRDefault="00C6675C" w:rsidP="005649C9">
            <w:pPr>
              <w:pStyle w:val="Tablebody"/>
              <w:rPr>
                <w:rFonts w:cs="Open Sans"/>
                <w:szCs w:val="18"/>
              </w:rPr>
            </w:pPr>
            <w:r w:rsidRPr="00076997">
              <w:rPr>
                <w:rFonts w:cs="Open Sans"/>
                <w:szCs w:val="18"/>
              </w:rPr>
              <w:t>D30</w:t>
            </w:r>
          </w:p>
        </w:tc>
        <w:tc>
          <w:tcPr>
            <w:tcW w:w="4592" w:type="dxa"/>
          </w:tcPr>
          <w:p w14:paraId="44D36A85" w14:textId="2B52855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should keep quiet about domestic violence to protect their family’s reputation</w:t>
            </w:r>
          </w:p>
        </w:tc>
        <w:tc>
          <w:tcPr>
            <w:tcW w:w="737" w:type="dxa"/>
          </w:tcPr>
          <w:p w14:paraId="7DAA4E59" w14:textId="17D221B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098CAAF7" w14:textId="73642B6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7487784E" w14:textId="64E27BB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0.83</w:t>
            </w:r>
          </w:p>
        </w:tc>
        <w:tc>
          <w:tcPr>
            <w:tcW w:w="1247" w:type="dxa"/>
          </w:tcPr>
          <w:p w14:paraId="0C1F397B" w14:textId="5FB0FF3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1.23</w:t>
            </w:r>
          </w:p>
        </w:tc>
        <w:tc>
          <w:tcPr>
            <w:tcW w:w="1191" w:type="dxa"/>
          </w:tcPr>
          <w:p w14:paraId="24ECE1F3" w14:textId="243B8B6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4.74</w:t>
            </w:r>
          </w:p>
        </w:tc>
        <w:tc>
          <w:tcPr>
            <w:tcW w:w="1110" w:type="dxa"/>
          </w:tcPr>
          <w:p w14:paraId="2EA4FEF2" w14:textId="1B5F4DD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92.69</w:t>
            </w:r>
          </w:p>
        </w:tc>
        <w:tc>
          <w:tcPr>
            <w:tcW w:w="1248" w:type="dxa"/>
          </w:tcPr>
          <w:p w14:paraId="0AD55153" w14:textId="323970F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0.46</w:t>
            </w:r>
          </w:p>
        </w:tc>
        <w:tc>
          <w:tcPr>
            <w:tcW w:w="1099" w:type="dxa"/>
          </w:tcPr>
          <w:p w14:paraId="349D949A" w14:textId="60AFA15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2.06</w:t>
            </w:r>
          </w:p>
        </w:tc>
        <w:tc>
          <w:tcPr>
            <w:tcW w:w="1191" w:type="dxa"/>
          </w:tcPr>
          <w:p w14:paraId="1C5A9B4F" w14:textId="4CCDC99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97.44</w:t>
            </w:r>
          </w:p>
        </w:tc>
      </w:tr>
      <w:tr w:rsidR="00C6675C" w:rsidRPr="00076997" w14:paraId="6E5025D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F19E310" w14:textId="77777777" w:rsidR="00C6675C" w:rsidRPr="00076997" w:rsidRDefault="00C6675C" w:rsidP="005649C9">
            <w:pPr>
              <w:pStyle w:val="Tablebody"/>
              <w:rPr>
                <w:rFonts w:cs="Open Sans"/>
                <w:szCs w:val="18"/>
                <w:lang w:val="en-GB"/>
              </w:rPr>
            </w:pPr>
            <w:r w:rsidRPr="00076997">
              <w:rPr>
                <w:rFonts w:cs="Open Sans"/>
                <w:szCs w:val="18"/>
              </w:rPr>
              <w:t>D31</w:t>
            </w:r>
          </w:p>
        </w:tc>
        <w:tc>
          <w:tcPr>
            <w:tcW w:w="4592" w:type="dxa"/>
          </w:tcPr>
          <w:p w14:paraId="3F289CA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who stay in abusive relationships deserve less help from counselling and support services than women who leave their abusive partner^</w:t>
            </w:r>
          </w:p>
        </w:tc>
        <w:tc>
          <w:tcPr>
            <w:tcW w:w="737" w:type="dxa"/>
          </w:tcPr>
          <w:p w14:paraId="140E8338"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BCCB8F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666AB0FF" w14:textId="496CF11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2.10</w:t>
            </w:r>
            <w:r w:rsidRPr="00076997">
              <w:rPr>
                <w:rFonts w:cs="Open Sans"/>
                <w:szCs w:val="18"/>
                <w:vertAlign w:val="superscript"/>
              </w:rPr>
              <w:t>c</w:t>
            </w:r>
          </w:p>
        </w:tc>
        <w:tc>
          <w:tcPr>
            <w:tcW w:w="1247" w:type="dxa"/>
          </w:tcPr>
          <w:p w14:paraId="0ED718F6" w14:textId="173798B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3.71</w:t>
            </w:r>
          </w:p>
        </w:tc>
        <w:tc>
          <w:tcPr>
            <w:tcW w:w="1191" w:type="dxa"/>
          </w:tcPr>
          <w:p w14:paraId="33E60F9B" w14:textId="3E37345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7.77</w:t>
            </w:r>
          </w:p>
        </w:tc>
        <w:tc>
          <w:tcPr>
            <w:tcW w:w="1110" w:type="dxa"/>
          </w:tcPr>
          <w:p w14:paraId="1B451534" w14:textId="457973D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84.70</w:t>
            </w:r>
          </w:p>
        </w:tc>
        <w:tc>
          <w:tcPr>
            <w:tcW w:w="1248" w:type="dxa"/>
          </w:tcPr>
          <w:p w14:paraId="144C44CD" w14:textId="563A1D8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1.64</w:t>
            </w:r>
            <w:r w:rsidRPr="00076997">
              <w:rPr>
                <w:rFonts w:cs="Open Sans"/>
                <w:szCs w:val="18"/>
                <w:vertAlign w:val="superscript"/>
              </w:rPr>
              <w:t>c</w:t>
            </w:r>
          </w:p>
        </w:tc>
        <w:tc>
          <w:tcPr>
            <w:tcW w:w="1099" w:type="dxa"/>
          </w:tcPr>
          <w:p w14:paraId="6844640C" w14:textId="7EBF9B6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5.81</w:t>
            </w:r>
          </w:p>
        </w:tc>
        <w:tc>
          <w:tcPr>
            <w:tcW w:w="1191" w:type="dxa"/>
          </w:tcPr>
          <w:p w14:paraId="1745DD86" w14:textId="71B8D42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92.47</w:t>
            </w:r>
          </w:p>
        </w:tc>
      </w:tr>
      <w:tr w:rsidR="00C6675C" w:rsidRPr="00076997" w14:paraId="0A26C5C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9F0CEDA" w14:textId="7E611919" w:rsidR="00C6675C" w:rsidRPr="00076997" w:rsidRDefault="00C6675C" w:rsidP="005649C9">
            <w:pPr>
              <w:pStyle w:val="Tablebody"/>
              <w:rPr>
                <w:rFonts w:cs="Open Sans"/>
                <w:szCs w:val="18"/>
              </w:rPr>
            </w:pPr>
            <w:r w:rsidRPr="00076997">
              <w:rPr>
                <w:rFonts w:cs="Open Sans"/>
                <w:szCs w:val="18"/>
              </w:rPr>
              <w:t>D31</w:t>
            </w:r>
          </w:p>
        </w:tc>
        <w:tc>
          <w:tcPr>
            <w:tcW w:w="4592" w:type="dxa"/>
          </w:tcPr>
          <w:p w14:paraId="463C4E99" w14:textId="134E5BF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who stay in abusive relationships deserve less help from counselling and support services than women who leave their abusive partner^</w:t>
            </w:r>
          </w:p>
        </w:tc>
        <w:tc>
          <w:tcPr>
            <w:tcW w:w="737" w:type="dxa"/>
          </w:tcPr>
          <w:p w14:paraId="12A00F6A" w14:textId="402A491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17C0218" w14:textId="314248E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2D69091E" w14:textId="56F3881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2.90</w:t>
            </w:r>
          </w:p>
        </w:tc>
        <w:tc>
          <w:tcPr>
            <w:tcW w:w="1247" w:type="dxa"/>
          </w:tcPr>
          <w:p w14:paraId="318F98CB" w14:textId="57B8500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3.39</w:t>
            </w:r>
          </w:p>
        </w:tc>
        <w:tc>
          <w:tcPr>
            <w:tcW w:w="1191" w:type="dxa"/>
          </w:tcPr>
          <w:p w14:paraId="6CE575DD" w14:textId="54E280B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7.22</w:t>
            </w:r>
          </w:p>
        </w:tc>
        <w:tc>
          <w:tcPr>
            <w:tcW w:w="1110" w:type="dxa"/>
          </w:tcPr>
          <w:p w14:paraId="39E7A27C" w14:textId="1071EA5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84.01</w:t>
            </w:r>
          </w:p>
        </w:tc>
        <w:tc>
          <w:tcPr>
            <w:tcW w:w="1248" w:type="dxa"/>
          </w:tcPr>
          <w:p w14:paraId="06514AFD" w14:textId="7D36F17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2.34</w:t>
            </w:r>
          </w:p>
        </w:tc>
        <w:tc>
          <w:tcPr>
            <w:tcW w:w="1099" w:type="dxa"/>
          </w:tcPr>
          <w:p w14:paraId="77B67A83" w14:textId="3FDABD2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6.28</w:t>
            </w:r>
          </w:p>
        </w:tc>
        <w:tc>
          <w:tcPr>
            <w:tcW w:w="1191" w:type="dxa"/>
          </w:tcPr>
          <w:p w14:paraId="2E86F30B" w14:textId="4598118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91.23</w:t>
            </w:r>
          </w:p>
        </w:tc>
      </w:tr>
      <w:tr w:rsidR="00C6675C" w:rsidRPr="00076997" w14:paraId="437F9B0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1EC5190" w14:textId="77777777" w:rsidR="00C6675C" w:rsidRPr="00076997" w:rsidRDefault="00C6675C" w:rsidP="005649C9">
            <w:pPr>
              <w:pStyle w:val="Tablebody"/>
              <w:rPr>
                <w:rFonts w:cs="Open Sans"/>
                <w:szCs w:val="18"/>
                <w:lang w:val="en-GB"/>
              </w:rPr>
            </w:pPr>
            <w:r w:rsidRPr="00076997">
              <w:rPr>
                <w:rFonts w:cs="Open Sans"/>
                <w:szCs w:val="18"/>
              </w:rPr>
              <w:t>D32</w:t>
            </w:r>
          </w:p>
        </w:tc>
        <w:tc>
          <w:tcPr>
            <w:tcW w:w="4592" w:type="dxa"/>
          </w:tcPr>
          <w:p w14:paraId="2201DCF4"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It’s acceptable for police to give lower priority to domestic violence cases they’ve attended many times before^</w:t>
            </w:r>
          </w:p>
        </w:tc>
        <w:tc>
          <w:tcPr>
            <w:tcW w:w="737" w:type="dxa"/>
          </w:tcPr>
          <w:p w14:paraId="3C8635BD"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3C856E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62791B64" w14:textId="3653AB8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3.36</w:t>
            </w:r>
          </w:p>
        </w:tc>
        <w:tc>
          <w:tcPr>
            <w:tcW w:w="1247" w:type="dxa"/>
          </w:tcPr>
          <w:p w14:paraId="794622C2" w14:textId="4949A7B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7.60</w:t>
            </w:r>
          </w:p>
        </w:tc>
        <w:tc>
          <w:tcPr>
            <w:tcW w:w="1191" w:type="dxa"/>
          </w:tcPr>
          <w:p w14:paraId="14630B1A" w14:textId="0063018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14.89</w:t>
            </w:r>
          </w:p>
        </w:tc>
        <w:tc>
          <w:tcPr>
            <w:tcW w:w="1110" w:type="dxa"/>
          </w:tcPr>
          <w:p w14:paraId="3F648AFB" w14:textId="6C7CB91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71.83</w:t>
            </w:r>
          </w:p>
        </w:tc>
        <w:tc>
          <w:tcPr>
            <w:tcW w:w="1248" w:type="dxa"/>
          </w:tcPr>
          <w:p w14:paraId="6F35B47B" w14:textId="0E8B975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2.20</w:t>
            </w:r>
            <w:r w:rsidRPr="00076997">
              <w:rPr>
                <w:rFonts w:cs="Open Sans"/>
                <w:szCs w:val="18"/>
                <w:vertAlign w:val="superscript"/>
              </w:rPr>
              <w:t>c</w:t>
            </w:r>
          </w:p>
        </w:tc>
        <w:tc>
          <w:tcPr>
            <w:tcW w:w="1099" w:type="dxa"/>
          </w:tcPr>
          <w:p w14:paraId="5F1C6CE7" w14:textId="19C0D53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10.95</w:t>
            </w:r>
          </w:p>
        </w:tc>
        <w:tc>
          <w:tcPr>
            <w:tcW w:w="1191" w:type="dxa"/>
          </w:tcPr>
          <w:p w14:paraId="46804FBB" w14:textId="28332EE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86.73</w:t>
            </w:r>
          </w:p>
        </w:tc>
      </w:tr>
      <w:tr w:rsidR="00C6675C" w:rsidRPr="00076997" w14:paraId="7861FA8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73DAF0F" w14:textId="67125995" w:rsidR="00C6675C" w:rsidRPr="00076997" w:rsidRDefault="00C6675C" w:rsidP="005649C9">
            <w:pPr>
              <w:pStyle w:val="Tablebody"/>
              <w:rPr>
                <w:rFonts w:cs="Open Sans"/>
                <w:szCs w:val="18"/>
              </w:rPr>
            </w:pPr>
            <w:r w:rsidRPr="00076997">
              <w:rPr>
                <w:rFonts w:cs="Open Sans"/>
                <w:szCs w:val="18"/>
              </w:rPr>
              <w:t>D32</w:t>
            </w:r>
          </w:p>
        </w:tc>
        <w:tc>
          <w:tcPr>
            <w:tcW w:w="4592" w:type="dxa"/>
          </w:tcPr>
          <w:p w14:paraId="347197FC" w14:textId="7380CD5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It’s acceptable for police to give lower priority to domestic violence cases they’ve attended many times before^</w:t>
            </w:r>
          </w:p>
        </w:tc>
        <w:tc>
          <w:tcPr>
            <w:tcW w:w="737" w:type="dxa"/>
          </w:tcPr>
          <w:p w14:paraId="04E0679B" w14:textId="2F51748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FF35C9B" w14:textId="62F0C35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26348219" w14:textId="498318C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4.12</w:t>
            </w:r>
          </w:p>
        </w:tc>
        <w:tc>
          <w:tcPr>
            <w:tcW w:w="1247" w:type="dxa"/>
          </w:tcPr>
          <w:p w14:paraId="476FC01D" w14:textId="455A764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4.83</w:t>
            </w:r>
          </w:p>
        </w:tc>
        <w:tc>
          <w:tcPr>
            <w:tcW w:w="1191" w:type="dxa"/>
          </w:tcPr>
          <w:p w14:paraId="2529F9DE" w14:textId="3A77DEB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10.63</w:t>
            </w:r>
          </w:p>
        </w:tc>
        <w:tc>
          <w:tcPr>
            <w:tcW w:w="1110" w:type="dxa"/>
          </w:tcPr>
          <w:p w14:paraId="5663919D" w14:textId="23A85F1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78.20</w:t>
            </w:r>
          </w:p>
        </w:tc>
        <w:tc>
          <w:tcPr>
            <w:tcW w:w="1248" w:type="dxa"/>
          </w:tcPr>
          <w:p w14:paraId="44D61751" w14:textId="0D55915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2.09</w:t>
            </w:r>
          </w:p>
        </w:tc>
        <w:tc>
          <w:tcPr>
            <w:tcW w:w="1099" w:type="dxa"/>
          </w:tcPr>
          <w:p w14:paraId="64494BC0" w14:textId="26B553C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8.95</w:t>
            </w:r>
          </w:p>
        </w:tc>
        <w:tc>
          <w:tcPr>
            <w:tcW w:w="1191" w:type="dxa"/>
          </w:tcPr>
          <w:p w14:paraId="6AEBEFF8" w14:textId="155ADFD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88.83</w:t>
            </w:r>
          </w:p>
        </w:tc>
      </w:tr>
      <w:tr w:rsidR="00C6675C" w:rsidRPr="00076997" w14:paraId="0201384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0BA3C04" w14:textId="77777777" w:rsidR="00C6675C" w:rsidRPr="00076997" w:rsidRDefault="00C6675C" w:rsidP="005649C9">
            <w:pPr>
              <w:pStyle w:val="Tablebody"/>
              <w:rPr>
                <w:rFonts w:cs="Open Sans"/>
                <w:szCs w:val="18"/>
                <w:lang w:val="en-GB"/>
              </w:rPr>
            </w:pPr>
            <w:r w:rsidRPr="00076997">
              <w:rPr>
                <w:rFonts w:cs="Open Sans"/>
                <w:szCs w:val="18"/>
              </w:rPr>
              <w:t>S9</w:t>
            </w:r>
          </w:p>
        </w:tc>
        <w:tc>
          <w:tcPr>
            <w:tcW w:w="4592" w:type="dxa"/>
          </w:tcPr>
          <w:p w14:paraId="439D473C"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who are sexually harassed should deal with it themselves rather than report it^</w:t>
            </w:r>
          </w:p>
        </w:tc>
        <w:tc>
          <w:tcPr>
            <w:tcW w:w="737" w:type="dxa"/>
          </w:tcPr>
          <w:p w14:paraId="03C2A43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5D22762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6DA5550A" w14:textId="4C969F6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0.69</w:t>
            </w:r>
            <w:r w:rsidRPr="00076997">
              <w:rPr>
                <w:rFonts w:cs="Open Sans"/>
                <w:szCs w:val="18"/>
                <w:vertAlign w:val="superscript"/>
              </w:rPr>
              <w:t>c</w:t>
            </w:r>
          </w:p>
        </w:tc>
        <w:tc>
          <w:tcPr>
            <w:tcW w:w="1247" w:type="dxa"/>
          </w:tcPr>
          <w:p w14:paraId="2629B6F2" w14:textId="10B360D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1.59</w:t>
            </w:r>
            <w:r w:rsidRPr="00076997">
              <w:rPr>
                <w:rFonts w:cs="Open Sans"/>
                <w:szCs w:val="18"/>
                <w:vertAlign w:val="superscript"/>
              </w:rPr>
              <w:t>c</w:t>
            </w:r>
          </w:p>
        </w:tc>
        <w:tc>
          <w:tcPr>
            <w:tcW w:w="1191" w:type="dxa"/>
          </w:tcPr>
          <w:p w14:paraId="4DE3E108" w14:textId="4C7579C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8.26</w:t>
            </w:r>
          </w:p>
        </w:tc>
        <w:tc>
          <w:tcPr>
            <w:tcW w:w="1110" w:type="dxa"/>
          </w:tcPr>
          <w:p w14:paraId="4B4D9C74" w14:textId="24F0810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88.15</w:t>
            </w:r>
          </w:p>
        </w:tc>
        <w:tc>
          <w:tcPr>
            <w:tcW w:w="1248" w:type="dxa"/>
          </w:tcPr>
          <w:p w14:paraId="406D6C7B" w14:textId="1C3AA40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1.30</w:t>
            </w:r>
            <w:r w:rsidRPr="00076997">
              <w:rPr>
                <w:rFonts w:cs="Open Sans"/>
                <w:szCs w:val="18"/>
                <w:vertAlign w:val="superscript"/>
              </w:rPr>
              <w:t>c</w:t>
            </w:r>
          </w:p>
        </w:tc>
        <w:tc>
          <w:tcPr>
            <w:tcW w:w="1099" w:type="dxa"/>
          </w:tcPr>
          <w:p w14:paraId="09BA7E0D" w14:textId="0A83799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2.28</w:t>
            </w:r>
          </w:p>
        </w:tc>
        <w:tc>
          <w:tcPr>
            <w:tcW w:w="1191" w:type="dxa"/>
          </w:tcPr>
          <w:p w14:paraId="6E670A40" w14:textId="70403CF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96.42</w:t>
            </w:r>
          </w:p>
        </w:tc>
      </w:tr>
      <w:tr w:rsidR="00C6675C" w:rsidRPr="00076997" w14:paraId="05D7952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D063DA8" w14:textId="28CEF9DE" w:rsidR="00C6675C" w:rsidRPr="00076997" w:rsidRDefault="00C6675C" w:rsidP="005649C9">
            <w:pPr>
              <w:pStyle w:val="Tablebody"/>
              <w:rPr>
                <w:rFonts w:cs="Open Sans"/>
                <w:szCs w:val="18"/>
              </w:rPr>
            </w:pPr>
            <w:r w:rsidRPr="00076997">
              <w:rPr>
                <w:rFonts w:cs="Open Sans"/>
                <w:szCs w:val="18"/>
              </w:rPr>
              <w:lastRenderedPageBreak/>
              <w:t>S9</w:t>
            </w:r>
          </w:p>
        </w:tc>
        <w:tc>
          <w:tcPr>
            <w:tcW w:w="4592" w:type="dxa"/>
          </w:tcPr>
          <w:p w14:paraId="63781378" w14:textId="2F27958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who are sexually harassed should deal with it themselves rather than report it^</w:t>
            </w:r>
          </w:p>
        </w:tc>
        <w:tc>
          <w:tcPr>
            <w:tcW w:w="737" w:type="dxa"/>
          </w:tcPr>
          <w:p w14:paraId="108FE0B4" w14:textId="1C9FF33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AAC0166" w14:textId="3F41A3E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33BEA61C" w14:textId="543892A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2.24</w:t>
            </w:r>
          </w:p>
        </w:tc>
        <w:tc>
          <w:tcPr>
            <w:tcW w:w="1247" w:type="dxa"/>
          </w:tcPr>
          <w:p w14:paraId="33F743FC" w14:textId="195E048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3.23</w:t>
            </w:r>
          </w:p>
        </w:tc>
        <w:tc>
          <w:tcPr>
            <w:tcW w:w="1191" w:type="dxa"/>
          </w:tcPr>
          <w:p w14:paraId="2FF7DCC9" w14:textId="46E17BC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8.72</w:t>
            </w:r>
          </w:p>
        </w:tc>
        <w:tc>
          <w:tcPr>
            <w:tcW w:w="1110" w:type="dxa"/>
          </w:tcPr>
          <w:p w14:paraId="52DDD460" w14:textId="5357348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84.11</w:t>
            </w:r>
          </w:p>
        </w:tc>
        <w:tc>
          <w:tcPr>
            <w:tcW w:w="1248" w:type="dxa"/>
          </w:tcPr>
          <w:p w14:paraId="23293A0C" w14:textId="5385E1D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1.55</w:t>
            </w:r>
          </w:p>
        </w:tc>
        <w:tc>
          <w:tcPr>
            <w:tcW w:w="1099" w:type="dxa"/>
          </w:tcPr>
          <w:p w14:paraId="7FA4A9A9" w14:textId="5236296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5.47</w:t>
            </w:r>
          </w:p>
        </w:tc>
        <w:tc>
          <w:tcPr>
            <w:tcW w:w="1191" w:type="dxa"/>
          </w:tcPr>
          <w:p w14:paraId="6B0DA749" w14:textId="02DE6F7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92.83</w:t>
            </w:r>
          </w:p>
        </w:tc>
      </w:tr>
      <w:tr w:rsidR="00C6675C" w:rsidRPr="00076997" w14:paraId="730B950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E727190" w14:textId="77777777" w:rsidR="00C6675C" w:rsidRPr="00076997" w:rsidRDefault="00C6675C" w:rsidP="005649C9">
            <w:pPr>
              <w:pStyle w:val="Tablebody"/>
              <w:rPr>
                <w:rFonts w:cs="Open Sans"/>
                <w:szCs w:val="18"/>
                <w:lang w:val="en-GB"/>
              </w:rPr>
            </w:pPr>
            <w:r w:rsidRPr="00076997">
              <w:rPr>
                <w:rFonts w:cs="Open Sans"/>
                <w:szCs w:val="18"/>
              </w:rPr>
              <w:t>S19</w:t>
            </w:r>
          </w:p>
        </w:tc>
        <w:tc>
          <w:tcPr>
            <w:tcW w:w="4592" w:type="dxa"/>
          </w:tcPr>
          <w:p w14:paraId="177B8B90" w14:textId="41C91AC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A man is less responsible for rape if he is drunk or</w:t>
            </w:r>
            <w:r>
              <w:rPr>
                <w:rFonts w:cs="Open Sans"/>
                <w:szCs w:val="18"/>
                <w:lang w:val="en-US"/>
              </w:rPr>
              <w:t> </w:t>
            </w:r>
            <w:r w:rsidRPr="00076997">
              <w:rPr>
                <w:rFonts w:cs="Open Sans"/>
                <w:szCs w:val="18"/>
                <w:lang w:val="en-US"/>
              </w:rPr>
              <w:t>affected by drugs at the time^</w:t>
            </w:r>
          </w:p>
        </w:tc>
        <w:tc>
          <w:tcPr>
            <w:tcW w:w="737" w:type="dxa"/>
          </w:tcPr>
          <w:p w14:paraId="79A5DC84"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B099F8C"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46A8C86C" w14:textId="0C04BD3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5.20</w:t>
            </w:r>
          </w:p>
        </w:tc>
        <w:tc>
          <w:tcPr>
            <w:tcW w:w="1247" w:type="dxa"/>
          </w:tcPr>
          <w:p w14:paraId="133E6AA5" w14:textId="09D0566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3.54</w:t>
            </w:r>
          </w:p>
        </w:tc>
        <w:tc>
          <w:tcPr>
            <w:tcW w:w="1191" w:type="dxa"/>
          </w:tcPr>
          <w:p w14:paraId="4D90DD3F" w14:textId="5ADCCA7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9.58*</w:t>
            </w:r>
          </w:p>
        </w:tc>
        <w:tc>
          <w:tcPr>
            <w:tcW w:w="1110" w:type="dxa"/>
          </w:tcPr>
          <w:p w14:paraId="00BEFA3E" w14:textId="1F9CBBC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80.91*</w:t>
            </w:r>
          </w:p>
        </w:tc>
        <w:tc>
          <w:tcPr>
            <w:tcW w:w="1248" w:type="dxa"/>
          </w:tcPr>
          <w:p w14:paraId="50A41D46" w14:textId="395D01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0.54</w:t>
            </w:r>
            <w:r w:rsidRPr="00076997">
              <w:rPr>
                <w:rFonts w:cs="Open Sans"/>
                <w:szCs w:val="18"/>
                <w:vertAlign w:val="superscript"/>
              </w:rPr>
              <w:t>c</w:t>
            </w:r>
          </w:p>
        </w:tc>
        <w:tc>
          <w:tcPr>
            <w:tcW w:w="1099" w:type="dxa"/>
          </w:tcPr>
          <w:p w14:paraId="0A65BEB6" w14:textId="07F12EB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8.74</w:t>
            </w:r>
          </w:p>
        </w:tc>
        <w:tc>
          <w:tcPr>
            <w:tcW w:w="1191" w:type="dxa"/>
          </w:tcPr>
          <w:p w14:paraId="713756D8" w14:textId="68B9FFE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90.49</w:t>
            </w:r>
          </w:p>
        </w:tc>
      </w:tr>
      <w:tr w:rsidR="00C6675C" w:rsidRPr="00076997" w14:paraId="26C9B73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BF02EF8" w14:textId="2C2337B8" w:rsidR="00C6675C" w:rsidRPr="00076997" w:rsidRDefault="00C6675C" w:rsidP="005649C9">
            <w:pPr>
              <w:pStyle w:val="Tablebody"/>
              <w:rPr>
                <w:rFonts w:cs="Open Sans"/>
                <w:szCs w:val="18"/>
              </w:rPr>
            </w:pPr>
            <w:r w:rsidRPr="00076997">
              <w:rPr>
                <w:rFonts w:cs="Open Sans"/>
                <w:szCs w:val="18"/>
              </w:rPr>
              <w:t>S19</w:t>
            </w:r>
          </w:p>
        </w:tc>
        <w:tc>
          <w:tcPr>
            <w:tcW w:w="4592" w:type="dxa"/>
          </w:tcPr>
          <w:p w14:paraId="0846B165" w14:textId="57800EA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A man is less responsible for rape if he is drunk or</w:t>
            </w:r>
            <w:r>
              <w:rPr>
                <w:rFonts w:cs="Open Sans"/>
                <w:szCs w:val="18"/>
                <w:lang w:val="en-US"/>
              </w:rPr>
              <w:t> </w:t>
            </w:r>
            <w:r w:rsidRPr="00076997">
              <w:rPr>
                <w:rFonts w:cs="Open Sans"/>
                <w:szCs w:val="18"/>
                <w:lang w:val="en-US"/>
              </w:rPr>
              <w:t>affected by drugs at the time^</w:t>
            </w:r>
          </w:p>
        </w:tc>
        <w:tc>
          <w:tcPr>
            <w:tcW w:w="737" w:type="dxa"/>
          </w:tcPr>
          <w:p w14:paraId="1B10263E" w14:textId="66BE8A9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5597D4FD" w14:textId="36D8652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3CD2DE27" w14:textId="26AC706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3.05</w:t>
            </w:r>
          </w:p>
        </w:tc>
        <w:tc>
          <w:tcPr>
            <w:tcW w:w="1247" w:type="dxa"/>
          </w:tcPr>
          <w:p w14:paraId="00A15BC2" w14:textId="4060782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2.13</w:t>
            </w:r>
          </w:p>
        </w:tc>
        <w:tc>
          <w:tcPr>
            <w:tcW w:w="1191" w:type="dxa"/>
          </w:tcPr>
          <w:p w14:paraId="4949CFEF" w14:textId="4FEE697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rPr>
              <w:t>4.24*</w:t>
            </w:r>
          </w:p>
        </w:tc>
        <w:tc>
          <w:tcPr>
            <w:tcW w:w="1110" w:type="dxa"/>
          </w:tcPr>
          <w:p w14:paraId="2FBACEFB" w14:textId="08514A1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lang w:val="en-US"/>
              </w:rPr>
              <w:t>89.72</w:t>
            </w:r>
            <w:r w:rsidRPr="00076997">
              <w:rPr>
                <w:rFonts w:cs="Open Sans"/>
                <w:szCs w:val="18"/>
              </w:rPr>
              <w:t>*</w:t>
            </w:r>
          </w:p>
        </w:tc>
        <w:tc>
          <w:tcPr>
            <w:tcW w:w="1248" w:type="dxa"/>
          </w:tcPr>
          <w:p w14:paraId="2CA3393E" w14:textId="3193DC8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0.56</w:t>
            </w:r>
          </w:p>
        </w:tc>
        <w:tc>
          <w:tcPr>
            <w:tcW w:w="1099" w:type="dxa"/>
          </w:tcPr>
          <w:p w14:paraId="0CD7D2FF" w14:textId="107FD2C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5.18</w:t>
            </w:r>
          </w:p>
        </w:tc>
        <w:tc>
          <w:tcPr>
            <w:tcW w:w="1191" w:type="dxa"/>
          </w:tcPr>
          <w:p w14:paraId="4EC64173" w14:textId="12C6DF5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93.96</w:t>
            </w:r>
          </w:p>
        </w:tc>
      </w:tr>
      <w:tr w:rsidR="00C6675C" w:rsidRPr="00076997" w14:paraId="6987FA4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6C5C2CF" w14:textId="77777777" w:rsidR="00C6675C" w:rsidRPr="00076997" w:rsidRDefault="00C6675C" w:rsidP="005649C9">
            <w:pPr>
              <w:pStyle w:val="Tablebody"/>
              <w:rPr>
                <w:rFonts w:cs="Open Sans"/>
                <w:szCs w:val="18"/>
                <w:lang w:val="en-GB"/>
              </w:rPr>
            </w:pPr>
            <w:r w:rsidRPr="00076997">
              <w:rPr>
                <w:rFonts w:cs="Open Sans"/>
                <w:szCs w:val="18"/>
              </w:rPr>
              <w:t>V8</w:t>
            </w:r>
          </w:p>
        </w:tc>
        <w:tc>
          <w:tcPr>
            <w:tcW w:w="4592" w:type="dxa"/>
          </w:tcPr>
          <w:p w14:paraId="3BCF32E6"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It’s only really stalking if it’s by a stranger^</w:t>
            </w:r>
          </w:p>
        </w:tc>
        <w:tc>
          <w:tcPr>
            <w:tcW w:w="737" w:type="dxa"/>
          </w:tcPr>
          <w:p w14:paraId="16E08822"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3ED34D61"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49E2CF0B" w14:textId="31C5DF7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1.45</w:t>
            </w:r>
            <w:r w:rsidRPr="00076997">
              <w:rPr>
                <w:rFonts w:cs="Open Sans"/>
                <w:szCs w:val="18"/>
                <w:vertAlign w:val="superscript"/>
              </w:rPr>
              <w:t>c</w:t>
            </w:r>
          </w:p>
        </w:tc>
        <w:tc>
          <w:tcPr>
            <w:tcW w:w="1247" w:type="dxa"/>
          </w:tcPr>
          <w:p w14:paraId="7D5ACB9A" w14:textId="12710C8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3.10</w:t>
            </w:r>
          </w:p>
        </w:tc>
        <w:tc>
          <w:tcPr>
            <w:tcW w:w="1191" w:type="dxa"/>
          </w:tcPr>
          <w:p w14:paraId="38574CB2" w14:textId="61AB83E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6.49</w:t>
            </w:r>
          </w:p>
        </w:tc>
        <w:tc>
          <w:tcPr>
            <w:tcW w:w="1110" w:type="dxa"/>
          </w:tcPr>
          <w:p w14:paraId="3751BFB4" w14:textId="3C9A2E8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88.08</w:t>
            </w:r>
          </w:p>
        </w:tc>
        <w:tc>
          <w:tcPr>
            <w:tcW w:w="1248" w:type="dxa"/>
          </w:tcPr>
          <w:p w14:paraId="2B5C2F41" w14:textId="429A6D3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0.75</w:t>
            </w:r>
            <w:r w:rsidRPr="00076997">
              <w:rPr>
                <w:rFonts w:cs="Open Sans"/>
                <w:szCs w:val="18"/>
                <w:vertAlign w:val="superscript"/>
              </w:rPr>
              <w:t>c</w:t>
            </w:r>
          </w:p>
        </w:tc>
        <w:tc>
          <w:tcPr>
            <w:tcW w:w="1099" w:type="dxa"/>
          </w:tcPr>
          <w:p w14:paraId="7669A5FA" w14:textId="13A7723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4.55</w:t>
            </w:r>
          </w:p>
        </w:tc>
        <w:tc>
          <w:tcPr>
            <w:tcW w:w="1191" w:type="dxa"/>
          </w:tcPr>
          <w:p w14:paraId="09750686" w14:textId="2D2399B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94.57</w:t>
            </w:r>
          </w:p>
        </w:tc>
      </w:tr>
      <w:tr w:rsidR="00C6675C" w:rsidRPr="00076997" w14:paraId="03EBBCD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0328457" w14:textId="2C010DC0" w:rsidR="00C6675C" w:rsidRPr="00076997" w:rsidRDefault="00C6675C" w:rsidP="005649C9">
            <w:pPr>
              <w:pStyle w:val="Tablebody"/>
              <w:rPr>
                <w:rFonts w:cs="Open Sans"/>
                <w:szCs w:val="18"/>
              </w:rPr>
            </w:pPr>
            <w:r w:rsidRPr="00076997">
              <w:rPr>
                <w:rFonts w:cs="Open Sans"/>
                <w:szCs w:val="18"/>
              </w:rPr>
              <w:t>V8</w:t>
            </w:r>
          </w:p>
        </w:tc>
        <w:tc>
          <w:tcPr>
            <w:tcW w:w="4592" w:type="dxa"/>
          </w:tcPr>
          <w:p w14:paraId="4D0BC1DD" w14:textId="1825DD4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It’s only really stalking if it’s by a stranger^</w:t>
            </w:r>
          </w:p>
        </w:tc>
        <w:tc>
          <w:tcPr>
            <w:tcW w:w="737" w:type="dxa"/>
          </w:tcPr>
          <w:p w14:paraId="57192755" w14:textId="7FA5D80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B06BEDE" w14:textId="185EA24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4CD5466E" w14:textId="0185185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1.71</w:t>
            </w:r>
          </w:p>
        </w:tc>
        <w:tc>
          <w:tcPr>
            <w:tcW w:w="1247" w:type="dxa"/>
          </w:tcPr>
          <w:p w14:paraId="2CFBC680" w14:textId="6A03E6E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1.92</w:t>
            </w:r>
          </w:p>
        </w:tc>
        <w:tc>
          <w:tcPr>
            <w:tcW w:w="1191" w:type="dxa"/>
          </w:tcPr>
          <w:p w14:paraId="51FADC7D" w14:textId="32BDD3D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6.77</w:t>
            </w:r>
          </w:p>
        </w:tc>
        <w:tc>
          <w:tcPr>
            <w:tcW w:w="1110" w:type="dxa"/>
          </w:tcPr>
          <w:p w14:paraId="1FE985E6" w14:textId="377556B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87.98</w:t>
            </w:r>
          </w:p>
        </w:tc>
        <w:tc>
          <w:tcPr>
            <w:tcW w:w="1248" w:type="dxa"/>
          </w:tcPr>
          <w:p w14:paraId="5CC27DE7" w14:textId="2B8D9D3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1.50</w:t>
            </w:r>
          </w:p>
        </w:tc>
        <w:tc>
          <w:tcPr>
            <w:tcW w:w="1099" w:type="dxa"/>
          </w:tcPr>
          <w:p w14:paraId="2C64ED59" w14:textId="72D58A9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3.63</w:t>
            </w:r>
          </w:p>
        </w:tc>
        <w:tc>
          <w:tcPr>
            <w:tcW w:w="1191" w:type="dxa"/>
          </w:tcPr>
          <w:p w14:paraId="36F22E6C" w14:textId="0533B35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94.75</w:t>
            </w:r>
          </w:p>
        </w:tc>
      </w:tr>
    </w:tbl>
    <w:p w14:paraId="414A006A" w14:textId="77777777" w:rsidR="00C6675C" w:rsidRDefault="00C6675C" w:rsidP="001A63CF">
      <w:pPr>
        <w:rPr>
          <w:rFonts w:ascii="Hind SemiBold" w:hAnsi="Hind SemiBold" w:cs="Hind SemiBold"/>
          <w:b/>
          <w:bCs/>
          <w:color w:val="000000"/>
          <w:kern w:val="0"/>
          <w:position w:val="8"/>
          <w:szCs w:val="20"/>
          <w:lang w:val="en-GB"/>
        </w:rPr>
      </w:pPr>
      <w:r>
        <w:br w:type="page"/>
      </w:r>
    </w:p>
    <w:p w14:paraId="1E605BA9" w14:textId="704FD277" w:rsidR="00AA07BC" w:rsidRDefault="00121039" w:rsidP="005649C9">
      <w:pPr>
        <w:pStyle w:val="Tablesubheading0"/>
      </w:pPr>
      <w:r>
        <w:lastRenderedPageBreak/>
        <w:t>Subscale:</w:t>
      </w:r>
      <w:r w:rsidRPr="00121039">
        <w:t xml:space="preserve"> </w:t>
      </w:r>
      <w:r w:rsidRPr="00076997">
        <w:t>Mistrust Women</w:t>
      </w:r>
    </w:p>
    <w:tbl>
      <w:tblPr>
        <w:tblStyle w:val="Table-SingleHeaderRow"/>
        <w:tblW w:w="14952" w:type="dxa"/>
        <w:tblLayout w:type="fixed"/>
        <w:tblLook w:val="00A0" w:firstRow="1" w:lastRow="0" w:firstColumn="1" w:lastColumn="0" w:noHBand="0" w:noVBand="0"/>
      </w:tblPr>
      <w:tblGrid>
        <w:gridCol w:w="723"/>
        <w:gridCol w:w="4592"/>
        <w:gridCol w:w="737"/>
        <w:gridCol w:w="737"/>
        <w:gridCol w:w="1077"/>
        <w:gridCol w:w="1247"/>
        <w:gridCol w:w="1191"/>
        <w:gridCol w:w="1110"/>
        <w:gridCol w:w="1248"/>
        <w:gridCol w:w="1099"/>
        <w:gridCol w:w="1191"/>
      </w:tblGrid>
      <w:tr w:rsidR="00121039" w:rsidRPr="00076997" w14:paraId="25FB366B" w14:textId="77777777" w:rsidTr="005649C9">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723" w:type="dxa"/>
          </w:tcPr>
          <w:p w14:paraId="5142AB1F" w14:textId="77777777" w:rsidR="00121039" w:rsidRPr="00076997" w:rsidRDefault="00121039" w:rsidP="005649C9">
            <w:pPr>
              <w:pStyle w:val="Tablebody"/>
              <w:rPr>
                <w:b w:val="0"/>
                <w:lang w:val="en-GB"/>
              </w:rPr>
            </w:pPr>
            <w:r w:rsidRPr="00076997">
              <w:t>Code</w:t>
            </w:r>
          </w:p>
        </w:tc>
        <w:tc>
          <w:tcPr>
            <w:tcW w:w="4592" w:type="dxa"/>
          </w:tcPr>
          <w:p w14:paraId="05AB951D"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Abbreviated item wording</w:t>
            </w:r>
          </w:p>
        </w:tc>
        <w:tc>
          <w:tcPr>
            <w:tcW w:w="737" w:type="dxa"/>
          </w:tcPr>
          <w:p w14:paraId="22842CA3"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Age</w:t>
            </w:r>
          </w:p>
        </w:tc>
        <w:tc>
          <w:tcPr>
            <w:tcW w:w="737" w:type="dxa"/>
          </w:tcPr>
          <w:p w14:paraId="43B13E69"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76997">
              <w:rPr>
                <w:rStyle w:val="Emphasis"/>
                <w:lang w:val="en-GB"/>
              </w:rPr>
              <w:t>N</w:t>
            </w:r>
          </w:p>
        </w:tc>
        <w:tc>
          <w:tcPr>
            <w:tcW w:w="1077" w:type="dxa"/>
          </w:tcPr>
          <w:p w14:paraId="01B409C8"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agree</w:t>
            </w:r>
          </w:p>
        </w:tc>
        <w:tc>
          <w:tcPr>
            <w:tcW w:w="1247" w:type="dxa"/>
          </w:tcPr>
          <w:p w14:paraId="72E7E3A4"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agree</w:t>
            </w:r>
          </w:p>
        </w:tc>
        <w:tc>
          <w:tcPr>
            <w:tcW w:w="1191" w:type="dxa"/>
          </w:tcPr>
          <w:p w14:paraId="45150E4E"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disagree</w:t>
            </w:r>
          </w:p>
        </w:tc>
        <w:tc>
          <w:tcPr>
            <w:tcW w:w="1110" w:type="dxa"/>
          </w:tcPr>
          <w:p w14:paraId="53D29D54"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disagree</w:t>
            </w:r>
          </w:p>
        </w:tc>
        <w:tc>
          <w:tcPr>
            <w:tcW w:w="1248" w:type="dxa"/>
          </w:tcPr>
          <w:p w14:paraId="51EA74EF"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Undecided</w:t>
            </w:r>
          </w:p>
        </w:tc>
        <w:tc>
          <w:tcPr>
            <w:tcW w:w="1099" w:type="dxa"/>
          </w:tcPr>
          <w:p w14:paraId="2A94D15D"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agree</w:t>
            </w:r>
            <w:r w:rsidRPr="00076997">
              <w:rPr>
                <w:vertAlign w:val="superscript"/>
              </w:rPr>
              <w:t>a</w:t>
            </w:r>
          </w:p>
        </w:tc>
        <w:tc>
          <w:tcPr>
            <w:tcW w:w="1191" w:type="dxa"/>
          </w:tcPr>
          <w:p w14:paraId="2A309CC7" w14:textId="77777777" w:rsidR="00121039" w:rsidRPr="00076997" w:rsidRDefault="00121039"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disagree</w:t>
            </w:r>
            <w:r w:rsidRPr="00076997">
              <w:rPr>
                <w:vertAlign w:val="superscript"/>
              </w:rPr>
              <w:t>b</w:t>
            </w:r>
          </w:p>
        </w:tc>
      </w:tr>
      <w:tr w:rsidR="00D52488" w:rsidRPr="00076997" w14:paraId="195D279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1D2593F" w14:textId="77777777" w:rsidR="00D52488" w:rsidRPr="00076997" w:rsidRDefault="00D52488" w:rsidP="005649C9">
            <w:pPr>
              <w:pStyle w:val="Tablebody"/>
              <w:rPr>
                <w:rFonts w:cs="Open Sans"/>
                <w:szCs w:val="18"/>
                <w:lang w:val="en-GB"/>
              </w:rPr>
            </w:pPr>
            <w:r w:rsidRPr="00076997">
              <w:rPr>
                <w:rFonts w:cs="Open Sans"/>
                <w:szCs w:val="18"/>
              </w:rPr>
              <w:t>D23</w:t>
            </w:r>
          </w:p>
        </w:tc>
        <w:tc>
          <w:tcPr>
            <w:tcW w:w="4592" w:type="dxa"/>
          </w:tcPr>
          <w:p w14:paraId="5DB6A20C" w14:textId="63D165C7"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going through custody battles often make up or exaggerate claims of domestic violence in</w:t>
            </w:r>
            <w:r>
              <w:rPr>
                <w:rFonts w:cs="Open Sans"/>
                <w:szCs w:val="18"/>
                <w:lang w:val="en-US"/>
              </w:rPr>
              <w:t> </w:t>
            </w:r>
            <w:r w:rsidRPr="00076997">
              <w:rPr>
                <w:rFonts w:cs="Open Sans"/>
                <w:szCs w:val="18"/>
                <w:lang w:val="en-US"/>
              </w:rPr>
              <w:t>order to improve their case^</w:t>
            </w:r>
          </w:p>
        </w:tc>
        <w:tc>
          <w:tcPr>
            <w:tcW w:w="737" w:type="dxa"/>
          </w:tcPr>
          <w:p w14:paraId="4273903C" w14:textId="77777777"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6711A85" w14:textId="77777777"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2E6A9FFD" w14:textId="388F1DD9"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5.49</w:t>
            </w:r>
          </w:p>
        </w:tc>
        <w:tc>
          <w:tcPr>
            <w:tcW w:w="1247" w:type="dxa"/>
          </w:tcPr>
          <w:p w14:paraId="4F950632" w14:textId="4D83DE08"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25.00</w:t>
            </w:r>
          </w:p>
        </w:tc>
        <w:tc>
          <w:tcPr>
            <w:tcW w:w="1191" w:type="dxa"/>
          </w:tcPr>
          <w:p w14:paraId="7593FC21" w14:textId="15569334"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33.35*</w:t>
            </w:r>
          </w:p>
        </w:tc>
        <w:tc>
          <w:tcPr>
            <w:tcW w:w="1110" w:type="dxa"/>
          </w:tcPr>
          <w:p w14:paraId="31D02364" w14:textId="63BDAA8B"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22.69</w:t>
            </w:r>
          </w:p>
        </w:tc>
        <w:tc>
          <w:tcPr>
            <w:tcW w:w="1248" w:type="dxa"/>
          </w:tcPr>
          <w:p w14:paraId="79A0D781" w14:textId="60EC1F76"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13.23</w:t>
            </w:r>
          </w:p>
        </w:tc>
        <w:tc>
          <w:tcPr>
            <w:tcW w:w="1099" w:type="dxa"/>
          </w:tcPr>
          <w:p w14:paraId="69842D17" w14:textId="1709596A"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30.49</w:t>
            </w:r>
          </w:p>
        </w:tc>
        <w:tc>
          <w:tcPr>
            <w:tcW w:w="1191" w:type="dxa"/>
          </w:tcPr>
          <w:p w14:paraId="5FBAB922" w14:textId="6D1154CB" w:rsidR="00D52488" w:rsidRPr="00076997" w:rsidRDefault="00D5248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56.04*</w:t>
            </w:r>
          </w:p>
        </w:tc>
      </w:tr>
      <w:tr w:rsidR="00C6675C" w:rsidRPr="00076997" w14:paraId="51DC027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4A1E297" w14:textId="185643AD" w:rsidR="00C6675C" w:rsidRPr="00076997" w:rsidRDefault="00C6675C" w:rsidP="005649C9">
            <w:pPr>
              <w:pStyle w:val="Tablebody"/>
              <w:rPr>
                <w:rFonts w:cs="Open Sans"/>
                <w:szCs w:val="18"/>
              </w:rPr>
            </w:pPr>
            <w:r w:rsidRPr="00076997">
              <w:rPr>
                <w:rFonts w:cs="Open Sans"/>
                <w:szCs w:val="18"/>
              </w:rPr>
              <w:t>D23</w:t>
            </w:r>
          </w:p>
        </w:tc>
        <w:tc>
          <w:tcPr>
            <w:tcW w:w="4592" w:type="dxa"/>
          </w:tcPr>
          <w:p w14:paraId="717E7EAA" w14:textId="64A3FD2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going through custody battles often make up or exaggerate claims of domestic violence in</w:t>
            </w:r>
            <w:r>
              <w:rPr>
                <w:rFonts w:cs="Open Sans"/>
                <w:szCs w:val="18"/>
                <w:lang w:val="en-US"/>
              </w:rPr>
              <w:t> </w:t>
            </w:r>
            <w:r w:rsidRPr="00076997">
              <w:rPr>
                <w:rFonts w:cs="Open Sans"/>
                <w:szCs w:val="18"/>
                <w:lang w:val="en-US"/>
              </w:rPr>
              <w:t>order to improve their case^</w:t>
            </w:r>
          </w:p>
        </w:tc>
        <w:tc>
          <w:tcPr>
            <w:tcW w:w="737" w:type="dxa"/>
          </w:tcPr>
          <w:p w14:paraId="1CCE285C" w14:textId="0234DFD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BEF1AC7" w14:textId="417B5CC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0EE31777" w14:textId="34A2D77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10.03</w:t>
            </w:r>
          </w:p>
        </w:tc>
        <w:tc>
          <w:tcPr>
            <w:tcW w:w="1247" w:type="dxa"/>
          </w:tcPr>
          <w:p w14:paraId="3907FB89" w14:textId="663108A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28.32</w:t>
            </w:r>
          </w:p>
        </w:tc>
        <w:tc>
          <w:tcPr>
            <w:tcW w:w="1191" w:type="dxa"/>
          </w:tcPr>
          <w:p w14:paraId="02497F4E" w14:textId="02251A3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24.06*</w:t>
            </w:r>
          </w:p>
        </w:tc>
        <w:tc>
          <w:tcPr>
            <w:tcW w:w="1110" w:type="dxa"/>
          </w:tcPr>
          <w:p w14:paraId="58A58038" w14:textId="646BE1B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21.68</w:t>
            </w:r>
          </w:p>
        </w:tc>
        <w:tc>
          <w:tcPr>
            <w:tcW w:w="1248" w:type="dxa"/>
          </w:tcPr>
          <w:p w14:paraId="6034B69E" w14:textId="19BED74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15.43</w:t>
            </w:r>
          </w:p>
        </w:tc>
        <w:tc>
          <w:tcPr>
            <w:tcW w:w="1099" w:type="dxa"/>
          </w:tcPr>
          <w:p w14:paraId="614EA6CF" w14:textId="4955158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38.35</w:t>
            </w:r>
          </w:p>
        </w:tc>
        <w:tc>
          <w:tcPr>
            <w:tcW w:w="1191" w:type="dxa"/>
          </w:tcPr>
          <w:p w14:paraId="2162441E" w14:textId="6026F2D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45.73*</w:t>
            </w:r>
          </w:p>
        </w:tc>
      </w:tr>
      <w:tr w:rsidR="00C6675C" w:rsidRPr="00076997" w14:paraId="3B23468B"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2070376" w14:textId="77777777" w:rsidR="00C6675C" w:rsidRPr="00076997" w:rsidRDefault="00C6675C" w:rsidP="005649C9">
            <w:pPr>
              <w:pStyle w:val="Tablebody"/>
              <w:rPr>
                <w:rFonts w:cs="Open Sans"/>
                <w:szCs w:val="18"/>
                <w:lang w:val="en-GB"/>
              </w:rPr>
            </w:pPr>
            <w:r w:rsidRPr="00076997">
              <w:rPr>
                <w:rFonts w:cs="Open Sans"/>
                <w:szCs w:val="18"/>
              </w:rPr>
              <w:t>D27</w:t>
            </w:r>
          </w:p>
        </w:tc>
        <w:tc>
          <w:tcPr>
            <w:tcW w:w="4592" w:type="dxa"/>
          </w:tcPr>
          <w:p w14:paraId="421CB0B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keeps going back to her abusive partner then the violence can’t be very serious^</w:t>
            </w:r>
          </w:p>
        </w:tc>
        <w:tc>
          <w:tcPr>
            <w:tcW w:w="737" w:type="dxa"/>
          </w:tcPr>
          <w:p w14:paraId="61B43711"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59B1782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47B37D3B" w14:textId="04F19D0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3.66</w:t>
            </w:r>
          </w:p>
        </w:tc>
        <w:tc>
          <w:tcPr>
            <w:tcW w:w="1247" w:type="dxa"/>
          </w:tcPr>
          <w:p w14:paraId="3AD113FC" w14:textId="7D567AD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8.95</w:t>
            </w:r>
          </w:p>
        </w:tc>
        <w:tc>
          <w:tcPr>
            <w:tcW w:w="1191" w:type="dxa"/>
          </w:tcPr>
          <w:p w14:paraId="3418B15D" w14:textId="7716700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18.57</w:t>
            </w:r>
          </w:p>
        </w:tc>
        <w:tc>
          <w:tcPr>
            <w:tcW w:w="1110" w:type="dxa"/>
          </w:tcPr>
          <w:p w14:paraId="1EF99E79" w14:textId="2B683E2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67.48</w:t>
            </w:r>
          </w:p>
        </w:tc>
        <w:tc>
          <w:tcPr>
            <w:tcW w:w="1248" w:type="dxa"/>
          </w:tcPr>
          <w:p w14:paraId="0B464CD0" w14:textId="32D5B84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1.34</w:t>
            </w:r>
            <w:r w:rsidRPr="00076997">
              <w:rPr>
                <w:rFonts w:cs="Open Sans"/>
                <w:szCs w:val="18"/>
                <w:vertAlign w:val="superscript"/>
              </w:rPr>
              <w:t>c</w:t>
            </w:r>
          </w:p>
        </w:tc>
        <w:tc>
          <w:tcPr>
            <w:tcW w:w="1099" w:type="dxa"/>
          </w:tcPr>
          <w:p w14:paraId="714661B9" w14:textId="1F95818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12.61</w:t>
            </w:r>
          </w:p>
        </w:tc>
        <w:tc>
          <w:tcPr>
            <w:tcW w:w="1191" w:type="dxa"/>
          </w:tcPr>
          <w:p w14:paraId="4A3700B7" w14:textId="4A3ACFB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86.05</w:t>
            </w:r>
          </w:p>
        </w:tc>
      </w:tr>
      <w:tr w:rsidR="00C6675C" w:rsidRPr="00076997" w14:paraId="129B8D4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BA6CEFF" w14:textId="0C18ECA9" w:rsidR="00C6675C" w:rsidRPr="00076997" w:rsidRDefault="00C6675C" w:rsidP="005649C9">
            <w:pPr>
              <w:pStyle w:val="Tablebody"/>
              <w:rPr>
                <w:rFonts w:cs="Open Sans"/>
                <w:szCs w:val="18"/>
              </w:rPr>
            </w:pPr>
            <w:r w:rsidRPr="00076997">
              <w:rPr>
                <w:rFonts w:cs="Open Sans"/>
                <w:szCs w:val="18"/>
              </w:rPr>
              <w:t>D27</w:t>
            </w:r>
          </w:p>
        </w:tc>
        <w:tc>
          <w:tcPr>
            <w:tcW w:w="4592" w:type="dxa"/>
          </w:tcPr>
          <w:p w14:paraId="49601621" w14:textId="4856AAB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keeps going back to her abusive partner then the violence can’t be very serious^</w:t>
            </w:r>
          </w:p>
        </w:tc>
        <w:tc>
          <w:tcPr>
            <w:tcW w:w="737" w:type="dxa"/>
          </w:tcPr>
          <w:p w14:paraId="063DD5D2" w14:textId="3FE0BBB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0D408700" w14:textId="2B8D8DD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7F87B6D4" w14:textId="7087DD8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3.92</w:t>
            </w:r>
          </w:p>
        </w:tc>
        <w:tc>
          <w:tcPr>
            <w:tcW w:w="1247" w:type="dxa"/>
          </w:tcPr>
          <w:p w14:paraId="147DED30" w14:textId="27497AA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4.82</w:t>
            </w:r>
          </w:p>
        </w:tc>
        <w:tc>
          <w:tcPr>
            <w:tcW w:w="1191" w:type="dxa"/>
          </w:tcPr>
          <w:p w14:paraId="3E00FBD1" w14:textId="48F2212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15.18</w:t>
            </w:r>
          </w:p>
        </w:tc>
        <w:tc>
          <w:tcPr>
            <w:tcW w:w="1110" w:type="dxa"/>
          </w:tcPr>
          <w:p w14:paraId="46C94F4D" w14:textId="0BEF4EA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73.22</w:t>
            </w:r>
          </w:p>
        </w:tc>
        <w:tc>
          <w:tcPr>
            <w:tcW w:w="1248" w:type="dxa"/>
          </w:tcPr>
          <w:p w14:paraId="33F416AA" w14:textId="76AA3DC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2.66</w:t>
            </w:r>
          </w:p>
        </w:tc>
        <w:tc>
          <w:tcPr>
            <w:tcW w:w="1099" w:type="dxa"/>
          </w:tcPr>
          <w:p w14:paraId="36163B7E" w14:textId="7C11E47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8.75</w:t>
            </w:r>
          </w:p>
        </w:tc>
        <w:tc>
          <w:tcPr>
            <w:tcW w:w="1191" w:type="dxa"/>
          </w:tcPr>
          <w:p w14:paraId="0DF53269" w14:textId="5575D6B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88.40</w:t>
            </w:r>
          </w:p>
        </w:tc>
      </w:tr>
      <w:tr w:rsidR="00C6675C" w:rsidRPr="00076997" w14:paraId="74107F3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15E0407" w14:textId="77777777" w:rsidR="00C6675C" w:rsidRPr="00076997" w:rsidRDefault="00C6675C" w:rsidP="005649C9">
            <w:pPr>
              <w:pStyle w:val="Tablebody"/>
              <w:rPr>
                <w:rFonts w:cs="Open Sans"/>
                <w:szCs w:val="18"/>
                <w:lang w:val="en-GB"/>
              </w:rPr>
            </w:pPr>
            <w:r w:rsidRPr="00076997">
              <w:rPr>
                <w:rFonts w:cs="Open Sans"/>
                <w:szCs w:val="18"/>
              </w:rPr>
              <w:t>D28</w:t>
            </w:r>
          </w:p>
        </w:tc>
        <w:tc>
          <w:tcPr>
            <w:tcW w:w="4592" w:type="dxa"/>
          </w:tcPr>
          <w:p w14:paraId="1ECD5716" w14:textId="77777777" w:rsidR="00C6675C" w:rsidRPr="002C6B49"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GB"/>
              </w:rPr>
            </w:pPr>
            <w:r w:rsidRPr="002C6B49">
              <w:rPr>
                <w:rFonts w:cs="Open Sans"/>
                <w:spacing w:val="-4"/>
                <w:szCs w:val="18"/>
                <w:lang w:val="en-US"/>
              </w:rPr>
              <w:t>It’s easy for a woman to leave an abusive relationship^</w:t>
            </w:r>
          </w:p>
        </w:tc>
        <w:tc>
          <w:tcPr>
            <w:tcW w:w="737" w:type="dxa"/>
          </w:tcPr>
          <w:p w14:paraId="4692B8F7"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5CEAAA2"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6EF38278" w14:textId="08718CA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5.74</w:t>
            </w:r>
          </w:p>
        </w:tc>
        <w:tc>
          <w:tcPr>
            <w:tcW w:w="1247" w:type="dxa"/>
          </w:tcPr>
          <w:p w14:paraId="6CA9752B" w14:textId="10B3DCA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3.82</w:t>
            </w:r>
          </w:p>
        </w:tc>
        <w:tc>
          <w:tcPr>
            <w:tcW w:w="1191" w:type="dxa"/>
          </w:tcPr>
          <w:p w14:paraId="081AA0E3" w14:textId="53462DB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21.60</w:t>
            </w:r>
          </w:p>
        </w:tc>
        <w:tc>
          <w:tcPr>
            <w:tcW w:w="1110" w:type="dxa"/>
          </w:tcPr>
          <w:p w14:paraId="50D39948" w14:textId="187774C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67.17</w:t>
            </w:r>
          </w:p>
        </w:tc>
        <w:tc>
          <w:tcPr>
            <w:tcW w:w="1248" w:type="dxa"/>
          </w:tcPr>
          <w:p w14:paraId="4997D155" w14:textId="30ACBDE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1.67</w:t>
            </w:r>
            <w:r w:rsidRPr="00076997">
              <w:rPr>
                <w:rFonts w:cs="Open Sans"/>
                <w:szCs w:val="18"/>
                <w:vertAlign w:val="superscript"/>
              </w:rPr>
              <w:t>c</w:t>
            </w:r>
          </w:p>
        </w:tc>
        <w:tc>
          <w:tcPr>
            <w:tcW w:w="1099" w:type="dxa"/>
          </w:tcPr>
          <w:p w14:paraId="0E826123" w14:textId="0B73FF3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9.55</w:t>
            </w:r>
          </w:p>
        </w:tc>
        <w:tc>
          <w:tcPr>
            <w:tcW w:w="1191" w:type="dxa"/>
          </w:tcPr>
          <w:p w14:paraId="1FED778F" w14:textId="13CD1FF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88.78</w:t>
            </w:r>
          </w:p>
        </w:tc>
      </w:tr>
      <w:tr w:rsidR="00C6675C" w:rsidRPr="00076997" w14:paraId="5DD86B0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6A07F2F" w14:textId="265E8704" w:rsidR="00C6675C" w:rsidRPr="00076997" w:rsidRDefault="00C6675C" w:rsidP="005649C9">
            <w:pPr>
              <w:pStyle w:val="Tablebody"/>
              <w:rPr>
                <w:rFonts w:cs="Open Sans"/>
                <w:szCs w:val="18"/>
              </w:rPr>
            </w:pPr>
            <w:r w:rsidRPr="00076997">
              <w:rPr>
                <w:rFonts w:cs="Open Sans"/>
                <w:szCs w:val="18"/>
              </w:rPr>
              <w:t>D28</w:t>
            </w:r>
          </w:p>
        </w:tc>
        <w:tc>
          <w:tcPr>
            <w:tcW w:w="4592" w:type="dxa"/>
          </w:tcPr>
          <w:p w14:paraId="263BE599" w14:textId="7784914C" w:rsidR="00C6675C" w:rsidRPr="002C6B49"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US"/>
              </w:rPr>
            </w:pPr>
            <w:r w:rsidRPr="002C6B49">
              <w:rPr>
                <w:rFonts w:cs="Open Sans"/>
                <w:spacing w:val="-4"/>
                <w:szCs w:val="18"/>
                <w:lang w:val="en-US"/>
              </w:rPr>
              <w:t>It’s easy for a woman to leave an abusive relationship^</w:t>
            </w:r>
          </w:p>
        </w:tc>
        <w:tc>
          <w:tcPr>
            <w:tcW w:w="737" w:type="dxa"/>
          </w:tcPr>
          <w:p w14:paraId="62E3E8E9" w14:textId="33C6FA8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5C6B13AD" w14:textId="738713C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12DEB64E" w14:textId="200F366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5.03</w:t>
            </w:r>
          </w:p>
        </w:tc>
        <w:tc>
          <w:tcPr>
            <w:tcW w:w="1247" w:type="dxa"/>
          </w:tcPr>
          <w:p w14:paraId="05049BBE" w14:textId="02A6D76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4.49</w:t>
            </w:r>
          </w:p>
        </w:tc>
        <w:tc>
          <w:tcPr>
            <w:tcW w:w="1191" w:type="dxa"/>
          </w:tcPr>
          <w:p w14:paraId="1CD76D7D" w14:textId="55A13C1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19.88</w:t>
            </w:r>
          </w:p>
        </w:tc>
        <w:tc>
          <w:tcPr>
            <w:tcW w:w="1110" w:type="dxa"/>
          </w:tcPr>
          <w:p w14:paraId="0F90275C" w14:textId="258A28E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68.24</w:t>
            </w:r>
          </w:p>
        </w:tc>
        <w:tc>
          <w:tcPr>
            <w:tcW w:w="1248" w:type="dxa"/>
          </w:tcPr>
          <w:p w14:paraId="2842AAD2" w14:textId="404EFBE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2.29</w:t>
            </w:r>
          </w:p>
        </w:tc>
        <w:tc>
          <w:tcPr>
            <w:tcW w:w="1099" w:type="dxa"/>
          </w:tcPr>
          <w:p w14:paraId="20A00F2F" w14:textId="3122C7A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9.52</w:t>
            </w:r>
          </w:p>
        </w:tc>
        <w:tc>
          <w:tcPr>
            <w:tcW w:w="1191" w:type="dxa"/>
          </w:tcPr>
          <w:p w14:paraId="37735032" w14:textId="1E52196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88.12</w:t>
            </w:r>
          </w:p>
        </w:tc>
      </w:tr>
      <w:tr w:rsidR="00C6675C" w:rsidRPr="00076997" w14:paraId="723D26A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CBE1FDA" w14:textId="77777777" w:rsidR="00C6675C" w:rsidRPr="00076997" w:rsidRDefault="00C6675C" w:rsidP="005649C9">
            <w:pPr>
              <w:pStyle w:val="Tablebody"/>
              <w:rPr>
                <w:rFonts w:cs="Open Sans"/>
                <w:szCs w:val="18"/>
                <w:lang w:val="en-GB"/>
              </w:rPr>
            </w:pPr>
            <w:r w:rsidRPr="00076997">
              <w:rPr>
                <w:rFonts w:cs="Open Sans"/>
                <w:szCs w:val="18"/>
              </w:rPr>
              <w:t>D29</w:t>
            </w:r>
          </w:p>
        </w:tc>
        <w:tc>
          <w:tcPr>
            <w:tcW w:w="4592" w:type="dxa"/>
          </w:tcPr>
          <w:p w14:paraId="24D8DAC5"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A female victim who does not leave an abusive partner is partly responsible for the abuse continuing</w:t>
            </w:r>
          </w:p>
        </w:tc>
        <w:tc>
          <w:tcPr>
            <w:tcW w:w="737" w:type="dxa"/>
          </w:tcPr>
          <w:p w14:paraId="2E4D72B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C35897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47C9DF92" w14:textId="339FB75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4.72</w:t>
            </w:r>
          </w:p>
        </w:tc>
        <w:tc>
          <w:tcPr>
            <w:tcW w:w="1247" w:type="dxa"/>
          </w:tcPr>
          <w:p w14:paraId="69233489" w14:textId="4094659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21.71</w:t>
            </w:r>
          </w:p>
        </w:tc>
        <w:tc>
          <w:tcPr>
            <w:tcW w:w="1191" w:type="dxa"/>
          </w:tcPr>
          <w:p w14:paraId="41B217D5" w14:textId="3CEF189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21.05</w:t>
            </w:r>
          </w:p>
        </w:tc>
        <w:tc>
          <w:tcPr>
            <w:tcW w:w="1110" w:type="dxa"/>
          </w:tcPr>
          <w:p w14:paraId="5ADB59B1" w14:textId="478FBAD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50.33</w:t>
            </w:r>
          </w:p>
        </w:tc>
        <w:tc>
          <w:tcPr>
            <w:tcW w:w="1248" w:type="dxa"/>
          </w:tcPr>
          <w:p w14:paraId="0137391B" w14:textId="2C3B8A2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2.19</w:t>
            </w:r>
          </w:p>
        </w:tc>
        <w:tc>
          <w:tcPr>
            <w:tcW w:w="1099" w:type="dxa"/>
          </w:tcPr>
          <w:p w14:paraId="2A43255D" w14:textId="3449ACE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26.43</w:t>
            </w:r>
          </w:p>
        </w:tc>
        <w:tc>
          <w:tcPr>
            <w:tcW w:w="1191" w:type="dxa"/>
          </w:tcPr>
          <w:p w14:paraId="4501D45F" w14:textId="62BF445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71.38</w:t>
            </w:r>
          </w:p>
        </w:tc>
      </w:tr>
      <w:tr w:rsidR="00C6675C" w:rsidRPr="00076997" w14:paraId="09F7CD0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131121F" w14:textId="5C23E78A" w:rsidR="00C6675C" w:rsidRPr="00076997" w:rsidRDefault="00C6675C" w:rsidP="005649C9">
            <w:pPr>
              <w:pStyle w:val="Tablebody"/>
              <w:rPr>
                <w:rFonts w:cs="Open Sans"/>
                <w:szCs w:val="18"/>
              </w:rPr>
            </w:pPr>
            <w:r w:rsidRPr="00076997">
              <w:rPr>
                <w:rFonts w:cs="Open Sans"/>
                <w:szCs w:val="18"/>
              </w:rPr>
              <w:t>D29</w:t>
            </w:r>
          </w:p>
        </w:tc>
        <w:tc>
          <w:tcPr>
            <w:tcW w:w="4592" w:type="dxa"/>
          </w:tcPr>
          <w:p w14:paraId="129104C2" w14:textId="4D575B8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A34295">
              <w:rPr>
                <w:rFonts w:cs="Open Sans"/>
                <w:spacing w:val="-4"/>
                <w:szCs w:val="18"/>
                <w:lang w:val="en-US"/>
              </w:rPr>
              <w:t>A female victim who does not leave an abusive partner is partly responsible for the abuse continuing</w:t>
            </w:r>
          </w:p>
        </w:tc>
        <w:tc>
          <w:tcPr>
            <w:tcW w:w="737" w:type="dxa"/>
          </w:tcPr>
          <w:p w14:paraId="6070439E" w14:textId="2B5FBEC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4DDEE6A1" w14:textId="1325FB7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7B428D58" w14:textId="332C8F5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7.90</w:t>
            </w:r>
          </w:p>
        </w:tc>
        <w:tc>
          <w:tcPr>
            <w:tcW w:w="1247" w:type="dxa"/>
          </w:tcPr>
          <w:p w14:paraId="43356786" w14:textId="4F83122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17.06</w:t>
            </w:r>
          </w:p>
        </w:tc>
        <w:tc>
          <w:tcPr>
            <w:tcW w:w="1191" w:type="dxa"/>
          </w:tcPr>
          <w:p w14:paraId="72D15193" w14:textId="725B77E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14.94</w:t>
            </w:r>
          </w:p>
        </w:tc>
        <w:tc>
          <w:tcPr>
            <w:tcW w:w="1110" w:type="dxa"/>
          </w:tcPr>
          <w:p w14:paraId="633362B2" w14:textId="3A145CD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57.21</w:t>
            </w:r>
          </w:p>
        </w:tc>
        <w:tc>
          <w:tcPr>
            <w:tcW w:w="1248" w:type="dxa"/>
          </w:tcPr>
          <w:p w14:paraId="455E2EE4" w14:textId="3A3AA8A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2.71</w:t>
            </w:r>
          </w:p>
        </w:tc>
        <w:tc>
          <w:tcPr>
            <w:tcW w:w="1099" w:type="dxa"/>
          </w:tcPr>
          <w:p w14:paraId="4939ADB4" w14:textId="7764F4D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24.96</w:t>
            </w:r>
          </w:p>
        </w:tc>
        <w:tc>
          <w:tcPr>
            <w:tcW w:w="1191" w:type="dxa"/>
          </w:tcPr>
          <w:p w14:paraId="44C9BA2B" w14:textId="7712DF8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72.16</w:t>
            </w:r>
          </w:p>
        </w:tc>
      </w:tr>
      <w:tr w:rsidR="00C6675C" w:rsidRPr="00076997" w14:paraId="13284B8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C567ECB" w14:textId="77777777" w:rsidR="00C6675C" w:rsidRPr="00076997" w:rsidRDefault="00C6675C" w:rsidP="005649C9">
            <w:pPr>
              <w:pStyle w:val="Tablebody"/>
              <w:rPr>
                <w:rFonts w:cs="Open Sans"/>
                <w:szCs w:val="18"/>
                <w:lang w:val="en-GB"/>
              </w:rPr>
            </w:pPr>
            <w:r w:rsidRPr="00076997">
              <w:rPr>
                <w:rFonts w:cs="Open Sans"/>
                <w:szCs w:val="18"/>
              </w:rPr>
              <w:t>S1</w:t>
            </w:r>
          </w:p>
        </w:tc>
        <w:tc>
          <w:tcPr>
            <w:tcW w:w="4592" w:type="dxa"/>
          </w:tcPr>
          <w:p w14:paraId="1D4B3EEA"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with mental health issues who report being sexually assaulted are probably lying</w:t>
            </w:r>
            <w:r w:rsidRPr="00076997">
              <w:rPr>
                <w:rFonts w:ascii="Montserrat" w:hAnsi="Montserrat" w:cs="Montserrat"/>
                <w:szCs w:val="18"/>
                <w:lang w:val="en-US"/>
              </w:rPr>
              <w:t>~</w:t>
            </w:r>
          </w:p>
        </w:tc>
        <w:tc>
          <w:tcPr>
            <w:tcW w:w="737" w:type="dxa"/>
          </w:tcPr>
          <w:p w14:paraId="6AB95293"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2A1BAC0"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408</w:t>
            </w:r>
          </w:p>
        </w:tc>
        <w:tc>
          <w:tcPr>
            <w:tcW w:w="1077" w:type="dxa"/>
          </w:tcPr>
          <w:p w14:paraId="466265EC" w14:textId="202E3C5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1.37</w:t>
            </w:r>
            <w:r w:rsidRPr="00076997">
              <w:rPr>
                <w:rFonts w:cs="Open Sans"/>
                <w:szCs w:val="18"/>
                <w:vertAlign w:val="superscript"/>
              </w:rPr>
              <w:t>c</w:t>
            </w:r>
          </w:p>
        </w:tc>
        <w:tc>
          <w:tcPr>
            <w:tcW w:w="1247" w:type="dxa"/>
          </w:tcPr>
          <w:p w14:paraId="650533B2" w14:textId="7FA3EBA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6.98</w:t>
            </w:r>
          </w:p>
        </w:tc>
        <w:tc>
          <w:tcPr>
            <w:tcW w:w="1191" w:type="dxa"/>
          </w:tcPr>
          <w:p w14:paraId="0DBC8147" w14:textId="4F22B1F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21.34</w:t>
            </w:r>
          </w:p>
        </w:tc>
        <w:tc>
          <w:tcPr>
            <w:tcW w:w="1110" w:type="dxa"/>
          </w:tcPr>
          <w:p w14:paraId="1BDF9692" w14:textId="0C365D3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66.87</w:t>
            </w:r>
          </w:p>
        </w:tc>
        <w:tc>
          <w:tcPr>
            <w:tcW w:w="1248" w:type="dxa"/>
          </w:tcPr>
          <w:p w14:paraId="77D35989" w14:textId="6DFD3E6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2.77</w:t>
            </w:r>
            <w:r w:rsidRPr="00076997">
              <w:rPr>
                <w:rFonts w:cs="Open Sans"/>
                <w:szCs w:val="18"/>
                <w:vertAlign w:val="superscript"/>
              </w:rPr>
              <w:t>c</w:t>
            </w:r>
          </w:p>
        </w:tc>
        <w:tc>
          <w:tcPr>
            <w:tcW w:w="1099" w:type="dxa"/>
          </w:tcPr>
          <w:p w14:paraId="72D12811" w14:textId="1C3F532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8.35</w:t>
            </w:r>
          </w:p>
        </w:tc>
        <w:tc>
          <w:tcPr>
            <w:tcW w:w="1191" w:type="dxa"/>
          </w:tcPr>
          <w:p w14:paraId="254CECE1" w14:textId="5B38539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88.21</w:t>
            </w:r>
          </w:p>
        </w:tc>
      </w:tr>
      <w:tr w:rsidR="00C6675C" w:rsidRPr="00076997" w14:paraId="4A3B01E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9AB839F" w14:textId="601169D5" w:rsidR="00C6675C" w:rsidRPr="00076997" w:rsidRDefault="00C6675C" w:rsidP="005649C9">
            <w:pPr>
              <w:pStyle w:val="Tablebody"/>
              <w:rPr>
                <w:rFonts w:cs="Open Sans"/>
                <w:szCs w:val="18"/>
              </w:rPr>
            </w:pPr>
            <w:r w:rsidRPr="00076997">
              <w:rPr>
                <w:rFonts w:cs="Open Sans"/>
                <w:szCs w:val="18"/>
              </w:rPr>
              <w:t>S1</w:t>
            </w:r>
          </w:p>
        </w:tc>
        <w:tc>
          <w:tcPr>
            <w:tcW w:w="4592" w:type="dxa"/>
          </w:tcPr>
          <w:p w14:paraId="13E52AD4" w14:textId="39DBA57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with mental health issues who report being sexually assaulted are probably lying</w:t>
            </w:r>
            <w:r w:rsidRPr="00076997">
              <w:rPr>
                <w:rFonts w:ascii="Montserrat" w:hAnsi="Montserrat" w:cs="Montserrat"/>
                <w:szCs w:val="18"/>
                <w:lang w:val="en-US"/>
              </w:rPr>
              <w:t>~</w:t>
            </w:r>
          </w:p>
        </w:tc>
        <w:tc>
          <w:tcPr>
            <w:tcW w:w="737" w:type="dxa"/>
          </w:tcPr>
          <w:p w14:paraId="59A8C61B" w14:textId="3A67790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AC4D167" w14:textId="2E9B079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4,370</w:t>
            </w:r>
          </w:p>
        </w:tc>
        <w:tc>
          <w:tcPr>
            <w:tcW w:w="1077" w:type="dxa"/>
          </w:tcPr>
          <w:p w14:paraId="2BA21CDC" w14:textId="0C7F03F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1.81</w:t>
            </w:r>
          </w:p>
        </w:tc>
        <w:tc>
          <w:tcPr>
            <w:tcW w:w="1247" w:type="dxa"/>
          </w:tcPr>
          <w:p w14:paraId="0539DF7E" w14:textId="7FC8324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3.91</w:t>
            </w:r>
          </w:p>
        </w:tc>
        <w:tc>
          <w:tcPr>
            <w:tcW w:w="1191" w:type="dxa"/>
          </w:tcPr>
          <w:p w14:paraId="183FA7C3" w14:textId="3E3EEC2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21.64</w:t>
            </w:r>
          </w:p>
        </w:tc>
        <w:tc>
          <w:tcPr>
            <w:tcW w:w="1110" w:type="dxa"/>
          </w:tcPr>
          <w:p w14:paraId="5D13A626" w14:textId="0EF6339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64.52</w:t>
            </w:r>
          </w:p>
        </w:tc>
        <w:tc>
          <w:tcPr>
            <w:tcW w:w="1248" w:type="dxa"/>
          </w:tcPr>
          <w:p w14:paraId="55D9F67D" w14:textId="1624F94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7.62</w:t>
            </w:r>
          </w:p>
        </w:tc>
        <w:tc>
          <w:tcPr>
            <w:tcW w:w="1099" w:type="dxa"/>
          </w:tcPr>
          <w:p w14:paraId="25D20ED3" w14:textId="237BC3B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5.72</w:t>
            </w:r>
          </w:p>
        </w:tc>
        <w:tc>
          <w:tcPr>
            <w:tcW w:w="1191" w:type="dxa"/>
          </w:tcPr>
          <w:p w14:paraId="068F8055" w14:textId="5E10937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86.16</w:t>
            </w:r>
          </w:p>
        </w:tc>
      </w:tr>
      <w:tr w:rsidR="00C6675C" w:rsidRPr="00076997" w14:paraId="049AC4FC"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4BAB8F1" w14:textId="77777777" w:rsidR="00C6675C" w:rsidRPr="00076997" w:rsidRDefault="00C6675C" w:rsidP="005649C9">
            <w:pPr>
              <w:pStyle w:val="Tablebody"/>
              <w:rPr>
                <w:rFonts w:cs="Open Sans"/>
                <w:szCs w:val="18"/>
                <w:lang w:val="en-GB"/>
              </w:rPr>
            </w:pPr>
            <w:r w:rsidRPr="00076997">
              <w:rPr>
                <w:rFonts w:cs="Open Sans"/>
                <w:szCs w:val="18"/>
              </w:rPr>
              <w:t>S2</w:t>
            </w:r>
          </w:p>
        </w:tc>
        <w:tc>
          <w:tcPr>
            <w:tcW w:w="4592" w:type="dxa"/>
          </w:tcPr>
          <w:p w14:paraId="1A55C726"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When lesbian or bisexual women claim to have been sexually assaulted by their partner, they probably shouldn’t be taken too seriously</w:t>
            </w:r>
            <w:r w:rsidRPr="00076997">
              <w:rPr>
                <w:rFonts w:ascii="Montserrat" w:hAnsi="Montserrat" w:cs="Montserrat"/>
                <w:szCs w:val="18"/>
                <w:lang w:val="en-US"/>
              </w:rPr>
              <w:t>~</w:t>
            </w:r>
          </w:p>
        </w:tc>
        <w:tc>
          <w:tcPr>
            <w:tcW w:w="737" w:type="dxa"/>
          </w:tcPr>
          <w:p w14:paraId="67C5CF39"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AABB66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408</w:t>
            </w:r>
          </w:p>
        </w:tc>
        <w:tc>
          <w:tcPr>
            <w:tcW w:w="1077" w:type="dxa"/>
          </w:tcPr>
          <w:p w14:paraId="4C3750C0" w14:textId="28CDD4C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1.71</w:t>
            </w:r>
            <w:r w:rsidRPr="00076997">
              <w:rPr>
                <w:rFonts w:cs="Open Sans"/>
                <w:szCs w:val="18"/>
                <w:vertAlign w:val="superscript"/>
              </w:rPr>
              <w:t>c</w:t>
            </w:r>
          </w:p>
        </w:tc>
        <w:tc>
          <w:tcPr>
            <w:tcW w:w="1247" w:type="dxa"/>
          </w:tcPr>
          <w:p w14:paraId="02BEF806" w14:textId="5EE274E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2.11</w:t>
            </w:r>
            <w:r w:rsidRPr="00076997">
              <w:rPr>
                <w:rFonts w:cs="Open Sans"/>
                <w:szCs w:val="18"/>
                <w:vertAlign w:val="superscript"/>
              </w:rPr>
              <w:t>c</w:t>
            </w:r>
          </w:p>
        </w:tc>
        <w:tc>
          <w:tcPr>
            <w:tcW w:w="1191" w:type="dxa"/>
          </w:tcPr>
          <w:p w14:paraId="22D7E00E" w14:textId="12319AA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8.46</w:t>
            </w:r>
          </w:p>
        </w:tc>
        <w:tc>
          <w:tcPr>
            <w:tcW w:w="1110" w:type="dxa"/>
          </w:tcPr>
          <w:p w14:paraId="00C87E09" w14:textId="29B8B6A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87.17</w:t>
            </w:r>
          </w:p>
        </w:tc>
        <w:tc>
          <w:tcPr>
            <w:tcW w:w="1248" w:type="dxa"/>
          </w:tcPr>
          <w:p w14:paraId="2A34B2C9" w14:textId="274FAAD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0.56</w:t>
            </w:r>
            <w:r w:rsidRPr="00076997">
              <w:rPr>
                <w:rFonts w:cs="Open Sans"/>
                <w:szCs w:val="18"/>
                <w:vertAlign w:val="superscript"/>
              </w:rPr>
              <w:t>c</w:t>
            </w:r>
          </w:p>
        </w:tc>
        <w:tc>
          <w:tcPr>
            <w:tcW w:w="1099" w:type="dxa"/>
          </w:tcPr>
          <w:p w14:paraId="3003DA75" w14:textId="3659E79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3.82</w:t>
            </w:r>
            <w:r w:rsidRPr="00076997">
              <w:rPr>
                <w:rFonts w:cs="Open Sans"/>
                <w:szCs w:val="18"/>
                <w:vertAlign w:val="superscript"/>
              </w:rPr>
              <w:t>c</w:t>
            </w:r>
          </w:p>
        </w:tc>
        <w:tc>
          <w:tcPr>
            <w:tcW w:w="1191" w:type="dxa"/>
          </w:tcPr>
          <w:p w14:paraId="2751B508" w14:textId="1A704F3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95.62</w:t>
            </w:r>
          </w:p>
        </w:tc>
      </w:tr>
      <w:tr w:rsidR="00C6675C" w:rsidRPr="00076997" w14:paraId="6C272C1C"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59AB74E" w14:textId="3E51236B" w:rsidR="00C6675C" w:rsidRPr="00076997" w:rsidRDefault="00C6675C" w:rsidP="005649C9">
            <w:pPr>
              <w:pStyle w:val="Tablebody"/>
              <w:rPr>
                <w:rFonts w:cs="Open Sans"/>
                <w:szCs w:val="18"/>
              </w:rPr>
            </w:pPr>
            <w:r w:rsidRPr="00076997">
              <w:rPr>
                <w:rFonts w:cs="Open Sans"/>
                <w:szCs w:val="18"/>
              </w:rPr>
              <w:t>S2</w:t>
            </w:r>
          </w:p>
        </w:tc>
        <w:tc>
          <w:tcPr>
            <w:tcW w:w="4592" w:type="dxa"/>
          </w:tcPr>
          <w:p w14:paraId="7B772431" w14:textId="5E61AA1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When lesbian or bisexual women claim to have been sexually assaulted by their partner, they probably shouldn’t be taken too seriously</w:t>
            </w:r>
            <w:r w:rsidRPr="00076997">
              <w:rPr>
                <w:rFonts w:ascii="Montserrat" w:hAnsi="Montserrat" w:cs="Montserrat"/>
                <w:szCs w:val="18"/>
                <w:lang w:val="en-US"/>
              </w:rPr>
              <w:t>~</w:t>
            </w:r>
          </w:p>
        </w:tc>
        <w:tc>
          <w:tcPr>
            <w:tcW w:w="737" w:type="dxa"/>
          </w:tcPr>
          <w:p w14:paraId="24B46B7B" w14:textId="63C81B7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88C14F1" w14:textId="0ED3550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4,370</w:t>
            </w:r>
          </w:p>
        </w:tc>
        <w:tc>
          <w:tcPr>
            <w:tcW w:w="1077" w:type="dxa"/>
          </w:tcPr>
          <w:p w14:paraId="710C316C" w14:textId="5C72372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1.33</w:t>
            </w:r>
          </w:p>
        </w:tc>
        <w:tc>
          <w:tcPr>
            <w:tcW w:w="1247" w:type="dxa"/>
          </w:tcPr>
          <w:p w14:paraId="7BD0EE32" w14:textId="24BB8B52"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1.51</w:t>
            </w:r>
          </w:p>
        </w:tc>
        <w:tc>
          <w:tcPr>
            <w:tcW w:w="1191" w:type="dxa"/>
          </w:tcPr>
          <w:p w14:paraId="194EFF02" w14:textId="49DC97B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8.84</w:t>
            </w:r>
          </w:p>
        </w:tc>
        <w:tc>
          <w:tcPr>
            <w:tcW w:w="1110" w:type="dxa"/>
          </w:tcPr>
          <w:p w14:paraId="0699B989" w14:textId="2EB41F0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83.64</w:t>
            </w:r>
          </w:p>
        </w:tc>
        <w:tc>
          <w:tcPr>
            <w:tcW w:w="1248" w:type="dxa"/>
          </w:tcPr>
          <w:p w14:paraId="526F6D06" w14:textId="4F17B63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3.97</w:t>
            </w:r>
          </w:p>
        </w:tc>
        <w:tc>
          <w:tcPr>
            <w:tcW w:w="1099" w:type="dxa"/>
          </w:tcPr>
          <w:p w14:paraId="17B6581F" w14:textId="5BB77324"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2.84</w:t>
            </w:r>
          </w:p>
        </w:tc>
        <w:tc>
          <w:tcPr>
            <w:tcW w:w="1191" w:type="dxa"/>
          </w:tcPr>
          <w:p w14:paraId="495F680A" w14:textId="27C90745"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92.48</w:t>
            </w:r>
          </w:p>
        </w:tc>
      </w:tr>
      <w:tr w:rsidR="00C6675C" w:rsidRPr="00076997" w14:paraId="03425CB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72F8B90" w14:textId="77777777" w:rsidR="00C6675C" w:rsidRPr="00076997" w:rsidRDefault="00C6675C" w:rsidP="005649C9">
            <w:pPr>
              <w:pStyle w:val="Tablebody"/>
              <w:rPr>
                <w:rFonts w:cs="Open Sans"/>
                <w:szCs w:val="18"/>
                <w:lang w:val="en-GB"/>
              </w:rPr>
            </w:pPr>
            <w:r w:rsidRPr="00076997">
              <w:rPr>
                <w:rFonts w:cs="Open Sans"/>
                <w:szCs w:val="18"/>
              </w:rPr>
              <w:t>S10</w:t>
            </w:r>
          </w:p>
        </w:tc>
        <w:tc>
          <w:tcPr>
            <w:tcW w:w="4592" w:type="dxa"/>
          </w:tcPr>
          <w:p w14:paraId="1609D0F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who wait weeks or months to report sexual harassment are probably lying</w:t>
            </w:r>
          </w:p>
        </w:tc>
        <w:tc>
          <w:tcPr>
            <w:tcW w:w="737" w:type="dxa"/>
          </w:tcPr>
          <w:p w14:paraId="11A2F378"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3363049B"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40FD49CC" w14:textId="7B67F9A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1.30</w:t>
            </w:r>
            <w:r w:rsidRPr="00076997">
              <w:rPr>
                <w:rFonts w:cs="Open Sans"/>
                <w:szCs w:val="18"/>
                <w:vertAlign w:val="superscript"/>
              </w:rPr>
              <w:t>c</w:t>
            </w:r>
          </w:p>
        </w:tc>
        <w:tc>
          <w:tcPr>
            <w:tcW w:w="1247" w:type="dxa"/>
          </w:tcPr>
          <w:p w14:paraId="664686D9" w14:textId="36668A7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4.93</w:t>
            </w:r>
          </w:p>
        </w:tc>
        <w:tc>
          <w:tcPr>
            <w:tcW w:w="1191" w:type="dxa"/>
          </w:tcPr>
          <w:p w14:paraId="10CB9E2D" w14:textId="1DA12DAE"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15.68</w:t>
            </w:r>
          </w:p>
        </w:tc>
        <w:tc>
          <w:tcPr>
            <w:tcW w:w="1110" w:type="dxa"/>
          </w:tcPr>
          <w:p w14:paraId="37F51D6E" w14:textId="1D559AC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75.78</w:t>
            </w:r>
          </w:p>
        </w:tc>
        <w:tc>
          <w:tcPr>
            <w:tcW w:w="1248" w:type="dxa"/>
          </w:tcPr>
          <w:p w14:paraId="587C2E13" w14:textId="448FB6A9"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2.27</w:t>
            </w:r>
          </w:p>
        </w:tc>
        <w:tc>
          <w:tcPr>
            <w:tcW w:w="1099" w:type="dxa"/>
          </w:tcPr>
          <w:p w14:paraId="3F4BC0D9" w14:textId="40E0F68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6.23</w:t>
            </w:r>
          </w:p>
        </w:tc>
        <w:tc>
          <w:tcPr>
            <w:tcW w:w="1191" w:type="dxa"/>
          </w:tcPr>
          <w:p w14:paraId="16C0F34C" w14:textId="03B5C53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91.46</w:t>
            </w:r>
          </w:p>
        </w:tc>
      </w:tr>
      <w:tr w:rsidR="00C6675C" w:rsidRPr="00076997" w14:paraId="0A2F75F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BA5904E" w14:textId="00970DEE" w:rsidR="00C6675C" w:rsidRPr="00076997" w:rsidRDefault="00C6675C" w:rsidP="005649C9">
            <w:pPr>
              <w:pStyle w:val="Tablebody"/>
              <w:rPr>
                <w:rFonts w:cs="Open Sans"/>
                <w:szCs w:val="18"/>
              </w:rPr>
            </w:pPr>
            <w:r w:rsidRPr="00076997">
              <w:rPr>
                <w:rFonts w:cs="Open Sans"/>
                <w:szCs w:val="18"/>
              </w:rPr>
              <w:t>S10</w:t>
            </w:r>
          </w:p>
        </w:tc>
        <w:tc>
          <w:tcPr>
            <w:tcW w:w="4592" w:type="dxa"/>
          </w:tcPr>
          <w:p w14:paraId="599DD72D" w14:textId="3212BCCF"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who wait weeks or months to report sexual harassment are probably lying</w:t>
            </w:r>
          </w:p>
        </w:tc>
        <w:tc>
          <w:tcPr>
            <w:tcW w:w="737" w:type="dxa"/>
          </w:tcPr>
          <w:p w14:paraId="1754C732" w14:textId="13E210AB"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A6A8795" w14:textId="62A61DD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53E01E5E" w14:textId="19D3203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2.22</w:t>
            </w:r>
          </w:p>
        </w:tc>
        <w:tc>
          <w:tcPr>
            <w:tcW w:w="1247" w:type="dxa"/>
          </w:tcPr>
          <w:p w14:paraId="57F9E1AD" w14:textId="53879B6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4.50</w:t>
            </w:r>
          </w:p>
        </w:tc>
        <w:tc>
          <w:tcPr>
            <w:tcW w:w="1191" w:type="dxa"/>
          </w:tcPr>
          <w:p w14:paraId="28538869" w14:textId="146255F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15.62</w:t>
            </w:r>
          </w:p>
        </w:tc>
        <w:tc>
          <w:tcPr>
            <w:tcW w:w="1110" w:type="dxa"/>
          </w:tcPr>
          <w:p w14:paraId="27A4E077" w14:textId="1B892633"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74.17</w:t>
            </w:r>
          </w:p>
        </w:tc>
        <w:tc>
          <w:tcPr>
            <w:tcW w:w="1248" w:type="dxa"/>
          </w:tcPr>
          <w:p w14:paraId="7B43F12B" w14:textId="778B25D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3.27</w:t>
            </w:r>
          </w:p>
        </w:tc>
        <w:tc>
          <w:tcPr>
            <w:tcW w:w="1099" w:type="dxa"/>
          </w:tcPr>
          <w:p w14:paraId="78880ACF" w14:textId="3038064C"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6.72</w:t>
            </w:r>
          </w:p>
        </w:tc>
        <w:tc>
          <w:tcPr>
            <w:tcW w:w="1191" w:type="dxa"/>
          </w:tcPr>
          <w:p w14:paraId="1613A1B6" w14:textId="70564CE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89.79</w:t>
            </w:r>
          </w:p>
        </w:tc>
      </w:tr>
      <w:tr w:rsidR="00C6675C" w:rsidRPr="00076997" w14:paraId="13609D6C"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A4534C9" w14:textId="77777777" w:rsidR="00C6675C" w:rsidRPr="00076997" w:rsidRDefault="00C6675C" w:rsidP="005649C9">
            <w:pPr>
              <w:pStyle w:val="Tablebody"/>
              <w:rPr>
                <w:rFonts w:cs="Open Sans"/>
                <w:szCs w:val="18"/>
                <w:lang w:val="en-GB"/>
              </w:rPr>
            </w:pPr>
            <w:r w:rsidRPr="00076997">
              <w:rPr>
                <w:rFonts w:cs="Open Sans"/>
                <w:szCs w:val="18"/>
              </w:rPr>
              <w:lastRenderedPageBreak/>
              <w:t>S18</w:t>
            </w:r>
          </w:p>
        </w:tc>
        <w:tc>
          <w:tcPr>
            <w:tcW w:w="4592" w:type="dxa"/>
          </w:tcPr>
          <w:p w14:paraId="3C06BF73"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Many allegations of sexual assault made by women are false</w:t>
            </w:r>
            <w:r w:rsidRPr="00076997">
              <w:rPr>
                <w:rFonts w:ascii="Montserrat" w:hAnsi="Montserrat" w:cs="Montserrat"/>
                <w:szCs w:val="18"/>
                <w:lang w:val="en-US"/>
              </w:rPr>
              <w:t>~</w:t>
            </w:r>
          </w:p>
        </w:tc>
        <w:tc>
          <w:tcPr>
            <w:tcW w:w="737" w:type="dxa"/>
          </w:tcPr>
          <w:p w14:paraId="69EB785A"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975077D" w14:textId="77777777"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443</w:t>
            </w:r>
          </w:p>
        </w:tc>
        <w:tc>
          <w:tcPr>
            <w:tcW w:w="1077" w:type="dxa"/>
          </w:tcPr>
          <w:p w14:paraId="2D8DB908" w14:textId="314FF121"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1.58</w:t>
            </w:r>
            <w:r w:rsidRPr="00076997">
              <w:rPr>
                <w:rFonts w:cs="Open Sans"/>
                <w:szCs w:val="18"/>
                <w:vertAlign w:val="superscript"/>
              </w:rPr>
              <w:t>c</w:t>
            </w:r>
          </w:p>
        </w:tc>
        <w:tc>
          <w:tcPr>
            <w:tcW w:w="1247" w:type="dxa"/>
          </w:tcPr>
          <w:p w14:paraId="719C516B" w14:textId="0929E19D"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11.02</w:t>
            </w:r>
          </w:p>
        </w:tc>
        <w:tc>
          <w:tcPr>
            <w:tcW w:w="1191" w:type="dxa"/>
          </w:tcPr>
          <w:p w14:paraId="4D389722" w14:textId="6A41A566"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29.93</w:t>
            </w:r>
          </w:p>
        </w:tc>
        <w:tc>
          <w:tcPr>
            <w:tcW w:w="1110" w:type="dxa"/>
          </w:tcPr>
          <w:p w14:paraId="2D96B527" w14:textId="73CA9C3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52.52</w:t>
            </w:r>
          </w:p>
        </w:tc>
        <w:tc>
          <w:tcPr>
            <w:tcW w:w="1248" w:type="dxa"/>
          </w:tcPr>
          <w:p w14:paraId="50C8CA71" w14:textId="6A270580"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4.48</w:t>
            </w:r>
          </w:p>
        </w:tc>
        <w:tc>
          <w:tcPr>
            <w:tcW w:w="1099" w:type="dxa"/>
          </w:tcPr>
          <w:p w14:paraId="427ED2BB" w14:textId="500228F8"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12.60</w:t>
            </w:r>
          </w:p>
        </w:tc>
        <w:tc>
          <w:tcPr>
            <w:tcW w:w="1191" w:type="dxa"/>
          </w:tcPr>
          <w:p w14:paraId="0FF3B482" w14:textId="5F3C0ABA" w:rsidR="00C6675C" w:rsidRPr="00076997" w:rsidRDefault="00C6675C"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82.45</w:t>
            </w:r>
          </w:p>
        </w:tc>
      </w:tr>
      <w:tr w:rsidR="00BE0D40" w:rsidRPr="00076997" w14:paraId="7EB5076C"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43EAF98" w14:textId="766B9EC8" w:rsidR="00BE0D40" w:rsidRPr="00076997" w:rsidRDefault="00BE0D40" w:rsidP="005649C9">
            <w:pPr>
              <w:pStyle w:val="Tablebody"/>
              <w:rPr>
                <w:rFonts w:cs="Open Sans"/>
                <w:szCs w:val="18"/>
              </w:rPr>
            </w:pPr>
            <w:r w:rsidRPr="00076997">
              <w:rPr>
                <w:rFonts w:cs="Open Sans"/>
                <w:szCs w:val="18"/>
              </w:rPr>
              <w:t>S18</w:t>
            </w:r>
          </w:p>
        </w:tc>
        <w:tc>
          <w:tcPr>
            <w:tcW w:w="4592" w:type="dxa"/>
          </w:tcPr>
          <w:p w14:paraId="63E31EB4" w14:textId="3941694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Many allegations of sexual assault made by women are false</w:t>
            </w:r>
            <w:r w:rsidRPr="00076997">
              <w:rPr>
                <w:rFonts w:ascii="Montserrat" w:hAnsi="Montserrat" w:cs="Montserrat"/>
                <w:szCs w:val="18"/>
                <w:lang w:val="en-US"/>
              </w:rPr>
              <w:t>~</w:t>
            </w:r>
          </w:p>
        </w:tc>
        <w:tc>
          <w:tcPr>
            <w:tcW w:w="737" w:type="dxa"/>
          </w:tcPr>
          <w:p w14:paraId="1B1DB9FB" w14:textId="1D70D98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5E749CD0" w14:textId="0D56F3B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4,346</w:t>
            </w:r>
          </w:p>
        </w:tc>
        <w:tc>
          <w:tcPr>
            <w:tcW w:w="1077" w:type="dxa"/>
          </w:tcPr>
          <w:p w14:paraId="3AB0AE1B" w14:textId="5BD109E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3.14</w:t>
            </w:r>
          </w:p>
        </w:tc>
        <w:tc>
          <w:tcPr>
            <w:tcW w:w="1247" w:type="dxa"/>
          </w:tcPr>
          <w:p w14:paraId="271413C8" w14:textId="7D769D6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10.63</w:t>
            </w:r>
          </w:p>
        </w:tc>
        <w:tc>
          <w:tcPr>
            <w:tcW w:w="1191" w:type="dxa"/>
          </w:tcPr>
          <w:p w14:paraId="4847AE8E" w14:textId="4A80EC6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24.31</w:t>
            </w:r>
          </w:p>
        </w:tc>
        <w:tc>
          <w:tcPr>
            <w:tcW w:w="1110" w:type="dxa"/>
          </w:tcPr>
          <w:p w14:paraId="010061B2" w14:textId="4EFB0F6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52.59</w:t>
            </w:r>
          </w:p>
        </w:tc>
        <w:tc>
          <w:tcPr>
            <w:tcW w:w="1248" w:type="dxa"/>
          </w:tcPr>
          <w:p w14:paraId="06B0908E" w14:textId="108ABB4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8.54</w:t>
            </w:r>
          </w:p>
        </w:tc>
        <w:tc>
          <w:tcPr>
            <w:tcW w:w="1099" w:type="dxa"/>
          </w:tcPr>
          <w:p w14:paraId="3EA6557A" w14:textId="353FA35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13.77</w:t>
            </w:r>
          </w:p>
        </w:tc>
        <w:tc>
          <w:tcPr>
            <w:tcW w:w="1191" w:type="dxa"/>
          </w:tcPr>
          <w:p w14:paraId="0E2A1003" w14:textId="6569B61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76.90</w:t>
            </w:r>
          </w:p>
        </w:tc>
      </w:tr>
      <w:tr w:rsidR="00BE0D40" w:rsidRPr="00076997" w14:paraId="281E393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9F976C4" w14:textId="77777777" w:rsidR="00BE0D40" w:rsidRPr="00076997" w:rsidRDefault="00BE0D40" w:rsidP="005649C9">
            <w:pPr>
              <w:pStyle w:val="Tablebody"/>
              <w:rPr>
                <w:rFonts w:cs="Open Sans"/>
                <w:szCs w:val="18"/>
                <w:lang w:val="en-GB"/>
              </w:rPr>
            </w:pPr>
            <w:r w:rsidRPr="00076997">
              <w:rPr>
                <w:rFonts w:cs="Open Sans"/>
                <w:szCs w:val="18"/>
              </w:rPr>
              <w:t>S22</w:t>
            </w:r>
          </w:p>
        </w:tc>
        <w:tc>
          <w:tcPr>
            <w:tcW w:w="4592" w:type="dxa"/>
          </w:tcPr>
          <w:p w14:paraId="424DFD7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claims to have been sexually assaulted but has no other physical injuries she probably shouldn’t be taken too seriously</w:t>
            </w:r>
          </w:p>
        </w:tc>
        <w:tc>
          <w:tcPr>
            <w:tcW w:w="737" w:type="dxa"/>
          </w:tcPr>
          <w:p w14:paraId="45029EC5"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091B6CC"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47FBAADA" w14:textId="26C366E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1.05</w:t>
            </w:r>
            <w:r w:rsidRPr="00076997">
              <w:rPr>
                <w:rFonts w:cs="Open Sans"/>
                <w:szCs w:val="18"/>
                <w:vertAlign w:val="superscript"/>
              </w:rPr>
              <w:t>c</w:t>
            </w:r>
          </w:p>
        </w:tc>
        <w:tc>
          <w:tcPr>
            <w:tcW w:w="1247" w:type="dxa"/>
          </w:tcPr>
          <w:p w14:paraId="623F43A6" w14:textId="7415BCE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3.92</w:t>
            </w:r>
          </w:p>
        </w:tc>
        <w:tc>
          <w:tcPr>
            <w:tcW w:w="1191" w:type="dxa"/>
          </w:tcPr>
          <w:p w14:paraId="68AD7148" w14:textId="411B528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10.49</w:t>
            </w:r>
          </w:p>
        </w:tc>
        <w:tc>
          <w:tcPr>
            <w:tcW w:w="1110" w:type="dxa"/>
          </w:tcPr>
          <w:p w14:paraId="02ACA042" w14:textId="72DF096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83.14</w:t>
            </w:r>
          </w:p>
        </w:tc>
        <w:tc>
          <w:tcPr>
            <w:tcW w:w="1248" w:type="dxa"/>
          </w:tcPr>
          <w:p w14:paraId="38722E4C" w14:textId="3B8C1A2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1.13</w:t>
            </w:r>
          </w:p>
        </w:tc>
        <w:tc>
          <w:tcPr>
            <w:tcW w:w="1099" w:type="dxa"/>
          </w:tcPr>
          <w:p w14:paraId="7C7F29F8" w14:textId="2DA12AF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4.97</w:t>
            </w:r>
          </w:p>
        </w:tc>
        <w:tc>
          <w:tcPr>
            <w:tcW w:w="1191" w:type="dxa"/>
          </w:tcPr>
          <w:p w14:paraId="2850356C" w14:textId="75576E8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93.63</w:t>
            </w:r>
          </w:p>
        </w:tc>
      </w:tr>
      <w:tr w:rsidR="00BE0D40" w:rsidRPr="00076997" w14:paraId="6E319CF2"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15B569B" w14:textId="7B83CF02" w:rsidR="00BE0D40" w:rsidRPr="00076997" w:rsidRDefault="00BE0D40" w:rsidP="005649C9">
            <w:pPr>
              <w:pStyle w:val="Tablebody"/>
              <w:rPr>
                <w:rFonts w:cs="Open Sans"/>
                <w:szCs w:val="18"/>
              </w:rPr>
            </w:pPr>
            <w:r w:rsidRPr="00076997">
              <w:rPr>
                <w:rFonts w:cs="Open Sans"/>
                <w:szCs w:val="18"/>
              </w:rPr>
              <w:t>S22</w:t>
            </w:r>
          </w:p>
        </w:tc>
        <w:tc>
          <w:tcPr>
            <w:tcW w:w="4592" w:type="dxa"/>
          </w:tcPr>
          <w:p w14:paraId="6816402A" w14:textId="3E748F0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claims to have been sexually assaulted but has no other physical injuries she probably shouldn’t be taken too seriously</w:t>
            </w:r>
          </w:p>
        </w:tc>
        <w:tc>
          <w:tcPr>
            <w:tcW w:w="737" w:type="dxa"/>
          </w:tcPr>
          <w:p w14:paraId="38A86C84" w14:textId="18A0C0E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057D4F4" w14:textId="6A1586A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349155AE" w14:textId="56DBB6F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1.54</w:t>
            </w:r>
          </w:p>
        </w:tc>
        <w:tc>
          <w:tcPr>
            <w:tcW w:w="1247" w:type="dxa"/>
          </w:tcPr>
          <w:p w14:paraId="4690C12A" w14:textId="46071D1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2.95</w:t>
            </w:r>
          </w:p>
        </w:tc>
        <w:tc>
          <w:tcPr>
            <w:tcW w:w="1191" w:type="dxa"/>
          </w:tcPr>
          <w:p w14:paraId="3A4F30A4" w14:textId="19F2C7E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10.51</w:t>
            </w:r>
          </w:p>
        </w:tc>
        <w:tc>
          <w:tcPr>
            <w:tcW w:w="1110" w:type="dxa"/>
          </w:tcPr>
          <w:p w14:paraId="0B09C8E4" w14:textId="11EBC1A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82.77</w:t>
            </w:r>
          </w:p>
        </w:tc>
        <w:tc>
          <w:tcPr>
            <w:tcW w:w="1248" w:type="dxa"/>
          </w:tcPr>
          <w:p w14:paraId="116C86FB" w14:textId="1C70401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1.94</w:t>
            </w:r>
          </w:p>
        </w:tc>
        <w:tc>
          <w:tcPr>
            <w:tcW w:w="1099" w:type="dxa"/>
          </w:tcPr>
          <w:p w14:paraId="0B830ED9" w14:textId="19577CD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4.49</w:t>
            </w:r>
          </w:p>
        </w:tc>
        <w:tc>
          <w:tcPr>
            <w:tcW w:w="1191" w:type="dxa"/>
          </w:tcPr>
          <w:p w14:paraId="3DDD4F22" w14:textId="4C5CE65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93.28</w:t>
            </w:r>
          </w:p>
        </w:tc>
      </w:tr>
      <w:tr w:rsidR="00BE0D40" w:rsidRPr="00076997" w14:paraId="5629167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BD26F95" w14:textId="77777777" w:rsidR="00BE0D40" w:rsidRPr="00076997" w:rsidRDefault="00BE0D40" w:rsidP="005649C9">
            <w:pPr>
              <w:pStyle w:val="Tablebody"/>
              <w:rPr>
                <w:rFonts w:cs="Open Sans"/>
                <w:szCs w:val="18"/>
                <w:lang w:val="en-GB"/>
              </w:rPr>
            </w:pPr>
            <w:r w:rsidRPr="00076997">
              <w:rPr>
                <w:rFonts w:cs="Open Sans"/>
                <w:szCs w:val="18"/>
              </w:rPr>
              <w:t>S23</w:t>
            </w:r>
          </w:p>
        </w:tc>
        <w:tc>
          <w:tcPr>
            <w:tcW w:w="4592" w:type="dxa"/>
          </w:tcPr>
          <w:p w14:paraId="630F77D3" w14:textId="758F69A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It is common for sexual assault accusations to</w:t>
            </w:r>
            <w:r>
              <w:rPr>
                <w:rFonts w:cs="Open Sans"/>
                <w:szCs w:val="18"/>
                <w:lang w:val="en-US"/>
              </w:rPr>
              <w:t> </w:t>
            </w:r>
            <w:r w:rsidRPr="00076997">
              <w:rPr>
                <w:rFonts w:cs="Open Sans"/>
                <w:szCs w:val="18"/>
                <w:lang w:val="en-US"/>
              </w:rPr>
              <w:t>be</w:t>
            </w:r>
            <w:r>
              <w:rPr>
                <w:rFonts w:cs="Open Sans"/>
                <w:szCs w:val="18"/>
                <w:lang w:val="en-US"/>
              </w:rPr>
              <w:t> </w:t>
            </w:r>
            <w:r w:rsidRPr="00076997">
              <w:rPr>
                <w:rFonts w:cs="Open Sans"/>
                <w:szCs w:val="18"/>
                <w:lang w:val="en-US"/>
              </w:rPr>
              <w:t>used as a way of getting back at men</w:t>
            </w:r>
          </w:p>
        </w:tc>
        <w:tc>
          <w:tcPr>
            <w:tcW w:w="737" w:type="dxa"/>
          </w:tcPr>
          <w:p w14:paraId="6374CB8B"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2B170EF"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6F39BE26" w14:textId="43E2848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7.31</w:t>
            </w:r>
          </w:p>
        </w:tc>
        <w:tc>
          <w:tcPr>
            <w:tcW w:w="1247" w:type="dxa"/>
          </w:tcPr>
          <w:p w14:paraId="6A148D9E" w14:textId="5BBDD65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25.88</w:t>
            </w:r>
          </w:p>
        </w:tc>
        <w:tc>
          <w:tcPr>
            <w:tcW w:w="1191" w:type="dxa"/>
          </w:tcPr>
          <w:p w14:paraId="118E9D10" w14:textId="5C07D68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25.16</w:t>
            </w:r>
          </w:p>
        </w:tc>
        <w:tc>
          <w:tcPr>
            <w:tcW w:w="1110" w:type="dxa"/>
          </w:tcPr>
          <w:p w14:paraId="62322DCE" w14:textId="604CDFD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36.34</w:t>
            </w:r>
          </w:p>
        </w:tc>
        <w:tc>
          <w:tcPr>
            <w:tcW w:w="1248" w:type="dxa"/>
          </w:tcPr>
          <w:p w14:paraId="30E27568" w14:textId="516E649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5.02</w:t>
            </w:r>
          </w:p>
        </w:tc>
        <w:tc>
          <w:tcPr>
            <w:tcW w:w="1099" w:type="dxa"/>
          </w:tcPr>
          <w:p w14:paraId="07F14EA8" w14:textId="1D09E3D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33.19</w:t>
            </w:r>
          </w:p>
        </w:tc>
        <w:tc>
          <w:tcPr>
            <w:tcW w:w="1191" w:type="dxa"/>
          </w:tcPr>
          <w:p w14:paraId="2BD2EF0A" w14:textId="6D77DF5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61.50</w:t>
            </w:r>
          </w:p>
        </w:tc>
      </w:tr>
      <w:tr w:rsidR="00BE0D40" w:rsidRPr="00076997" w14:paraId="0861FF8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D284A9C" w14:textId="4F94339E" w:rsidR="00BE0D40" w:rsidRPr="00076997" w:rsidRDefault="00BE0D40" w:rsidP="005649C9">
            <w:pPr>
              <w:pStyle w:val="Tablebody"/>
              <w:rPr>
                <w:rFonts w:cs="Open Sans"/>
                <w:szCs w:val="18"/>
              </w:rPr>
            </w:pPr>
            <w:r w:rsidRPr="00076997">
              <w:rPr>
                <w:rFonts w:cs="Open Sans"/>
                <w:szCs w:val="18"/>
              </w:rPr>
              <w:t>S23</w:t>
            </w:r>
          </w:p>
        </w:tc>
        <w:tc>
          <w:tcPr>
            <w:tcW w:w="4592" w:type="dxa"/>
          </w:tcPr>
          <w:p w14:paraId="7DC318C3" w14:textId="74C4AD9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It is common for sexual assault accusations to</w:t>
            </w:r>
            <w:r>
              <w:rPr>
                <w:rFonts w:cs="Open Sans"/>
                <w:szCs w:val="18"/>
                <w:lang w:val="en-US"/>
              </w:rPr>
              <w:t> </w:t>
            </w:r>
            <w:r w:rsidRPr="00076997">
              <w:rPr>
                <w:rFonts w:cs="Open Sans"/>
                <w:szCs w:val="18"/>
                <w:lang w:val="en-US"/>
              </w:rPr>
              <w:t>be</w:t>
            </w:r>
            <w:r>
              <w:rPr>
                <w:rFonts w:cs="Open Sans"/>
                <w:szCs w:val="18"/>
                <w:lang w:val="en-US"/>
              </w:rPr>
              <w:t> </w:t>
            </w:r>
            <w:r w:rsidRPr="00076997">
              <w:rPr>
                <w:rFonts w:cs="Open Sans"/>
                <w:szCs w:val="18"/>
                <w:lang w:val="en-US"/>
              </w:rPr>
              <w:t>used as a way of getting back at men</w:t>
            </w:r>
          </w:p>
        </w:tc>
        <w:tc>
          <w:tcPr>
            <w:tcW w:w="737" w:type="dxa"/>
          </w:tcPr>
          <w:p w14:paraId="4099E5BA" w14:textId="3844379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6B0EF832" w14:textId="2C15B5D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38547805" w14:textId="57ED90A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7.73</w:t>
            </w:r>
          </w:p>
        </w:tc>
        <w:tc>
          <w:tcPr>
            <w:tcW w:w="1247" w:type="dxa"/>
          </w:tcPr>
          <w:p w14:paraId="1B8D3A5A" w14:textId="4FD2720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26.82</w:t>
            </w:r>
          </w:p>
        </w:tc>
        <w:tc>
          <w:tcPr>
            <w:tcW w:w="1191" w:type="dxa"/>
          </w:tcPr>
          <w:p w14:paraId="14043CB4" w14:textId="576DC5A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22.18</w:t>
            </w:r>
          </w:p>
        </w:tc>
        <w:tc>
          <w:tcPr>
            <w:tcW w:w="1110" w:type="dxa"/>
          </w:tcPr>
          <w:p w14:paraId="01998D1A" w14:textId="294426E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33.95</w:t>
            </w:r>
          </w:p>
        </w:tc>
        <w:tc>
          <w:tcPr>
            <w:tcW w:w="1248" w:type="dxa"/>
          </w:tcPr>
          <w:p w14:paraId="7AC6CB66" w14:textId="36945AB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8.80</w:t>
            </w:r>
          </w:p>
        </w:tc>
        <w:tc>
          <w:tcPr>
            <w:tcW w:w="1099" w:type="dxa"/>
          </w:tcPr>
          <w:p w14:paraId="377607A9" w14:textId="7468AAD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34.55</w:t>
            </w:r>
          </w:p>
        </w:tc>
        <w:tc>
          <w:tcPr>
            <w:tcW w:w="1191" w:type="dxa"/>
          </w:tcPr>
          <w:p w14:paraId="4610AA4C" w14:textId="6E6EF92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56.13</w:t>
            </w:r>
          </w:p>
        </w:tc>
      </w:tr>
      <w:tr w:rsidR="00BE0D40" w:rsidRPr="00076997" w14:paraId="0325AC9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38C73E5" w14:textId="77777777" w:rsidR="00BE0D40" w:rsidRPr="00076997" w:rsidRDefault="00BE0D40" w:rsidP="005649C9">
            <w:pPr>
              <w:pStyle w:val="Tablebody"/>
              <w:rPr>
                <w:rFonts w:cs="Open Sans"/>
                <w:szCs w:val="18"/>
                <w:lang w:val="en-GB"/>
              </w:rPr>
            </w:pPr>
            <w:r w:rsidRPr="00076997">
              <w:rPr>
                <w:rFonts w:cs="Open Sans"/>
                <w:szCs w:val="18"/>
              </w:rPr>
              <w:t>S24</w:t>
            </w:r>
          </w:p>
        </w:tc>
        <w:tc>
          <w:tcPr>
            <w:tcW w:w="4592" w:type="dxa"/>
          </w:tcPr>
          <w:p w14:paraId="6E46FF4A"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A lot of times, women who say they were raped had led the man on and then had regrets</w:t>
            </w:r>
          </w:p>
        </w:tc>
        <w:tc>
          <w:tcPr>
            <w:tcW w:w="737" w:type="dxa"/>
          </w:tcPr>
          <w:p w14:paraId="34BCB7B0"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46DFB3E1"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3C1C716F" w14:textId="598D78F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3.85</w:t>
            </w:r>
          </w:p>
        </w:tc>
        <w:tc>
          <w:tcPr>
            <w:tcW w:w="1247" w:type="dxa"/>
          </w:tcPr>
          <w:p w14:paraId="5388DDBC" w14:textId="58254CB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16.59</w:t>
            </w:r>
          </w:p>
        </w:tc>
        <w:tc>
          <w:tcPr>
            <w:tcW w:w="1191" w:type="dxa"/>
          </w:tcPr>
          <w:p w14:paraId="14F75DD4" w14:textId="25A5867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24.54</w:t>
            </w:r>
          </w:p>
        </w:tc>
        <w:tc>
          <w:tcPr>
            <w:tcW w:w="1110" w:type="dxa"/>
          </w:tcPr>
          <w:p w14:paraId="0F179802" w14:textId="02BE3F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46.85</w:t>
            </w:r>
          </w:p>
        </w:tc>
        <w:tc>
          <w:tcPr>
            <w:tcW w:w="1248" w:type="dxa"/>
          </w:tcPr>
          <w:p w14:paraId="07C00942" w14:textId="786996B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7.57</w:t>
            </w:r>
          </w:p>
        </w:tc>
        <w:tc>
          <w:tcPr>
            <w:tcW w:w="1099" w:type="dxa"/>
          </w:tcPr>
          <w:p w14:paraId="612BD42C" w14:textId="0B9EF66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20.44</w:t>
            </w:r>
          </w:p>
        </w:tc>
        <w:tc>
          <w:tcPr>
            <w:tcW w:w="1191" w:type="dxa"/>
          </w:tcPr>
          <w:p w14:paraId="28C75C1E" w14:textId="2B78182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71.39</w:t>
            </w:r>
          </w:p>
        </w:tc>
      </w:tr>
      <w:tr w:rsidR="00BE0D40" w:rsidRPr="00076997" w14:paraId="68A4DC0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209607A" w14:textId="65DF8F4D" w:rsidR="00BE0D40" w:rsidRPr="00076997" w:rsidRDefault="00BE0D40" w:rsidP="005649C9">
            <w:pPr>
              <w:pStyle w:val="Tablebody"/>
              <w:rPr>
                <w:rFonts w:cs="Open Sans"/>
                <w:szCs w:val="18"/>
              </w:rPr>
            </w:pPr>
            <w:r w:rsidRPr="00076997">
              <w:rPr>
                <w:rFonts w:cs="Open Sans"/>
                <w:szCs w:val="18"/>
              </w:rPr>
              <w:t>S24</w:t>
            </w:r>
          </w:p>
        </w:tc>
        <w:tc>
          <w:tcPr>
            <w:tcW w:w="4592" w:type="dxa"/>
          </w:tcPr>
          <w:p w14:paraId="5CC6EB88" w14:textId="4780A68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A lot of times, women who say they were raped had led the man on and then had regrets</w:t>
            </w:r>
          </w:p>
        </w:tc>
        <w:tc>
          <w:tcPr>
            <w:tcW w:w="737" w:type="dxa"/>
          </w:tcPr>
          <w:p w14:paraId="5646979F" w14:textId="2D8291A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6D339915" w14:textId="051B362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6F84B12A" w14:textId="7FFA02C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5.03</w:t>
            </w:r>
          </w:p>
        </w:tc>
        <w:tc>
          <w:tcPr>
            <w:tcW w:w="1247" w:type="dxa"/>
          </w:tcPr>
          <w:p w14:paraId="508D7FE2" w14:textId="3549B9D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19.10</w:t>
            </w:r>
          </w:p>
        </w:tc>
        <w:tc>
          <w:tcPr>
            <w:tcW w:w="1191" w:type="dxa"/>
          </w:tcPr>
          <w:p w14:paraId="5F6FE308" w14:textId="686AC79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21.59</w:t>
            </w:r>
          </w:p>
        </w:tc>
        <w:tc>
          <w:tcPr>
            <w:tcW w:w="1110" w:type="dxa"/>
          </w:tcPr>
          <w:p w14:paraId="62659341" w14:textId="6376DF7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43.87</w:t>
            </w:r>
          </w:p>
        </w:tc>
        <w:tc>
          <w:tcPr>
            <w:tcW w:w="1248" w:type="dxa"/>
          </w:tcPr>
          <w:p w14:paraId="6DCF0D49" w14:textId="6266BCC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9.69</w:t>
            </w:r>
          </w:p>
        </w:tc>
        <w:tc>
          <w:tcPr>
            <w:tcW w:w="1099" w:type="dxa"/>
          </w:tcPr>
          <w:p w14:paraId="3B3DA035" w14:textId="1A6415A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24.13</w:t>
            </w:r>
          </w:p>
        </w:tc>
        <w:tc>
          <w:tcPr>
            <w:tcW w:w="1191" w:type="dxa"/>
          </w:tcPr>
          <w:p w14:paraId="4637E04E" w14:textId="0C9E68F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65.46</w:t>
            </w:r>
          </w:p>
        </w:tc>
      </w:tr>
      <w:tr w:rsidR="00BE0D40" w:rsidRPr="00076997" w14:paraId="3F80D041"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79A6D3F" w14:textId="77777777" w:rsidR="00BE0D40" w:rsidRPr="00076997" w:rsidRDefault="00BE0D40" w:rsidP="005649C9">
            <w:pPr>
              <w:pStyle w:val="Tablebody"/>
              <w:rPr>
                <w:rFonts w:cs="Open Sans"/>
                <w:szCs w:val="18"/>
                <w:lang w:val="en-GB"/>
              </w:rPr>
            </w:pPr>
            <w:r w:rsidRPr="00076997">
              <w:rPr>
                <w:rFonts w:cs="Open Sans"/>
                <w:szCs w:val="18"/>
              </w:rPr>
              <w:t>S25</w:t>
            </w:r>
          </w:p>
        </w:tc>
        <w:tc>
          <w:tcPr>
            <w:tcW w:w="4592" w:type="dxa"/>
          </w:tcPr>
          <w:p w14:paraId="3A5DD7AA"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who wait weeks or months to report sexual assault are probably lying</w:t>
            </w:r>
          </w:p>
        </w:tc>
        <w:tc>
          <w:tcPr>
            <w:tcW w:w="737" w:type="dxa"/>
          </w:tcPr>
          <w:p w14:paraId="3D275D10"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A2A1385"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26B39D25" w14:textId="62E25BD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1.21</w:t>
            </w:r>
            <w:r w:rsidRPr="00076997">
              <w:rPr>
                <w:rFonts w:cs="Open Sans"/>
                <w:szCs w:val="18"/>
                <w:vertAlign w:val="superscript"/>
              </w:rPr>
              <w:t>c</w:t>
            </w:r>
          </w:p>
        </w:tc>
        <w:tc>
          <w:tcPr>
            <w:tcW w:w="1247" w:type="dxa"/>
          </w:tcPr>
          <w:p w14:paraId="479A8C8B" w14:textId="2D31D1B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4.49</w:t>
            </w:r>
          </w:p>
        </w:tc>
        <w:tc>
          <w:tcPr>
            <w:tcW w:w="1191" w:type="dxa"/>
          </w:tcPr>
          <w:p w14:paraId="3A7966F3" w14:textId="6DD9229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16.26</w:t>
            </w:r>
          </w:p>
        </w:tc>
        <w:tc>
          <w:tcPr>
            <w:tcW w:w="1110" w:type="dxa"/>
          </w:tcPr>
          <w:p w14:paraId="71744622" w14:textId="4D00EC7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75.83</w:t>
            </w:r>
          </w:p>
        </w:tc>
        <w:tc>
          <w:tcPr>
            <w:tcW w:w="1248" w:type="dxa"/>
          </w:tcPr>
          <w:p w14:paraId="4654C64C" w14:textId="7ABB6C1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1.89</w:t>
            </w:r>
          </w:p>
        </w:tc>
        <w:tc>
          <w:tcPr>
            <w:tcW w:w="1099" w:type="dxa"/>
          </w:tcPr>
          <w:p w14:paraId="1680B7E4" w14:textId="71E63EE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5.70</w:t>
            </w:r>
          </w:p>
        </w:tc>
        <w:tc>
          <w:tcPr>
            <w:tcW w:w="1191" w:type="dxa"/>
          </w:tcPr>
          <w:p w14:paraId="2AB6BD16" w14:textId="4DB4FD5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92.09</w:t>
            </w:r>
          </w:p>
        </w:tc>
      </w:tr>
      <w:tr w:rsidR="00BE0D40" w:rsidRPr="00076997" w14:paraId="1757936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FB0FA4D" w14:textId="602DB595" w:rsidR="00BE0D40" w:rsidRPr="00076997" w:rsidRDefault="00BE0D40" w:rsidP="005649C9">
            <w:pPr>
              <w:pStyle w:val="Tablebody"/>
              <w:rPr>
                <w:rFonts w:cs="Open Sans"/>
                <w:szCs w:val="18"/>
              </w:rPr>
            </w:pPr>
            <w:r w:rsidRPr="00076997">
              <w:rPr>
                <w:rFonts w:cs="Open Sans"/>
                <w:szCs w:val="18"/>
              </w:rPr>
              <w:t>S25</w:t>
            </w:r>
          </w:p>
        </w:tc>
        <w:tc>
          <w:tcPr>
            <w:tcW w:w="4592" w:type="dxa"/>
          </w:tcPr>
          <w:p w14:paraId="737F5C3F" w14:textId="66764E3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who wait weeks or months to report sexual assault are probably lying</w:t>
            </w:r>
          </w:p>
        </w:tc>
        <w:tc>
          <w:tcPr>
            <w:tcW w:w="737" w:type="dxa"/>
          </w:tcPr>
          <w:p w14:paraId="7802DBE3" w14:textId="63A48E8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0BA8F2C" w14:textId="3AFC50A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301360A1" w14:textId="7CAF8D7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2.52</w:t>
            </w:r>
          </w:p>
        </w:tc>
        <w:tc>
          <w:tcPr>
            <w:tcW w:w="1247" w:type="dxa"/>
          </w:tcPr>
          <w:p w14:paraId="726ECB90" w14:textId="75D38DF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4.85</w:t>
            </w:r>
          </w:p>
        </w:tc>
        <w:tc>
          <w:tcPr>
            <w:tcW w:w="1191" w:type="dxa"/>
          </w:tcPr>
          <w:p w14:paraId="1F8453AB" w14:textId="4FF9EDF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17.06</w:t>
            </w:r>
          </w:p>
        </w:tc>
        <w:tc>
          <w:tcPr>
            <w:tcW w:w="1110" w:type="dxa"/>
          </w:tcPr>
          <w:p w14:paraId="328A8071" w14:textId="422AB6E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72.33</w:t>
            </w:r>
          </w:p>
        </w:tc>
        <w:tc>
          <w:tcPr>
            <w:tcW w:w="1248" w:type="dxa"/>
          </w:tcPr>
          <w:p w14:paraId="066E472C" w14:textId="7BB6BEA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2.83</w:t>
            </w:r>
          </w:p>
        </w:tc>
        <w:tc>
          <w:tcPr>
            <w:tcW w:w="1099" w:type="dxa"/>
          </w:tcPr>
          <w:p w14:paraId="4FAD0779" w14:textId="2CBC587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7.37</w:t>
            </w:r>
          </w:p>
        </w:tc>
        <w:tc>
          <w:tcPr>
            <w:tcW w:w="1191" w:type="dxa"/>
          </w:tcPr>
          <w:p w14:paraId="3C049868" w14:textId="5099D02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89.39</w:t>
            </w:r>
          </w:p>
        </w:tc>
      </w:tr>
      <w:tr w:rsidR="00BE0D40" w:rsidRPr="00076997" w14:paraId="670D37A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239C712" w14:textId="77777777" w:rsidR="00BE0D40" w:rsidRPr="00076997" w:rsidRDefault="00BE0D40" w:rsidP="005649C9">
            <w:pPr>
              <w:pStyle w:val="Tablebody"/>
              <w:rPr>
                <w:rFonts w:cs="Open Sans"/>
                <w:szCs w:val="18"/>
                <w:lang w:val="en-GB"/>
              </w:rPr>
            </w:pPr>
            <w:r w:rsidRPr="00076997">
              <w:rPr>
                <w:rFonts w:cs="Open Sans"/>
                <w:szCs w:val="18"/>
              </w:rPr>
              <w:t>V3</w:t>
            </w:r>
          </w:p>
        </w:tc>
        <w:tc>
          <w:tcPr>
            <w:tcW w:w="4592" w:type="dxa"/>
          </w:tcPr>
          <w:p w14:paraId="1D96C10D"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Many women exaggerate the extent of men’s violence against women^</w:t>
            </w:r>
          </w:p>
        </w:tc>
        <w:tc>
          <w:tcPr>
            <w:tcW w:w="737" w:type="dxa"/>
          </w:tcPr>
          <w:p w14:paraId="3B78DC73"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6AE019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768777ED" w14:textId="722EA1D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3.97</w:t>
            </w:r>
          </w:p>
        </w:tc>
        <w:tc>
          <w:tcPr>
            <w:tcW w:w="1247" w:type="dxa"/>
          </w:tcPr>
          <w:p w14:paraId="09CD12A4" w14:textId="591CB5C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19.53</w:t>
            </w:r>
          </w:p>
        </w:tc>
        <w:tc>
          <w:tcPr>
            <w:tcW w:w="1191" w:type="dxa"/>
          </w:tcPr>
          <w:p w14:paraId="04CA4AC6" w14:textId="4C92E8A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27.34</w:t>
            </w:r>
          </w:p>
        </w:tc>
        <w:tc>
          <w:tcPr>
            <w:tcW w:w="1110" w:type="dxa"/>
          </w:tcPr>
          <w:p w14:paraId="13CC3312" w14:textId="6AF05B5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41.12</w:t>
            </w:r>
          </w:p>
        </w:tc>
        <w:tc>
          <w:tcPr>
            <w:tcW w:w="1248" w:type="dxa"/>
          </w:tcPr>
          <w:p w14:paraId="137F5BB9" w14:textId="187BBC9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7.95</w:t>
            </w:r>
          </w:p>
        </w:tc>
        <w:tc>
          <w:tcPr>
            <w:tcW w:w="1099" w:type="dxa"/>
          </w:tcPr>
          <w:p w14:paraId="331459DC" w14:textId="656AA16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23.51</w:t>
            </w:r>
          </w:p>
        </w:tc>
        <w:tc>
          <w:tcPr>
            <w:tcW w:w="1191" w:type="dxa"/>
          </w:tcPr>
          <w:p w14:paraId="4D984EA0" w14:textId="2F668F0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68.46</w:t>
            </w:r>
          </w:p>
        </w:tc>
      </w:tr>
      <w:tr w:rsidR="00BE0D40" w:rsidRPr="00076997" w14:paraId="5C461C7F"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078E4B4" w14:textId="66D2BACD" w:rsidR="00BE0D40" w:rsidRPr="00076997" w:rsidRDefault="00BE0D40" w:rsidP="005649C9">
            <w:pPr>
              <w:pStyle w:val="Tablebody"/>
              <w:rPr>
                <w:rFonts w:cs="Open Sans"/>
                <w:szCs w:val="18"/>
              </w:rPr>
            </w:pPr>
            <w:r w:rsidRPr="00076997">
              <w:rPr>
                <w:rFonts w:cs="Open Sans"/>
                <w:szCs w:val="18"/>
              </w:rPr>
              <w:t>V3</w:t>
            </w:r>
          </w:p>
        </w:tc>
        <w:tc>
          <w:tcPr>
            <w:tcW w:w="4592" w:type="dxa"/>
          </w:tcPr>
          <w:p w14:paraId="58EA99AB" w14:textId="25DA322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Many women exaggerate the extent of men’s violence against women^</w:t>
            </w:r>
          </w:p>
        </w:tc>
        <w:tc>
          <w:tcPr>
            <w:tcW w:w="737" w:type="dxa"/>
          </w:tcPr>
          <w:p w14:paraId="3B160B84" w14:textId="3EC3B87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57C48AFD" w14:textId="7587CDE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2A14E30E" w14:textId="75F3AEC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5.58</w:t>
            </w:r>
          </w:p>
        </w:tc>
        <w:tc>
          <w:tcPr>
            <w:tcW w:w="1247" w:type="dxa"/>
          </w:tcPr>
          <w:p w14:paraId="7E574D13" w14:textId="2084CC4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17.57</w:t>
            </w:r>
          </w:p>
        </w:tc>
        <w:tc>
          <w:tcPr>
            <w:tcW w:w="1191" w:type="dxa"/>
          </w:tcPr>
          <w:p w14:paraId="7634CC8F" w14:textId="219CA9D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24.29</w:t>
            </w:r>
          </w:p>
        </w:tc>
        <w:tc>
          <w:tcPr>
            <w:tcW w:w="1110" w:type="dxa"/>
          </w:tcPr>
          <w:p w14:paraId="62987120" w14:textId="122D4B5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42.31</w:t>
            </w:r>
          </w:p>
        </w:tc>
        <w:tc>
          <w:tcPr>
            <w:tcW w:w="1248" w:type="dxa"/>
          </w:tcPr>
          <w:p w14:paraId="0D38B71D" w14:textId="6EB124F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10.01</w:t>
            </w:r>
          </w:p>
        </w:tc>
        <w:tc>
          <w:tcPr>
            <w:tcW w:w="1099" w:type="dxa"/>
          </w:tcPr>
          <w:p w14:paraId="53D588E2" w14:textId="1CE342E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23.15</w:t>
            </w:r>
          </w:p>
        </w:tc>
        <w:tc>
          <w:tcPr>
            <w:tcW w:w="1191" w:type="dxa"/>
          </w:tcPr>
          <w:p w14:paraId="41F12C87" w14:textId="558ACD2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66.60</w:t>
            </w:r>
          </w:p>
        </w:tc>
      </w:tr>
    </w:tbl>
    <w:p w14:paraId="050D1BCC" w14:textId="720E0E65" w:rsidR="00AA07BC" w:rsidRDefault="00D131E7" w:rsidP="005649C9">
      <w:pPr>
        <w:pStyle w:val="Tablesubheading0"/>
      </w:pPr>
      <w:r>
        <w:t>Subscale: Objectify Women</w:t>
      </w:r>
    </w:p>
    <w:tbl>
      <w:tblPr>
        <w:tblStyle w:val="Table-SingleHeaderRow"/>
        <w:tblW w:w="14952" w:type="dxa"/>
        <w:tblLayout w:type="fixed"/>
        <w:tblLook w:val="00A0" w:firstRow="1" w:lastRow="0" w:firstColumn="1" w:lastColumn="0" w:noHBand="0" w:noVBand="0"/>
      </w:tblPr>
      <w:tblGrid>
        <w:gridCol w:w="723"/>
        <w:gridCol w:w="4592"/>
        <w:gridCol w:w="737"/>
        <w:gridCol w:w="737"/>
        <w:gridCol w:w="1077"/>
        <w:gridCol w:w="1247"/>
        <w:gridCol w:w="1191"/>
        <w:gridCol w:w="1110"/>
        <w:gridCol w:w="1248"/>
        <w:gridCol w:w="1099"/>
        <w:gridCol w:w="1191"/>
      </w:tblGrid>
      <w:tr w:rsidR="004335F8" w:rsidRPr="00076997" w14:paraId="623EC203" w14:textId="77777777" w:rsidTr="005649C9">
        <w:trPr>
          <w:cnfStyle w:val="100000000000" w:firstRow="1" w:lastRow="0" w:firstColumn="0" w:lastColumn="0" w:oddVBand="0" w:evenVBand="0" w:oddHBand="0" w:evenHBand="0" w:firstRowFirstColumn="0" w:firstRowLastColumn="0" w:lastRowFirstColumn="0" w:lastRowLastColumn="0"/>
          <w:trHeight w:val="532"/>
          <w:tblHeader/>
        </w:trPr>
        <w:tc>
          <w:tcPr>
            <w:cnfStyle w:val="001000000000" w:firstRow="0" w:lastRow="0" w:firstColumn="1" w:lastColumn="0" w:oddVBand="0" w:evenVBand="0" w:oddHBand="0" w:evenHBand="0" w:firstRowFirstColumn="0" w:firstRowLastColumn="0" w:lastRowFirstColumn="0" w:lastRowLastColumn="0"/>
            <w:tcW w:w="723" w:type="dxa"/>
          </w:tcPr>
          <w:p w14:paraId="2EDBC6AB" w14:textId="77777777" w:rsidR="004335F8" w:rsidRPr="00076997" w:rsidRDefault="004335F8" w:rsidP="005649C9">
            <w:pPr>
              <w:pStyle w:val="Tablebody"/>
              <w:rPr>
                <w:b w:val="0"/>
                <w:lang w:val="en-GB"/>
              </w:rPr>
            </w:pPr>
            <w:r w:rsidRPr="00076997">
              <w:t>Code</w:t>
            </w:r>
          </w:p>
        </w:tc>
        <w:tc>
          <w:tcPr>
            <w:tcW w:w="4592" w:type="dxa"/>
          </w:tcPr>
          <w:p w14:paraId="40616CAE"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Abbreviated item wording</w:t>
            </w:r>
          </w:p>
        </w:tc>
        <w:tc>
          <w:tcPr>
            <w:tcW w:w="737" w:type="dxa"/>
          </w:tcPr>
          <w:p w14:paraId="749331E3"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Age</w:t>
            </w:r>
          </w:p>
        </w:tc>
        <w:tc>
          <w:tcPr>
            <w:tcW w:w="737" w:type="dxa"/>
          </w:tcPr>
          <w:p w14:paraId="4DEDDA22"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76997">
              <w:rPr>
                <w:rStyle w:val="Emphasis"/>
                <w:lang w:val="en-GB"/>
              </w:rPr>
              <w:t>N</w:t>
            </w:r>
          </w:p>
        </w:tc>
        <w:tc>
          <w:tcPr>
            <w:tcW w:w="1077" w:type="dxa"/>
          </w:tcPr>
          <w:p w14:paraId="38D6302E"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agree</w:t>
            </w:r>
          </w:p>
        </w:tc>
        <w:tc>
          <w:tcPr>
            <w:tcW w:w="1247" w:type="dxa"/>
          </w:tcPr>
          <w:p w14:paraId="0C0328C9"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agree</w:t>
            </w:r>
          </w:p>
        </w:tc>
        <w:tc>
          <w:tcPr>
            <w:tcW w:w="1191" w:type="dxa"/>
          </w:tcPr>
          <w:p w14:paraId="704052DA"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disagree</w:t>
            </w:r>
          </w:p>
        </w:tc>
        <w:tc>
          <w:tcPr>
            <w:tcW w:w="1110" w:type="dxa"/>
          </w:tcPr>
          <w:p w14:paraId="6EB758FF"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disagree</w:t>
            </w:r>
          </w:p>
        </w:tc>
        <w:tc>
          <w:tcPr>
            <w:tcW w:w="1248" w:type="dxa"/>
          </w:tcPr>
          <w:p w14:paraId="0ADE2CBF"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Undecided</w:t>
            </w:r>
          </w:p>
        </w:tc>
        <w:tc>
          <w:tcPr>
            <w:tcW w:w="1099" w:type="dxa"/>
          </w:tcPr>
          <w:p w14:paraId="0867437A"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agree</w:t>
            </w:r>
            <w:r w:rsidRPr="00076997">
              <w:rPr>
                <w:vertAlign w:val="superscript"/>
              </w:rPr>
              <w:t>a</w:t>
            </w:r>
          </w:p>
        </w:tc>
        <w:tc>
          <w:tcPr>
            <w:tcW w:w="1191" w:type="dxa"/>
          </w:tcPr>
          <w:p w14:paraId="7C94599C" w14:textId="77777777" w:rsidR="004335F8" w:rsidRPr="00076997" w:rsidRDefault="004335F8"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disagree</w:t>
            </w:r>
            <w:r w:rsidRPr="00076997">
              <w:rPr>
                <w:vertAlign w:val="superscript"/>
              </w:rPr>
              <w:t>b</w:t>
            </w:r>
          </w:p>
        </w:tc>
      </w:tr>
      <w:tr w:rsidR="007769C3" w:rsidRPr="00076997" w14:paraId="39452A9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70F3BAD" w14:textId="77777777" w:rsidR="007769C3" w:rsidRPr="00076997" w:rsidRDefault="007769C3" w:rsidP="005649C9">
            <w:pPr>
              <w:pStyle w:val="Tablebody"/>
              <w:rPr>
                <w:rFonts w:cs="Open Sans"/>
                <w:szCs w:val="18"/>
                <w:lang w:val="en-GB"/>
              </w:rPr>
            </w:pPr>
            <w:r w:rsidRPr="00076997">
              <w:rPr>
                <w:rFonts w:cs="Open Sans"/>
                <w:szCs w:val="18"/>
              </w:rPr>
              <w:t>D26</w:t>
            </w:r>
          </w:p>
        </w:tc>
        <w:tc>
          <w:tcPr>
            <w:tcW w:w="4592" w:type="dxa"/>
          </w:tcPr>
          <w:p w14:paraId="4E715202" w14:textId="77777777"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who flirt all the time are somewhat to blame if their partner gets jealous and hits them^</w:t>
            </w:r>
          </w:p>
        </w:tc>
        <w:tc>
          <w:tcPr>
            <w:tcW w:w="737" w:type="dxa"/>
          </w:tcPr>
          <w:p w14:paraId="6C6401B9" w14:textId="77777777"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53A2FEBB" w14:textId="77777777"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0EDBD4BD" w14:textId="40E428AF"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1.78</w:t>
            </w:r>
            <w:r w:rsidRPr="00076997">
              <w:rPr>
                <w:rFonts w:cs="Open Sans"/>
                <w:szCs w:val="18"/>
                <w:vertAlign w:val="superscript"/>
              </w:rPr>
              <w:t>c</w:t>
            </w:r>
          </w:p>
        </w:tc>
        <w:tc>
          <w:tcPr>
            <w:tcW w:w="1247" w:type="dxa"/>
          </w:tcPr>
          <w:p w14:paraId="34E05106" w14:textId="072F59A4"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7.74</w:t>
            </w:r>
          </w:p>
        </w:tc>
        <w:tc>
          <w:tcPr>
            <w:tcW w:w="1191" w:type="dxa"/>
          </w:tcPr>
          <w:p w14:paraId="044B9A9A" w14:textId="79B4CAF8"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14.62</w:t>
            </w:r>
          </w:p>
        </w:tc>
        <w:tc>
          <w:tcPr>
            <w:tcW w:w="1110" w:type="dxa"/>
          </w:tcPr>
          <w:p w14:paraId="5C697944" w14:textId="57FE362B"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73.37</w:t>
            </w:r>
          </w:p>
        </w:tc>
        <w:tc>
          <w:tcPr>
            <w:tcW w:w="1248" w:type="dxa"/>
          </w:tcPr>
          <w:p w14:paraId="169F1571" w14:textId="0BF9AB14"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2.42</w:t>
            </w:r>
            <w:r w:rsidRPr="00076997">
              <w:rPr>
                <w:rFonts w:cs="Open Sans"/>
                <w:szCs w:val="18"/>
                <w:vertAlign w:val="superscript"/>
              </w:rPr>
              <w:t>c</w:t>
            </w:r>
          </w:p>
        </w:tc>
        <w:tc>
          <w:tcPr>
            <w:tcW w:w="1099" w:type="dxa"/>
          </w:tcPr>
          <w:p w14:paraId="3B76226C" w14:textId="415F7C1E"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9.52</w:t>
            </w:r>
          </w:p>
        </w:tc>
        <w:tc>
          <w:tcPr>
            <w:tcW w:w="1191" w:type="dxa"/>
          </w:tcPr>
          <w:p w14:paraId="084E2745" w14:textId="4A7C8DA7" w:rsidR="007769C3" w:rsidRPr="00076997" w:rsidRDefault="007769C3"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87.99</w:t>
            </w:r>
          </w:p>
        </w:tc>
      </w:tr>
      <w:tr w:rsidR="00BE0D40" w:rsidRPr="00076997" w14:paraId="74331CF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A08FF6D" w14:textId="5AC3F058" w:rsidR="00BE0D40" w:rsidRPr="00076997" w:rsidRDefault="00BE0D40" w:rsidP="005649C9">
            <w:pPr>
              <w:pStyle w:val="Tablebody"/>
              <w:rPr>
                <w:rFonts w:cs="Open Sans"/>
                <w:szCs w:val="18"/>
              </w:rPr>
            </w:pPr>
            <w:r w:rsidRPr="00076997">
              <w:rPr>
                <w:rFonts w:cs="Open Sans"/>
                <w:szCs w:val="18"/>
              </w:rPr>
              <w:lastRenderedPageBreak/>
              <w:t>D26</w:t>
            </w:r>
          </w:p>
        </w:tc>
        <w:tc>
          <w:tcPr>
            <w:tcW w:w="4592" w:type="dxa"/>
          </w:tcPr>
          <w:p w14:paraId="163BA316" w14:textId="228E7F8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who flirt all the time are somewhat to blame if their partner gets jealous and hits them^</w:t>
            </w:r>
          </w:p>
        </w:tc>
        <w:tc>
          <w:tcPr>
            <w:tcW w:w="737" w:type="dxa"/>
          </w:tcPr>
          <w:p w14:paraId="08EC3619" w14:textId="4FBF813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68E40BE9" w14:textId="00CDCC2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0FA9D7A4" w14:textId="721E3A4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3.59</w:t>
            </w:r>
          </w:p>
        </w:tc>
        <w:tc>
          <w:tcPr>
            <w:tcW w:w="1247" w:type="dxa"/>
          </w:tcPr>
          <w:p w14:paraId="01C27AEF" w14:textId="0CAE998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7.40</w:t>
            </w:r>
          </w:p>
        </w:tc>
        <w:tc>
          <w:tcPr>
            <w:tcW w:w="1191" w:type="dxa"/>
          </w:tcPr>
          <w:p w14:paraId="1CF2D9D3" w14:textId="2144861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11.81</w:t>
            </w:r>
          </w:p>
        </w:tc>
        <w:tc>
          <w:tcPr>
            <w:tcW w:w="1110" w:type="dxa"/>
          </w:tcPr>
          <w:p w14:paraId="2B9B3392" w14:textId="5CD8129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74.80</w:t>
            </w:r>
          </w:p>
        </w:tc>
        <w:tc>
          <w:tcPr>
            <w:tcW w:w="1248" w:type="dxa"/>
          </w:tcPr>
          <w:p w14:paraId="7C163031" w14:textId="684E119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2.23</w:t>
            </w:r>
          </w:p>
        </w:tc>
        <w:tc>
          <w:tcPr>
            <w:tcW w:w="1099" w:type="dxa"/>
          </w:tcPr>
          <w:p w14:paraId="7A43C4EE" w14:textId="16055C1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10.99</w:t>
            </w:r>
          </w:p>
        </w:tc>
        <w:tc>
          <w:tcPr>
            <w:tcW w:w="1191" w:type="dxa"/>
          </w:tcPr>
          <w:p w14:paraId="14E6C57E" w14:textId="66AACBD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86.60</w:t>
            </w:r>
          </w:p>
        </w:tc>
      </w:tr>
      <w:tr w:rsidR="00BE0D40" w:rsidRPr="00076997" w14:paraId="68F67FE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0E8ABE0" w14:textId="77777777" w:rsidR="00BE0D40" w:rsidRPr="00076997" w:rsidRDefault="00BE0D40" w:rsidP="005649C9">
            <w:pPr>
              <w:pStyle w:val="Tablebody"/>
              <w:rPr>
                <w:rFonts w:cs="Open Sans"/>
                <w:szCs w:val="18"/>
                <w:lang w:val="en-GB"/>
              </w:rPr>
            </w:pPr>
            <w:r w:rsidRPr="00076997">
              <w:rPr>
                <w:rFonts w:cs="Open Sans"/>
                <w:szCs w:val="18"/>
              </w:rPr>
              <w:t>S3</w:t>
            </w:r>
          </w:p>
        </w:tc>
        <w:tc>
          <w:tcPr>
            <w:tcW w:w="4592" w:type="dxa"/>
          </w:tcPr>
          <w:p w14:paraId="7916528A" w14:textId="386F282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A woman should be flattered if she gets wolf-whistles or cat-calls when walking past a group of</w:t>
            </w:r>
            <w:r>
              <w:rPr>
                <w:rFonts w:cs="Open Sans"/>
                <w:szCs w:val="18"/>
                <w:lang w:val="en-US"/>
              </w:rPr>
              <w:t> </w:t>
            </w:r>
            <w:r w:rsidRPr="00076997">
              <w:rPr>
                <w:rFonts w:cs="Open Sans"/>
                <w:szCs w:val="18"/>
                <w:lang w:val="en-US"/>
              </w:rPr>
              <w:t>men in public^</w:t>
            </w:r>
          </w:p>
        </w:tc>
        <w:tc>
          <w:tcPr>
            <w:tcW w:w="737" w:type="dxa"/>
          </w:tcPr>
          <w:p w14:paraId="686971B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303D63E9"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1F88507E" w14:textId="367E1D3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2.42</w:t>
            </w:r>
          </w:p>
        </w:tc>
        <w:tc>
          <w:tcPr>
            <w:tcW w:w="1247" w:type="dxa"/>
          </w:tcPr>
          <w:p w14:paraId="3C0EEB0D" w14:textId="4265519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4.18*</w:t>
            </w:r>
          </w:p>
        </w:tc>
        <w:tc>
          <w:tcPr>
            <w:tcW w:w="1191" w:type="dxa"/>
          </w:tcPr>
          <w:p w14:paraId="1FE67D2C" w14:textId="4697BE9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20.10</w:t>
            </w:r>
          </w:p>
        </w:tc>
        <w:tc>
          <w:tcPr>
            <w:tcW w:w="1110" w:type="dxa"/>
          </w:tcPr>
          <w:p w14:paraId="47F3FF7F" w14:textId="58C616C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70.57*</w:t>
            </w:r>
          </w:p>
        </w:tc>
        <w:tc>
          <w:tcPr>
            <w:tcW w:w="1248" w:type="dxa"/>
          </w:tcPr>
          <w:p w14:paraId="12DB29D1" w14:textId="196B130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2.39</w:t>
            </w:r>
          </w:p>
        </w:tc>
        <w:tc>
          <w:tcPr>
            <w:tcW w:w="1099" w:type="dxa"/>
          </w:tcPr>
          <w:p w14:paraId="3580BF78" w14:textId="121F484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6.60*</w:t>
            </w:r>
          </w:p>
        </w:tc>
        <w:tc>
          <w:tcPr>
            <w:tcW w:w="1191" w:type="dxa"/>
          </w:tcPr>
          <w:p w14:paraId="18F0CD09" w14:textId="0424C82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90.67*</w:t>
            </w:r>
          </w:p>
        </w:tc>
      </w:tr>
      <w:tr w:rsidR="00BE0D40" w:rsidRPr="00076997" w14:paraId="5B75ED8B"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CD1E0CB" w14:textId="4C8B910B" w:rsidR="00BE0D40" w:rsidRPr="00076997" w:rsidRDefault="00BE0D40" w:rsidP="005649C9">
            <w:pPr>
              <w:pStyle w:val="Tablebody"/>
              <w:rPr>
                <w:rFonts w:cs="Open Sans"/>
                <w:szCs w:val="18"/>
              </w:rPr>
            </w:pPr>
            <w:r w:rsidRPr="00076997">
              <w:rPr>
                <w:rFonts w:cs="Open Sans"/>
                <w:szCs w:val="18"/>
              </w:rPr>
              <w:t>S3</w:t>
            </w:r>
          </w:p>
        </w:tc>
        <w:tc>
          <w:tcPr>
            <w:tcW w:w="4592" w:type="dxa"/>
          </w:tcPr>
          <w:p w14:paraId="2AA9B3C0" w14:textId="3A0D0F8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7769C3">
              <w:rPr>
                <w:rFonts w:cs="Open Sans"/>
                <w:spacing w:val="-2"/>
                <w:szCs w:val="18"/>
                <w:lang w:val="en-US"/>
              </w:rPr>
              <w:t>A woman should be flattered if she gets wolf</w:t>
            </w:r>
            <w:r w:rsidRPr="007769C3">
              <w:rPr>
                <w:rFonts w:cs="Open Sans"/>
                <w:spacing w:val="-2"/>
                <w:szCs w:val="18"/>
                <w:lang w:val="en-US"/>
              </w:rPr>
              <w:noBreakHyphen/>
              <w:t>whistles or cat-calls when walking past a group of men in</w:t>
            </w:r>
            <w:r>
              <w:rPr>
                <w:rFonts w:cs="Open Sans"/>
                <w:spacing w:val="-2"/>
                <w:szCs w:val="18"/>
                <w:lang w:val="en-US"/>
              </w:rPr>
              <w:t> </w:t>
            </w:r>
            <w:r w:rsidRPr="007769C3">
              <w:rPr>
                <w:rFonts w:cs="Open Sans"/>
                <w:spacing w:val="-2"/>
                <w:szCs w:val="18"/>
                <w:lang w:val="en-US"/>
              </w:rPr>
              <w:t>public^</w:t>
            </w:r>
          </w:p>
        </w:tc>
        <w:tc>
          <w:tcPr>
            <w:tcW w:w="737" w:type="dxa"/>
          </w:tcPr>
          <w:p w14:paraId="4B6184B9" w14:textId="2219E41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72D7AFB" w14:textId="56513B9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26D3DDDB" w14:textId="056746B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2.88</w:t>
            </w:r>
          </w:p>
        </w:tc>
        <w:tc>
          <w:tcPr>
            <w:tcW w:w="1247" w:type="dxa"/>
          </w:tcPr>
          <w:p w14:paraId="28F2D8FA" w14:textId="66111C9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10.99*</w:t>
            </w:r>
          </w:p>
        </w:tc>
        <w:tc>
          <w:tcPr>
            <w:tcW w:w="1191" w:type="dxa"/>
          </w:tcPr>
          <w:p w14:paraId="077AAE10" w14:textId="3983CB7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26.29</w:t>
            </w:r>
          </w:p>
        </w:tc>
        <w:tc>
          <w:tcPr>
            <w:tcW w:w="1110" w:type="dxa"/>
          </w:tcPr>
          <w:p w14:paraId="08745AFB" w14:textId="1020731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53.99*</w:t>
            </w:r>
          </w:p>
        </w:tc>
        <w:tc>
          <w:tcPr>
            <w:tcW w:w="1248" w:type="dxa"/>
          </w:tcPr>
          <w:p w14:paraId="72D30761" w14:textId="47EAEB7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5.57</w:t>
            </w:r>
          </w:p>
        </w:tc>
        <w:tc>
          <w:tcPr>
            <w:tcW w:w="1099" w:type="dxa"/>
          </w:tcPr>
          <w:p w14:paraId="24CEF6EC" w14:textId="1A57954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13.87*</w:t>
            </w:r>
          </w:p>
        </w:tc>
        <w:tc>
          <w:tcPr>
            <w:tcW w:w="1191" w:type="dxa"/>
          </w:tcPr>
          <w:p w14:paraId="32E377C1" w14:textId="2D06EAB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80.29*</w:t>
            </w:r>
          </w:p>
        </w:tc>
      </w:tr>
      <w:tr w:rsidR="00BE0D40" w:rsidRPr="00076997" w14:paraId="7503A8C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06B5BC4" w14:textId="77777777" w:rsidR="00BE0D40" w:rsidRPr="00076997" w:rsidRDefault="00BE0D40" w:rsidP="005649C9">
            <w:pPr>
              <w:pStyle w:val="Tablebody"/>
              <w:rPr>
                <w:rFonts w:cs="Open Sans"/>
                <w:szCs w:val="18"/>
                <w:lang w:val="en-GB"/>
              </w:rPr>
            </w:pPr>
            <w:r w:rsidRPr="00076997">
              <w:rPr>
                <w:rFonts w:cs="Open Sans"/>
                <w:szCs w:val="18"/>
              </w:rPr>
              <w:t>S4</w:t>
            </w:r>
          </w:p>
        </w:tc>
        <w:tc>
          <w:tcPr>
            <w:tcW w:w="4592" w:type="dxa"/>
          </w:tcPr>
          <w:p w14:paraId="51AC21FA" w14:textId="51F34CA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is drunk and starts having sex with a</w:t>
            </w:r>
            <w:r>
              <w:rPr>
                <w:rFonts w:cs="Open Sans"/>
                <w:szCs w:val="18"/>
                <w:lang w:val="en-US"/>
              </w:rPr>
              <w:t> </w:t>
            </w:r>
            <w:r w:rsidRPr="00076997">
              <w:rPr>
                <w:rFonts w:cs="Open Sans"/>
                <w:szCs w:val="18"/>
                <w:lang w:val="en-US"/>
              </w:rPr>
              <w:t>man, but then falls asleep, it is understandable if</w:t>
            </w:r>
            <w:r>
              <w:rPr>
                <w:rFonts w:cs="Open Sans"/>
                <w:szCs w:val="18"/>
                <w:lang w:val="en-US"/>
              </w:rPr>
              <w:t> </w:t>
            </w:r>
            <w:r w:rsidRPr="00076997">
              <w:rPr>
                <w:rFonts w:cs="Open Sans"/>
                <w:szCs w:val="18"/>
                <w:lang w:val="en-US"/>
              </w:rPr>
              <w:t>he</w:t>
            </w:r>
            <w:r>
              <w:rPr>
                <w:rFonts w:cs="Open Sans"/>
                <w:szCs w:val="18"/>
                <w:lang w:val="en-US"/>
              </w:rPr>
              <w:t> </w:t>
            </w:r>
            <w:r w:rsidRPr="00076997">
              <w:rPr>
                <w:rFonts w:cs="Open Sans"/>
                <w:szCs w:val="18"/>
                <w:lang w:val="en-US"/>
              </w:rPr>
              <w:t>continues having sex with her anyway^</w:t>
            </w:r>
          </w:p>
        </w:tc>
        <w:tc>
          <w:tcPr>
            <w:tcW w:w="737" w:type="dxa"/>
          </w:tcPr>
          <w:p w14:paraId="53A0615D"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4AC41C0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06AC2D3B" w14:textId="2295B53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0.80</w:t>
            </w:r>
            <w:r w:rsidRPr="00076997">
              <w:rPr>
                <w:rFonts w:cs="Open Sans"/>
                <w:szCs w:val="18"/>
                <w:vertAlign w:val="superscript"/>
              </w:rPr>
              <w:t>c</w:t>
            </w:r>
          </w:p>
        </w:tc>
        <w:tc>
          <w:tcPr>
            <w:tcW w:w="1247" w:type="dxa"/>
          </w:tcPr>
          <w:p w14:paraId="14B8B2DC" w14:textId="6C9D949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3.08</w:t>
            </w:r>
          </w:p>
        </w:tc>
        <w:tc>
          <w:tcPr>
            <w:tcW w:w="1191" w:type="dxa"/>
          </w:tcPr>
          <w:p w14:paraId="30A85A0C" w14:textId="7E577B7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7.69</w:t>
            </w:r>
          </w:p>
        </w:tc>
        <w:tc>
          <w:tcPr>
            <w:tcW w:w="1110" w:type="dxa"/>
          </w:tcPr>
          <w:p w14:paraId="3E52A93B" w14:textId="532BD00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87.06*</w:t>
            </w:r>
          </w:p>
        </w:tc>
        <w:tc>
          <w:tcPr>
            <w:tcW w:w="1248" w:type="dxa"/>
          </w:tcPr>
          <w:p w14:paraId="33B15238" w14:textId="577C35E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1.37</w:t>
            </w:r>
            <w:r w:rsidRPr="00076997">
              <w:rPr>
                <w:rFonts w:cs="Open Sans"/>
                <w:szCs w:val="18"/>
                <w:vertAlign w:val="superscript"/>
              </w:rPr>
              <w:t>c</w:t>
            </w:r>
          </w:p>
        </w:tc>
        <w:tc>
          <w:tcPr>
            <w:tcW w:w="1099" w:type="dxa"/>
          </w:tcPr>
          <w:p w14:paraId="45B770C6" w14:textId="362160F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3.88</w:t>
            </w:r>
          </w:p>
        </w:tc>
        <w:tc>
          <w:tcPr>
            <w:tcW w:w="1191" w:type="dxa"/>
          </w:tcPr>
          <w:p w14:paraId="03F1F9AA" w14:textId="691B4D9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94.75*</w:t>
            </w:r>
          </w:p>
        </w:tc>
      </w:tr>
      <w:tr w:rsidR="00BE0D40" w:rsidRPr="00076997" w14:paraId="551F5E1D"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69F9811" w14:textId="6A908C88" w:rsidR="00BE0D40" w:rsidRPr="00076997" w:rsidRDefault="00BE0D40" w:rsidP="005649C9">
            <w:pPr>
              <w:pStyle w:val="Tablebody"/>
              <w:rPr>
                <w:rFonts w:cs="Open Sans"/>
                <w:szCs w:val="18"/>
              </w:rPr>
            </w:pPr>
            <w:r w:rsidRPr="00076997">
              <w:rPr>
                <w:rFonts w:cs="Open Sans"/>
                <w:szCs w:val="18"/>
              </w:rPr>
              <w:t>S4</w:t>
            </w:r>
          </w:p>
        </w:tc>
        <w:tc>
          <w:tcPr>
            <w:tcW w:w="4592" w:type="dxa"/>
          </w:tcPr>
          <w:p w14:paraId="73998C67" w14:textId="56122CF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is drunk and starts having sex with a</w:t>
            </w:r>
            <w:r>
              <w:rPr>
                <w:rFonts w:cs="Open Sans"/>
                <w:szCs w:val="18"/>
                <w:lang w:val="en-US"/>
              </w:rPr>
              <w:t> </w:t>
            </w:r>
            <w:r w:rsidRPr="00076997">
              <w:rPr>
                <w:rFonts w:cs="Open Sans"/>
                <w:szCs w:val="18"/>
                <w:lang w:val="en-US"/>
              </w:rPr>
              <w:t>man, but then falls asleep, it is understandable if</w:t>
            </w:r>
            <w:r>
              <w:rPr>
                <w:rFonts w:cs="Open Sans"/>
                <w:szCs w:val="18"/>
                <w:lang w:val="en-US"/>
              </w:rPr>
              <w:t> </w:t>
            </w:r>
            <w:r w:rsidRPr="00076997">
              <w:rPr>
                <w:rFonts w:cs="Open Sans"/>
                <w:szCs w:val="18"/>
                <w:lang w:val="en-US"/>
              </w:rPr>
              <w:t>he continues having sex with her anyway^</w:t>
            </w:r>
          </w:p>
        </w:tc>
        <w:tc>
          <w:tcPr>
            <w:tcW w:w="737" w:type="dxa"/>
          </w:tcPr>
          <w:p w14:paraId="64AC4F84" w14:textId="1254B01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41735DC9" w14:textId="55F4357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01E1B1E7" w14:textId="14B3677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1.55</w:t>
            </w:r>
          </w:p>
        </w:tc>
        <w:tc>
          <w:tcPr>
            <w:tcW w:w="1247" w:type="dxa"/>
          </w:tcPr>
          <w:p w14:paraId="4A72A224" w14:textId="41957FF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5.21</w:t>
            </w:r>
          </w:p>
        </w:tc>
        <w:tc>
          <w:tcPr>
            <w:tcW w:w="1191" w:type="dxa"/>
          </w:tcPr>
          <w:p w14:paraId="2AC313E7" w14:textId="1F5B465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9.16</w:t>
            </w:r>
          </w:p>
        </w:tc>
        <w:tc>
          <w:tcPr>
            <w:tcW w:w="1110" w:type="dxa"/>
          </w:tcPr>
          <w:p w14:paraId="18DF40B7" w14:textId="0BA5DA5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78.66*</w:t>
            </w:r>
          </w:p>
        </w:tc>
        <w:tc>
          <w:tcPr>
            <w:tcW w:w="1248" w:type="dxa"/>
          </w:tcPr>
          <w:p w14:paraId="47C25E02" w14:textId="74B4E1B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4.82</w:t>
            </w:r>
          </w:p>
        </w:tc>
        <w:tc>
          <w:tcPr>
            <w:tcW w:w="1099" w:type="dxa"/>
          </w:tcPr>
          <w:p w14:paraId="069D4F0B" w14:textId="5A43FB3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6.77</w:t>
            </w:r>
          </w:p>
        </w:tc>
        <w:tc>
          <w:tcPr>
            <w:tcW w:w="1191" w:type="dxa"/>
          </w:tcPr>
          <w:p w14:paraId="5BEE0414" w14:textId="7D09C08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87.82*</w:t>
            </w:r>
          </w:p>
        </w:tc>
      </w:tr>
      <w:tr w:rsidR="00BE0D40" w:rsidRPr="00076997" w14:paraId="1BCAA91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B6ACB8D" w14:textId="77777777" w:rsidR="00BE0D40" w:rsidRPr="00076997" w:rsidRDefault="00BE0D40" w:rsidP="005649C9">
            <w:pPr>
              <w:pStyle w:val="Tablebody"/>
              <w:rPr>
                <w:rFonts w:cs="Open Sans"/>
                <w:szCs w:val="18"/>
                <w:lang w:val="en-GB"/>
              </w:rPr>
            </w:pPr>
            <w:r w:rsidRPr="00076997">
              <w:rPr>
                <w:rFonts w:cs="Open Sans"/>
                <w:szCs w:val="18"/>
              </w:rPr>
              <w:t>S5</w:t>
            </w:r>
          </w:p>
        </w:tc>
        <w:tc>
          <w:tcPr>
            <w:tcW w:w="4592" w:type="dxa"/>
          </w:tcPr>
          <w:p w14:paraId="6B0F92CC"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often say “no” when they mean “yes”^</w:t>
            </w:r>
          </w:p>
        </w:tc>
        <w:tc>
          <w:tcPr>
            <w:tcW w:w="737" w:type="dxa"/>
          </w:tcPr>
          <w:p w14:paraId="4F7F8D40"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B5AB4E0"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715BA456" w14:textId="55FC408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1.93</w:t>
            </w:r>
          </w:p>
        </w:tc>
        <w:tc>
          <w:tcPr>
            <w:tcW w:w="1247" w:type="dxa"/>
          </w:tcPr>
          <w:p w14:paraId="4D2E658B" w14:textId="1DFC024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7.66</w:t>
            </w:r>
          </w:p>
        </w:tc>
        <w:tc>
          <w:tcPr>
            <w:tcW w:w="1191" w:type="dxa"/>
          </w:tcPr>
          <w:p w14:paraId="294DED41" w14:textId="4A28701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12.47</w:t>
            </w:r>
          </w:p>
        </w:tc>
        <w:tc>
          <w:tcPr>
            <w:tcW w:w="1110" w:type="dxa"/>
          </w:tcPr>
          <w:p w14:paraId="143E96D4" w14:textId="532D93E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75.09</w:t>
            </w:r>
          </w:p>
        </w:tc>
        <w:tc>
          <w:tcPr>
            <w:tcW w:w="1248" w:type="dxa"/>
          </w:tcPr>
          <w:p w14:paraId="16B44010" w14:textId="75E3D94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2.79</w:t>
            </w:r>
          </w:p>
        </w:tc>
        <w:tc>
          <w:tcPr>
            <w:tcW w:w="1099" w:type="dxa"/>
          </w:tcPr>
          <w:p w14:paraId="54CB1526" w14:textId="1054807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9.59</w:t>
            </w:r>
          </w:p>
        </w:tc>
        <w:tc>
          <w:tcPr>
            <w:tcW w:w="1191" w:type="dxa"/>
          </w:tcPr>
          <w:p w14:paraId="5E812739" w14:textId="45DC91E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87.56</w:t>
            </w:r>
          </w:p>
        </w:tc>
      </w:tr>
      <w:tr w:rsidR="00BE0D40" w:rsidRPr="00076997" w14:paraId="74E701BB"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A7BC3B6" w14:textId="000CCEE9" w:rsidR="00BE0D40" w:rsidRPr="00076997" w:rsidRDefault="00BE0D40" w:rsidP="005649C9">
            <w:pPr>
              <w:pStyle w:val="Tablebody"/>
              <w:rPr>
                <w:rFonts w:cs="Open Sans"/>
                <w:szCs w:val="18"/>
              </w:rPr>
            </w:pPr>
            <w:r w:rsidRPr="00076997">
              <w:rPr>
                <w:rFonts w:cs="Open Sans"/>
                <w:szCs w:val="18"/>
              </w:rPr>
              <w:t>S5</w:t>
            </w:r>
          </w:p>
        </w:tc>
        <w:tc>
          <w:tcPr>
            <w:tcW w:w="4592" w:type="dxa"/>
          </w:tcPr>
          <w:p w14:paraId="390FFB01" w14:textId="34F32E7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often say “no” when they mean “yes”^</w:t>
            </w:r>
          </w:p>
        </w:tc>
        <w:tc>
          <w:tcPr>
            <w:tcW w:w="737" w:type="dxa"/>
          </w:tcPr>
          <w:p w14:paraId="351D1FB1" w14:textId="704B246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955AA55" w14:textId="0DC1AAE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26746156" w14:textId="59C69EC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2.55</w:t>
            </w:r>
          </w:p>
        </w:tc>
        <w:tc>
          <w:tcPr>
            <w:tcW w:w="1247" w:type="dxa"/>
          </w:tcPr>
          <w:p w14:paraId="59C6EDA4" w14:textId="33C56AD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7.86</w:t>
            </w:r>
          </w:p>
        </w:tc>
        <w:tc>
          <w:tcPr>
            <w:tcW w:w="1191" w:type="dxa"/>
          </w:tcPr>
          <w:p w14:paraId="3F979EC5" w14:textId="379FB4C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10.37</w:t>
            </w:r>
          </w:p>
        </w:tc>
        <w:tc>
          <w:tcPr>
            <w:tcW w:w="1110" w:type="dxa"/>
          </w:tcPr>
          <w:p w14:paraId="36B2BE83" w14:textId="04E83DB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75.00</w:t>
            </w:r>
          </w:p>
        </w:tc>
        <w:tc>
          <w:tcPr>
            <w:tcW w:w="1248" w:type="dxa"/>
          </w:tcPr>
          <w:p w14:paraId="0243845B" w14:textId="5C94917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3.88</w:t>
            </w:r>
          </w:p>
        </w:tc>
        <w:tc>
          <w:tcPr>
            <w:tcW w:w="1099" w:type="dxa"/>
          </w:tcPr>
          <w:p w14:paraId="73394596" w14:textId="4A9E337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10.41</w:t>
            </w:r>
          </w:p>
        </w:tc>
        <w:tc>
          <w:tcPr>
            <w:tcW w:w="1191" w:type="dxa"/>
          </w:tcPr>
          <w:p w14:paraId="772F83FA" w14:textId="322A1C6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85.38</w:t>
            </w:r>
          </w:p>
        </w:tc>
      </w:tr>
      <w:tr w:rsidR="00BE0D40" w:rsidRPr="00076997" w14:paraId="178AF92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E50A94C" w14:textId="77777777" w:rsidR="00BE0D40" w:rsidRPr="00076997" w:rsidRDefault="00BE0D40" w:rsidP="005649C9">
            <w:pPr>
              <w:pStyle w:val="Tablebody"/>
              <w:rPr>
                <w:rFonts w:cs="Open Sans"/>
                <w:szCs w:val="18"/>
                <w:lang w:val="en-GB"/>
              </w:rPr>
            </w:pPr>
            <w:r w:rsidRPr="00076997">
              <w:rPr>
                <w:rFonts w:cs="Open Sans"/>
                <w:szCs w:val="18"/>
              </w:rPr>
              <w:t>S6</w:t>
            </w:r>
          </w:p>
        </w:tc>
        <w:tc>
          <w:tcPr>
            <w:tcW w:w="4592" w:type="dxa"/>
          </w:tcPr>
          <w:p w14:paraId="177B781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sends a naked picture to her partner, then she is partly responsible if he shares it without her permission</w:t>
            </w:r>
          </w:p>
        </w:tc>
        <w:tc>
          <w:tcPr>
            <w:tcW w:w="737" w:type="dxa"/>
          </w:tcPr>
          <w:p w14:paraId="76BBD084"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E3B4BF2"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3984E01A" w14:textId="174FF4E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6.02</w:t>
            </w:r>
          </w:p>
        </w:tc>
        <w:tc>
          <w:tcPr>
            <w:tcW w:w="1247" w:type="dxa"/>
          </w:tcPr>
          <w:p w14:paraId="4FD63E35" w14:textId="07A9F35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11.88</w:t>
            </w:r>
          </w:p>
        </w:tc>
        <w:tc>
          <w:tcPr>
            <w:tcW w:w="1191" w:type="dxa"/>
          </w:tcPr>
          <w:p w14:paraId="25D0CAFA" w14:textId="5F27D3D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10.83</w:t>
            </w:r>
          </w:p>
        </w:tc>
        <w:tc>
          <w:tcPr>
            <w:tcW w:w="1110" w:type="dxa"/>
          </w:tcPr>
          <w:p w14:paraId="7E80A488" w14:textId="6418ED0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70.28</w:t>
            </w:r>
          </w:p>
        </w:tc>
        <w:tc>
          <w:tcPr>
            <w:tcW w:w="1248" w:type="dxa"/>
          </w:tcPr>
          <w:p w14:paraId="11B6BF52" w14:textId="1BB9BC3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0.97</w:t>
            </w:r>
            <w:r w:rsidRPr="00076997">
              <w:rPr>
                <w:rFonts w:cs="Open Sans"/>
                <w:szCs w:val="18"/>
                <w:vertAlign w:val="superscript"/>
              </w:rPr>
              <w:t>c</w:t>
            </w:r>
          </w:p>
        </w:tc>
        <w:tc>
          <w:tcPr>
            <w:tcW w:w="1099" w:type="dxa"/>
          </w:tcPr>
          <w:p w14:paraId="7D857EE1" w14:textId="76CD889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17.89</w:t>
            </w:r>
          </w:p>
        </w:tc>
        <w:tc>
          <w:tcPr>
            <w:tcW w:w="1191" w:type="dxa"/>
          </w:tcPr>
          <w:p w14:paraId="08AAB268" w14:textId="63D6EFF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81.10</w:t>
            </w:r>
          </w:p>
        </w:tc>
      </w:tr>
      <w:tr w:rsidR="00BE0D40" w:rsidRPr="00076997" w14:paraId="172D680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57F6591" w14:textId="09F086E4" w:rsidR="00BE0D40" w:rsidRPr="00076997" w:rsidRDefault="00BE0D40" w:rsidP="005649C9">
            <w:pPr>
              <w:pStyle w:val="Tablebody"/>
              <w:rPr>
                <w:rFonts w:cs="Open Sans"/>
                <w:szCs w:val="18"/>
              </w:rPr>
            </w:pPr>
            <w:r w:rsidRPr="00076997">
              <w:rPr>
                <w:rFonts w:cs="Open Sans"/>
                <w:szCs w:val="18"/>
              </w:rPr>
              <w:t>S6</w:t>
            </w:r>
          </w:p>
        </w:tc>
        <w:tc>
          <w:tcPr>
            <w:tcW w:w="4592" w:type="dxa"/>
          </w:tcPr>
          <w:p w14:paraId="53682106" w14:textId="5D89F11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sends a naked picture to her partner, then she is partly responsible if he shares it without her permission</w:t>
            </w:r>
          </w:p>
        </w:tc>
        <w:tc>
          <w:tcPr>
            <w:tcW w:w="737" w:type="dxa"/>
          </w:tcPr>
          <w:p w14:paraId="5CC7C99B" w14:textId="0FF264C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78E24C2" w14:textId="61102DC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2325246F" w14:textId="44BA350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9.76</w:t>
            </w:r>
          </w:p>
        </w:tc>
        <w:tc>
          <w:tcPr>
            <w:tcW w:w="1247" w:type="dxa"/>
          </w:tcPr>
          <w:p w14:paraId="62F376D6" w14:textId="3691AE7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11.76</w:t>
            </w:r>
          </w:p>
        </w:tc>
        <w:tc>
          <w:tcPr>
            <w:tcW w:w="1191" w:type="dxa"/>
          </w:tcPr>
          <w:p w14:paraId="3122D8A5" w14:textId="0DDF631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9.34</w:t>
            </w:r>
          </w:p>
        </w:tc>
        <w:tc>
          <w:tcPr>
            <w:tcW w:w="1110" w:type="dxa"/>
          </w:tcPr>
          <w:p w14:paraId="20DDF0CF" w14:textId="4DE99BA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66.84</w:t>
            </w:r>
          </w:p>
        </w:tc>
        <w:tc>
          <w:tcPr>
            <w:tcW w:w="1248" w:type="dxa"/>
          </w:tcPr>
          <w:p w14:paraId="7D6BF7E2" w14:textId="16066E1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2.05</w:t>
            </w:r>
          </w:p>
        </w:tc>
        <w:tc>
          <w:tcPr>
            <w:tcW w:w="1099" w:type="dxa"/>
          </w:tcPr>
          <w:p w14:paraId="32118C44" w14:textId="0FBABA0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21.52</w:t>
            </w:r>
          </w:p>
        </w:tc>
        <w:tc>
          <w:tcPr>
            <w:tcW w:w="1191" w:type="dxa"/>
          </w:tcPr>
          <w:p w14:paraId="663EED95" w14:textId="097E9B0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76.18</w:t>
            </w:r>
          </w:p>
        </w:tc>
      </w:tr>
      <w:tr w:rsidR="00BE0D40" w:rsidRPr="00076997" w14:paraId="163CD674"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81FD533" w14:textId="77777777" w:rsidR="00BE0D40" w:rsidRPr="00076997" w:rsidRDefault="00BE0D40" w:rsidP="005649C9">
            <w:pPr>
              <w:pStyle w:val="Tablebody"/>
              <w:rPr>
                <w:rFonts w:cs="Open Sans"/>
                <w:szCs w:val="18"/>
                <w:lang w:val="en-GB"/>
              </w:rPr>
            </w:pPr>
            <w:r w:rsidRPr="00076997">
              <w:rPr>
                <w:rFonts w:cs="Open Sans"/>
                <w:szCs w:val="18"/>
              </w:rPr>
              <w:t>S7</w:t>
            </w:r>
          </w:p>
        </w:tc>
        <w:tc>
          <w:tcPr>
            <w:tcW w:w="4592" w:type="dxa"/>
          </w:tcPr>
          <w:p w14:paraId="1842D33B" w14:textId="2906470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Since some women are so sexual in public, it’s</w:t>
            </w:r>
            <w:r>
              <w:rPr>
                <w:rFonts w:cs="Open Sans"/>
                <w:szCs w:val="18"/>
                <w:lang w:val="en-US"/>
              </w:rPr>
              <w:t> </w:t>
            </w:r>
            <w:r w:rsidRPr="00076997">
              <w:rPr>
                <w:rFonts w:cs="Open Sans"/>
                <w:szCs w:val="18"/>
                <w:lang w:val="en-US"/>
              </w:rPr>
              <w:t>understandable that some men think they can touch women without permission</w:t>
            </w:r>
          </w:p>
        </w:tc>
        <w:tc>
          <w:tcPr>
            <w:tcW w:w="737" w:type="dxa"/>
          </w:tcPr>
          <w:p w14:paraId="56AE3FC5"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75D15163"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0FC332D1" w14:textId="09F307D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2.11</w:t>
            </w:r>
          </w:p>
        </w:tc>
        <w:tc>
          <w:tcPr>
            <w:tcW w:w="1247" w:type="dxa"/>
          </w:tcPr>
          <w:p w14:paraId="4D1B530E" w14:textId="50BC922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4.94</w:t>
            </w:r>
          </w:p>
        </w:tc>
        <w:tc>
          <w:tcPr>
            <w:tcW w:w="1191" w:type="dxa"/>
          </w:tcPr>
          <w:p w14:paraId="4C03223C" w14:textId="60A4FA9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5.54</w:t>
            </w:r>
          </w:p>
        </w:tc>
        <w:tc>
          <w:tcPr>
            <w:tcW w:w="1110" w:type="dxa"/>
          </w:tcPr>
          <w:p w14:paraId="0BF8929D" w14:textId="50BAD46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86.35</w:t>
            </w:r>
          </w:p>
        </w:tc>
        <w:tc>
          <w:tcPr>
            <w:tcW w:w="1248" w:type="dxa"/>
          </w:tcPr>
          <w:p w14:paraId="3327413E" w14:textId="3F75453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0.90</w:t>
            </w:r>
            <w:r w:rsidRPr="00076997">
              <w:rPr>
                <w:rFonts w:cs="Open Sans"/>
                <w:szCs w:val="18"/>
                <w:vertAlign w:val="superscript"/>
              </w:rPr>
              <w:t>c</w:t>
            </w:r>
          </w:p>
        </w:tc>
        <w:tc>
          <w:tcPr>
            <w:tcW w:w="1099" w:type="dxa"/>
          </w:tcPr>
          <w:p w14:paraId="5BE305C5" w14:textId="16F4835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7.05</w:t>
            </w:r>
          </w:p>
        </w:tc>
        <w:tc>
          <w:tcPr>
            <w:tcW w:w="1191" w:type="dxa"/>
          </w:tcPr>
          <w:p w14:paraId="423F6CC7" w14:textId="0FE7ACE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91.88</w:t>
            </w:r>
          </w:p>
        </w:tc>
      </w:tr>
      <w:tr w:rsidR="00BE0D40" w:rsidRPr="00076997" w14:paraId="3C99130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DA47636" w14:textId="48A9D73A" w:rsidR="00BE0D40" w:rsidRPr="00076997" w:rsidRDefault="00BE0D40" w:rsidP="005649C9">
            <w:pPr>
              <w:pStyle w:val="Tablebody"/>
              <w:rPr>
                <w:rFonts w:cs="Open Sans"/>
                <w:szCs w:val="18"/>
              </w:rPr>
            </w:pPr>
            <w:r w:rsidRPr="00076997">
              <w:rPr>
                <w:rFonts w:cs="Open Sans"/>
                <w:szCs w:val="18"/>
              </w:rPr>
              <w:t>S7</w:t>
            </w:r>
          </w:p>
        </w:tc>
        <w:tc>
          <w:tcPr>
            <w:tcW w:w="4592" w:type="dxa"/>
          </w:tcPr>
          <w:p w14:paraId="4957C258" w14:textId="6A2F6D0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Since some women are so sexual in public, it’s</w:t>
            </w:r>
            <w:r>
              <w:rPr>
                <w:rFonts w:cs="Open Sans"/>
                <w:szCs w:val="18"/>
                <w:lang w:val="en-US"/>
              </w:rPr>
              <w:t> </w:t>
            </w:r>
            <w:r w:rsidRPr="00076997">
              <w:rPr>
                <w:rFonts w:cs="Open Sans"/>
                <w:szCs w:val="18"/>
                <w:lang w:val="en-US"/>
              </w:rPr>
              <w:t>understandable that some men think they can touch women without permission</w:t>
            </w:r>
          </w:p>
        </w:tc>
        <w:tc>
          <w:tcPr>
            <w:tcW w:w="737" w:type="dxa"/>
          </w:tcPr>
          <w:p w14:paraId="46C783CF" w14:textId="38762E2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6F186DDE" w14:textId="28D5B0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173BDD67" w14:textId="28DF895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3.87</w:t>
            </w:r>
          </w:p>
        </w:tc>
        <w:tc>
          <w:tcPr>
            <w:tcW w:w="1247" w:type="dxa"/>
          </w:tcPr>
          <w:p w14:paraId="6EA986B7" w14:textId="22A4ACB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6.56</w:t>
            </w:r>
          </w:p>
        </w:tc>
        <w:tc>
          <w:tcPr>
            <w:tcW w:w="1191" w:type="dxa"/>
          </w:tcPr>
          <w:p w14:paraId="78A21390" w14:textId="2282C7B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6.43</w:t>
            </w:r>
          </w:p>
        </w:tc>
        <w:tc>
          <w:tcPr>
            <w:tcW w:w="1110" w:type="dxa"/>
          </w:tcPr>
          <w:p w14:paraId="7CD56987" w14:textId="0E348C2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81.59</w:t>
            </w:r>
          </w:p>
        </w:tc>
        <w:tc>
          <w:tcPr>
            <w:tcW w:w="1248" w:type="dxa"/>
          </w:tcPr>
          <w:p w14:paraId="223E67BE" w14:textId="10F1716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1.38</w:t>
            </w:r>
          </w:p>
        </w:tc>
        <w:tc>
          <w:tcPr>
            <w:tcW w:w="1099" w:type="dxa"/>
          </w:tcPr>
          <w:p w14:paraId="4F1E95B3" w14:textId="1997A5C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10.43</w:t>
            </w:r>
          </w:p>
        </w:tc>
        <w:tc>
          <w:tcPr>
            <w:tcW w:w="1191" w:type="dxa"/>
          </w:tcPr>
          <w:p w14:paraId="6361DE46" w14:textId="69C0843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88.02</w:t>
            </w:r>
          </w:p>
        </w:tc>
      </w:tr>
      <w:tr w:rsidR="00BE0D40" w:rsidRPr="00076997" w14:paraId="46593C6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C4666DD" w14:textId="77777777" w:rsidR="00BE0D40" w:rsidRPr="00076997" w:rsidRDefault="00BE0D40" w:rsidP="005649C9">
            <w:pPr>
              <w:pStyle w:val="Tablebody"/>
              <w:rPr>
                <w:rFonts w:cs="Open Sans"/>
                <w:szCs w:val="18"/>
                <w:lang w:val="en-GB"/>
              </w:rPr>
            </w:pPr>
            <w:r w:rsidRPr="00076997">
              <w:rPr>
                <w:rFonts w:cs="Open Sans"/>
                <w:szCs w:val="18"/>
              </w:rPr>
              <w:t>S8</w:t>
            </w:r>
          </w:p>
        </w:tc>
        <w:tc>
          <w:tcPr>
            <w:tcW w:w="4592" w:type="dxa"/>
          </w:tcPr>
          <w:p w14:paraId="23E4E77B" w14:textId="563F635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When a man is very sexually aroused, he may not</w:t>
            </w:r>
            <w:r>
              <w:rPr>
                <w:rFonts w:cs="Open Sans"/>
                <w:szCs w:val="18"/>
                <w:lang w:val="en-US"/>
              </w:rPr>
              <w:t> </w:t>
            </w:r>
            <w:r w:rsidRPr="00076997">
              <w:rPr>
                <w:rFonts w:cs="Open Sans"/>
                <w:szCs w:val="18"/>
                <w:lang w:val="en-US"/>
              </w:rPr>
              <w:t>even realise that the woman doesn’t want to</w:t>
            </w:r>
            <w:r>
              <w:rPr>
                <w:rFonts w:cs="Open Sans"/>
                <w:szCs w:val="18"/>
                <w:lang w:val="en-US"/>
              </w:rPr>
              <w:t> </w:t>
            </w:r>
            <w:r w:rsidRPr="00076997">
              <w:rPr>
                <w:rFonts w:cs="Open Sans"/>
                <w:szCs w:val="18"/>
                <w:lang w:val="en-US"/>
              </w:rPr>
              <w:t>have</w:t>
            </w:r>
            <w:r>
              <w:rPr>
                <w:rFonts w:cs="Open Sans"/>
                <w:szCs w:val="18"/>
                <w:lang w:val="en-US"/>
              </w:rPr>
              <w:t> </w:t>
            </w:r>
            <w:r w:rsidRPr="00076997">
              <w:rPr>
                <w:rFonts w:cs="Open Sans"/>
                <w:szCs w:val="18"/>
                <w:lang w:val="en-US"/>
              </w:rPr>
              <w:t>sex</w:t>
            </w:r>
          </w:p>
        </w:tc>
        <w:tc>
          <w:tcPr>
            <w:tcW w:w="737" w:type="dxa"/>
          </w:tcPr>
          <w:p w14:paraId="1F912032"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D8CCEB8"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50CD18E7" w14:textId="3991106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9.10</w:t>
            </w:r>
          </w:p>
        </w:tc>
        <w:tc>
          <w:tcPr>
            <w:tcW w:w="1247" w:type="dxa"/>
          </w:tcPr>
          <w:p w14:paraId="4CA3A232" w14:textId="154110F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19.46</w:t>
            </w:r>
          </w:p>
        </w:tc>
        <w:tc>
          <w:tcPr>
            <w:tcW w:w="1191" w:type="dxa"/>
          </w:tcPr>
          <w:p w14:paraId="52F37B3D" w14:textId="744F9C1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11.71</w:t>
            </w:r>
          </w:p>
        </w:tc>
        <w:tc>
          <w:tcPr>
            <w:tcW w:w="1110" w:type="dxa"/>
          </w:tcPr>
          <w:p w14:paraId="5C59FA73" w14:textId="23C7E54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55.12</w:t>
            </w:r>
          </w:p>
        </w:tc>
        <w:tc>
          <w:tcPr>
            <w:tcW w:w="1248" w:type="dxa"/>
          </w:tcPr>
          <w:p w14:paraId="62F163DC" w14:textId="61E27B2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4.22</w:t>
            </w:r>
          </w:p>
        </w:tc>
        <w:tc>
          <w:tcPr>
            <w:tcW w:w="1099" w:type="dxa"/>
          </w:tcPr>
          <w:p w14:paraId="0F3B526D" w14:textId="5FA8419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28.56</w:t>
            </w:r>
          </w:p>
        </w:tc>
        <w:tc>
          <w:tcPr>
            <w:tcW w:w="1191" w:type="dxa"/>
          </w:tcPr>
          <w:p w14:paraId="3300F239" w14:textId="4ED477F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66.83</w:t>
            </w:r>
          </w:p>
        </w:tc>
      </w:tr>
      <w:tr w:rsidR="00BE0D40" w:rsidRPr="00076997" w14:paraId="45E69B2A"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38B62CA" w14:textId="7E37B174" w:rsidR="00BE0D40" w:rsidRPr="00076997" w:rsidRDefault="00BE0D40" w:rsidP="005649C9">
            <w:pPr>
              <w:pStyle w:val="Tablebody"/>
              <w:rPr>
                <w:rFonts w:cs="Open Sans"/>
                <w:szCs w:val="18"/>
              </w:rPr>
            </w:pPr>
            <w:r w:rsidRPr="00076997">
              <w:rPr>
                <w:rFonts w:cs="Open Sans"/>
                <w:szCs w:val="18"/>
              </w:rPr>
              <w:t>S8</w:t>
            </w:r>
          </w:p>
        </w:tc>
        <w:tc>
          <w:tcPr>
            <w:tcW w:w="4592" w:type="dxa"/>
          </w:tcPr>
          <w:p w14:paraId="2559C61D" w14:textId="79FA355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When a man is very sexually aroused, he may not</w:t>
            </w:r>
            <w:r>
              <w:rPr>
                <w:rFonts w:cs="Open Sans"/>
                <w:szCs w:val="18"/>
                <w:lang w:val="en-US"/>
              </w:rPr>
              <w:t> </w:t>
            </w:r>
            <w:r w:rsidRPr="00076997">
              <w:rPr>
                <w:rFonts w:cs="Open Sans"/>
                <w:szCs w:val="18"/>
                <w:lang w:val="en-US"/>
              </w:rPr>
              <w:t>even realise that the woman doesn’t want to</w:t>
            </w:r>
            <w:r>
              <w:rPr>
                <w:rFonts w:cs="Open Sans"/>
                <w:szCs w:val="18"/>
                <w:lang w:val="en-US"/>
              </w:rPr>
              <w:t> </w:t>
            </w:r>
            <w:r w:rsidRPr="00076997">
              <w:rPr>
                <w:rFonts w:cs="Open Sans"/>
                <w:szCs w:val="18"/>
                <w:lang w:val="en-US"/>
              </w:rPr>
              <w:t>have sex</w:t>
            </w:r>
          </w:p>
        </w:tc>
        <w:tc>
          <w:tcPr>
            <w:tcW w:w="737" w:type="dxa"/>
          </w:tcPr>
          <w:p w14:paraId="0011FB24" w14:textId="0EDDA1F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4CDC34D2" w14:textId="679AC29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36E34497" w14:textId="3728EAF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10.22</w:t>
            </w:r>
          </w:p>
        </w:tc>
        <w:tc>
          <w:tcPr>
            <w:tcW w:w="1247" w:type="dxa"/>
          </w:tcPr>
          <w:p w14:paraId="47CB3656" w14:textId="37CB993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14.05</w:t>
            </w:r>
          </w:p>
        </w:tc>
        <w:tc>
          <w:tcPr>
            <w:tcW w:w="1191" w:type="dxa"/>
          </w:tcPr>
          <w:p w14:paraId="59F06725" w14:textId="18C2B53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8.59</w:t>
            </w:r>
          </w:p>
        </w:tc>
        <w:tc>
          <w:tcPr>
            <w:tcW w:w="1110" w:type="dxa"/>
          </w:tcPr>
          <w:p w14:paraId="76B1D17A" w14:textId="00AFDD9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60.96</w:t>
            </w:r>
          </w:p>
        </w:tc>
        <w:tc>
          <w:tcPr>
            <w:tcW w:w="1248" w:type="dxa"/>
          </w:tcPr>
          <w:p w14:paraId="1EBE29C3" w14:textId="75D3FFE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5.77</w:t>
            </w:r>
          </w:p>
        </w:tc>
        <w:tc>
          <w:tcPr>
            <w:tcW w:w="1099" w:type="dxa"/>
          </w:tcPr>
          <w:p w14:paraId="0054DBCF" w14:textId="610D474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24.28</w:t>
            </w:r>
          </w:p>
        </w:tc>
        <w:tc>
          <w:tcPr>
            <w:tcW w:w="1191" w:type="dxa"/>
          </w:tcPr>
          <w:p w14:paraId="52814FFE" w14:textId="5573D4F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69.55</w:t>
            </w:r>
          </w:p>
        </w:tc>
      </w:tr>
      <w:tr w:rsidR="00BE0D40" w:rsidRPr="00076997" w14:paraId="3DB2CC3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E9E1CEC" w14:textId="77777777" w:rsidR="00BE0D40" w:rsidRPr="00076997" w:rsidRDefault="00BE0D40" w:rsidP="005649C9">
            <w:pPr>
              <w:pStyle w:val="Tablebody"/>
              <w:rPr>
                <w:rFonts w:cs="Open Sans"/>
                <w:szCs w:val="18"/>
                <w:lang w:val="en-GB"/>
              </w:rPr>
            </w:pPr>
            <w:r w:rsidRPr="00076997">
              <w:rPr>
                <w:rFonts w:cs="Open Sans"/>
                <w:szCs w:val="18"/>
              </w:rPr>
              <w:lastRenderedPageBreak/>
              <w:t>S11</w:t>
            </w:r>
          </w:p>
        </w:tc>
        <w:tc>
          <w:tcPr>
            <w:tcW w:w="4592" w:type="dxa"/>
          </w:tcPr>
          <w:p w14:paraId="62C84E97"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Women find it flattering to be persistently pursued, even if they are not interested^</w:t>
            </w:r>
          </w:p>
        </w:tc>
        <w:tc>
          <w:tcPr>
            <w:tcW w:w="737" w:type="dxa"/>
          </w:tcPr>
          <w:p w14:paraId="397BF449"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635770E7"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829</w:t>
            </w:r>
          </w:p>
        </w:tc>
        <w:tc>
          <w:tcPr>
            <w:tcW w:w="1077" w:type="dxa"/>
          </w:tcPr>
          <w:p w14:paraId="29F22F64" w14:textId="064B1C9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w:t>
            </w:r>
            <w:r w:rsidRPr="00076997">
              <w:rPr>
                <w:rFonts w:cs="Open Sans"/>
                <w:szCs w:val="18"/>
                <w:vertAlign w:val="superscript"/>
              </w:rPr>
              <w:t>c</w:t>
            </w:r>
          </w:p>
        </w:tc>
        <w:tc>
          <w:tcPr>
            <w:tcW w:w="1247" w:type="dxa"/>
          </w:tcPr>
          <w:p w14:paraId="62F9065A" w14:textId="705A50F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9.67</w:t>
            </w:r>
          </w:p>
        </w:tc>
        <w:tc>
          <w:tcPr>
            <w:tcW w:w="1191" w:type="dxa"/>
          </w:tcPr>
          <w:p w14:paraId="6795147B" w14:textId="5C6B742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19.76</w:t>
            </w:r>
          </w:p>
        </w:tc>
        <w:tc>
          <w:tcPr>
            <w:tcW w:w="1110" w:type="dxa"/>
          </w:tcPr>
          <w:p w14:paraId="6B775168" w14:textId="36BE1CF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65.02</w:t>
            </w:r>
          </w:p>
        </w:tc>
        <w:tc>
          <w:tcPr>
            <w:tcW w:w="1248" w:type="dxa"/>
          </w:tcPr>
          <w:p w14:paraId="18B2B4C8" w14:textId="7662147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3.45</w:t>
            </w:r>
          </w:p>
        </w:tc>
        <w:tc>
          <w:tcPr>
            <w:tcW w:w="1099" w:type="dxa"/>
          </w:tcPr>
          <w:p w14:paraId="71CBB1CD" w14:textId="2626FB5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11.28</w:t>
            </w:r>
          </w:p>
        </w:tc>
        <w:tc>
          <w:tcPr>
            <w:tcW w:w="1191" w:type="dxa"/>
          </w:tcPr>
          <w:p w14:paraId="3E898B53" w14:textId="1C52AAB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84.78</w:t>
            </w:r>
          </w:p>
        </w:tc>
      </w:tr>
      <w:tr w:rsidR="00BE0D40" w:rsidRPr="00076997" w14:paraId="7026165E"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48C5B41" w14:textId="6FAE1B2F" w:rsidR="00BE0D40" w:rsidRPr="00076997" w:rsidRDefault="00BE0D40" w:rsidP="005649C9">
            <w:pPr>
              <w:pStyle w:val="Tablebody"/>
              <w:rPr>
                <w:rFonts w:cs="Open Sans"/>
                <w:szCs w:val="18"/>
              </w:rPr>
            </w:pPr>
            <w:r w:rsidRPr="00076997">
              <w:rPr>
                <w:rFonts w:cs="Open Sans"/>
                <w:szCs w:val="18"/>
              </w:rPr>
              <w:t>S11</w:t>
            </w:r>
          </w:p>
        </w:tc>
        <w:tc>
          <w:tcPr>
            <w:tcW w:w="4592" w:type="dxa"/>
          </w:tcPr>
          <w:p w14:paraId="67959BF6" w14:textId="68D0EFB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Women find it flattering to be persistently pursued, even if they are not interested^</w:t>
            </w:r>
          </w:p>
        </w:tc>
        <w:tc>
          <w:tcPr>
            <w:tcW w:w="737" w:type="dxa"/>
          </w:tcPr>
          <w:p w14:paraId="718D13EA" w14:textId="32881D5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4C41F942" w14:textId="2ADA436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8,705</w:t>
            </w:r>
          </w:p>
        </w:tc>
        <w:tc>
          <w:tcPr>
            <w:tcW w:w="1077" w:type="dxa"/>
          </w:tcPr>
          <w:p w14:paraId="1A043F8E" w14:textId="1257E9F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2.67</w:t>
            </w:r>
          </w:p>
        </w:tc>
        <w:tc>
          <w:tcPr>
            <w:tcW w:w="1247" w:type="dxa"/>
          </w:tcPr>
          <w:p w14:paraId="3006F79D" w14:textId="51B7304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10.88</w:t>
            </w:r>
          </w:p>
        </w:tc>
        <w:tc>
          <w:tcPr>
            <w:tcW w:w="1191" w:type="dxa"/>
          </w:tcPr>
          <w:p w14:paraId="16561163" w14:textId="7BC4BAB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21.29</w:t>
            </w:r>
          </w:p>
        </w:tc>
        <w:tc>
          <w:tcPr>
            <w:tcW w:w="1110" w:type="dxa"/>
          </w:tcPr>
          <w:p w14:paraId="7EE5C426" w14:textId="453BAF8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59.09</w:t>
            </w:r>
          </w:p>
        </w:tc>
        <w:tc>
          <w:tcPr>
            <w:tcW w:w="1248" w:type="dxa"/>
          </w:tcPr>
          <w:p w14:paraId="4FA2E70E" w14:textId="1DCAD9E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5.79</w:t>
            </w:r>
          </w:p>
        </w:tc>
        <w:tc>
          <w:tcPr>
            <w:tcW w:w="1099" w:type="dxa"/>
          </w:tcPr>
          <w:p w14:paraId="3786EAAA" w14:textId="0A15CA9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13.55</w:t>
            </w:r>
          </w:p>
        </w:tc>
        <w:tc>
          <w:tcPr>
            <w:tcW w:w="1191" w:type="dxa"/>
          </w:tcPr>
          <w:p w14:paraId="4DE548C9" w14:textId="010A80C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80.38</w:t>
            </w:r>
          </w:p>
        </w:tc>
      </w:tr>
      <w:tr w:rsidR="00BE0D40" w:rsidRPr="00076997" w14:paraId="00E3DBA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6983CE0" w14:textId="77777777" w:rsidR="00BE0D40" w:rsidRPr="00076997" w:rsidRDefault="00BE0D40" w:rsidP="005649C9">
            <w:pPr>
              <w:pStyle w:val="Tablebody"/>
              <w:rPr>
                <w:rFonts w:cs="Open Sans"/>
                <w:szCs w:val="18"/>
                <w:lang w:val="en-GB"/>
              </w:rPr>
            </w:pPr>
            <w:r w:rsidRPr="00076997">
              <w:rPr>
                <w:rFonts w:cs="Open Sans"/>
                <w:szCs w:val="18"/>
              </w:rPr>
              <w:t>S17</w:t>
            </w:r>
          </w:p>
        </w:tc>
        <w:tc>
          <w:tcPr>
            <w:tcW w:w="4592" w:type="dxa"/>
          </w:tcPr>
          <w:p w14:paraId="49646778" w14:textId="7742BE3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doesn’t physically resist – even if</w:t>
            </w:r>
            <w:r>
              <w:rPr>
                <w:rFonts w:cs="Open Sans"/>
                <w:szCs w:val="18"/>
                <w:lang w:val="en-US"/>
              </w:rPr>
              <w:t> </w:t>
            </w:r>
            <w:r w:rsidRPr="00076997">
              <w:rPr>
                <w:rFonts w:cs="Open Sans"/>
                <w:szCs w:val="18"/>
                <w:lang w:val="en-US"/>
              </w:rPr>
              <w:t>protesting verbally – then it isn’t really rape</w:t>
            </w:r>
            <w:r w:rsidRPr="00076997">
              <w:rPr>
                <w:rFonts w:ascii="Montserrat" w:hAnsi="Montserrat" w:cs="Montserrat"/>
                <w:szCs w:val="18"/>
                <w:lang w:val="en-US"/>
              </w:rPr>
              <w:t>~</w:t>
            </w:r>
          </w:p>
        </w:tc>
        <w:tc>
          <w:tcPr>
            <w:tcW w:w="737" w:type="dxa"/>
          </w:tcPr>
          <w:p w14:paraId="2BE23771"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2075C384"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443</w:t>
            </w:r>
          </w:p>
        </w:tc>
        <w:tc>
          <w:tcPr>
            <w:tcW w:w="1077" w:type="dxa"/>
          </w:tcPr>
          <w:p w14:paraId="37A69D70" w14:textId="0A94D6F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1.37</w:t>
            </w:r>
            <w:r w:rsidRPr="00076997">
              <w:rPr>
                <w:rFonts w:cs="Open Sans"/>
                <w:szCs w:val="18"/>
                <w:vertAlign w:val="superscript"/>
              </w:rPr>
              <w:t>c</w:t>
            </w:r>
          </w:p>
        </w:tc>
        <w:tc>
          <w:tcPr>
            <w:tcW w:w="1247" w:type="dxa"/>
          </w:tcPr>
          <w:p w14:paraId="2FA5C2FF" w14:textId="258D3A3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3.69</w:t>
            </w:r>
            <w:r w:rsidRPr="00076997">
              <w:rPr>
                <w:rFonts w:cs="Open Sans"/>
                <w:szCs w:val="18"/>
                <w:vertAlign w:val="superscript"/>
              </w:rPr>
              <w:t>c</w:t>
            </w:r>
          </w:p>
        </w:tc>
        <w:tc>
          <w:tcPr>
            <w:tcW w:w="1191" w:type="dxa"/>
          </w:tcPr>
          <w:p w14:paraId="1488A8BE" w14:textId="09F22EB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7.60</w:t>
            </w:r>
          </w:p>
        </w:tc>
        <w:tc>
          <w:tcPr>
            <w:tcW w:w="1110" w:type="dxa"/>
          </w:tcPr>
          <w:p w14:paraId="71D6D9D3" w14:textId="5B7DBC9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85.33</w:t>
            </w:r>
          </w:p>
        </w:tc>
        <w:tc>
          <w:tcPr>
            <w:tcW w:w="1248" w:type="dxa"/>
          </w:tcPr>
          <w:p w14:paraId="7D415265" w14:textId="35FF4FA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1.40</w:t>
            </w:r>
            <w:r w:rsidRPr="00076997">
              <w:rPr>
                <w:rFonts w:cs="Open Sans"/>
                <w:szCs w:val="18"/>
                <w:vertAlign w:val="superscript"/>
              </w:rPr>
              <w:t>c</w:t>
            </w:r>
          </w:p>
        </w:tc>
        <w:tc>
          <w:tcPr>
            <w:tcW w:w="1099" w:type="dxa"/>
          </w:tcPr>
          <w:p w14:paraId="5E3BE1E9" w14:textId="6484D27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5.06</w:t>
            </w:r>
          </w:p>
        </w:tc>
        <w:tc>
          <w:tcPr>
            <w:tcW w:w="1191" w:type="dxa"/>
          </w:tcPr>
          <w:p w14:paraId="2444DD20" w14:textId="4F8FA3F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92.93</w:t>
            </w:r>
          </w:p>
        </w:tc>
      </w:tr>
      <w:tr w:rsidR="00BE0D40" w:rsidRPr="00076997" w14:paraId="54E3F925"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6594985" w14:textId="53B31A41" w:rsidR="00BE0D40" w:rsidRPr="00076997" w:rsidRDefault="00BE0D40" w:rsidP="005649C9">
            <w:pPr>
              <w:pStyle w:val="Tablebody"/>
              <w:rPr>
                <w:rFonts w:cs="Open Sans"/>
                <w:szCs w:val="18"/>
              </w:rPr>
            </w:pPr>
            <w:r w:rsidRPr="00076997">
              <w:rPr>
                <w:rFonts w:cs="Open Sans"/>
                <w:szCs w:val="18"/>
              </w:rPr>
              <w:t>S17</w:t>
            </w:r>
          </w:p>
        </w:tc>
        <w:tc>
          <w:tcPr>
            <w:tcW w:w="4592" w:type="dxa"/>
          </w:tcPr>
          <w:p w14:paraId="1A663734" w14:textId="6D162E6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doesn’t physically resist – even if</w:t>
            </w:r>
            <w:r>
              <w:rPr>
                <w:rFonts w:cs="Open Sans"/>
                <w:szCs w:val="18"/>
                <w:lang w:val="en-US"/>
              </w:rPr>
              <w:t> </w:t>
            </w:r>
            <w:r w:rsidRPr="00076997">
              <w:rPr>
                <w:rFonts w:cs="Open Sans"/>
                <w:szCs w:val="18"/>
                <w:lang w:val="en-US"/>
              </w:rPr>
              <w:t>protesting verbally – then it isn’t really rape</w:t>
            </w:r>
            <w:r w:rsidRPr="00076997">
              <w:rPr>
                <w:rFonts w:ascii="Montserrat" w:hAnsi="Montserrat" w:cs="Montserrat"/>
                <w:szCs w:val="18"/>
                <w:lang w:val="en-US"/>
              </w:rPr>
              <w:t>~</w:t>
            </w:r>
          </w:p>
        </w:tc>
        <w:tc>
          <w:tcPr>
            <w:tcW w:w="737" w:type="dxa"/>
          </w:tcPr>
          <w:p w14:paraId="5E608F18" w14:textId="070056A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395E7751" w14:textId="3309281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4,346</w:t>
            </w:r>
          </w:p>
        </w:tc>
        <w:tc>
          <w:tcPr>
            <w:tcW w:w="1077" w:type="dxa"/>
          </w:tcPr>
          <w:p w14:paraId="781431F8" w14:textId="0154225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3.81</w:t>
            </w:r>
          </w:p>
        </w:tc>
        <w:tc>
          <w:tcPr>
            <w:tcW w:w="1247" w:type="dxa"/>
          </w:tcPr>
          <w:p w14:paraId="39CDE53D" w14:textId="13B66CF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2.81</w:t>
            </w:r>
          </w:p>
        </w:tc>
        <w:tc>
          <w:tcPr>
            <w:tcW w:w="1191" w:type="dxa"/>
          </w:tcPr>
          <w:p w14:paraId="2AE02F9A" w14:textId="587E7E1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7.72</w:t>
            </w:r>
          </w:p>
        </w:tc>
        <w:tc>
          <w:tcPr>
            <w:tcW w:w="1110" w:type="dxa"/>
          </w:tcPr>
          <w:p w14:paraId="758EE3A2" w14:textId="07B83F9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82.59</w:t>
            </w:r>
          </w:p>
        </w:tc>
        <w:tc>
          <w:tcPr>
            <w:tcW w:w="1248" w:type="dxa"/>
          </w:tcPr>
          <w:p w14:paraId="05BFC301" w14:textId="426B5B9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2.51</w:t>
            </w:r>
          </w:p>
        </w:tc>
        <w:tc>
          <w:tcPr>
            <w:tcW w:w="1099" w:type="dxa"/>
          </w:tcPr>
          <w:p w14:paraId="28A8A84D" w14:textId="2BA4A4DD"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6.63</w:t>
            </w:r>
          </w:p>
        </w:tc>
        <w:tc>
          <w:tcPr>
            <w:tcW w:w="1191" w:type="dxa"/>
          </w:tcPr>
          <w:p w14:paraId="694D4885" w14:textId="66558E4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90.31</w:t>
            </w:r>
          </w:p>
        </w:tc>
      </w:tr>
      <w:tr w:rsidR="00BE0D40" w:rsidRPr="00076997" w14:paraId="64A8E76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A50B987" w14:textId="77777777" w:rsidR="00BE0D40" w:rsidRPr="00076997" w:rsidRDefault="00BE0D40" w:rsidP="005649C9">
            <w:pPr>
              <w:pStyle w:val="Tablebody"/>
              <w:rPr>
                <w:rFonts w:cs="Open Sans"/>
                <w:szCs w:val="18"/>
                <w:lang w:val="en-GB"/>
              </w:rPr>
            </w:pPr>
            <w:r w:rsidRPr="00076997">
              <w:rPr>
                <w:rFonts w:cs="Open Sans"/>
                <w:szCs w:val="18"/>
              </w:rPr>
              <w:t>S20</w:t>
            </w:r>
          </w:p>
        </w:tc>
        <w:tc>
          <w:tcPr>
            <w:tcW w:w="4592" w:type="dxa"/>
          </w:tcPr>
          <w:p w14:paraId="05EA6BE7" w14:textId="100835A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is raped while drunk or affected by</w:t>
            </w:r>
            <w:r>
              <w:rPr>
                <w:rFonts w:cs="Open Sans"/>
                <w:szCs w:val="18"/>
                <w:lang w:val="en-US"/>
              </w:rPr>
              <w:t> </w:t>
            </w:r>
            <w:r w:rsidRPr="00076997">
              <w:rPr>
                <w:rFonts w:cs="Open Sans"/>
                <w:szCs w:val="18"/>
                <w:lang w:val="en-US"/>
              </w:rPr>
              <w:t>drugs she is at least partly responsible</w:t>
            </w:r>
          </w:p>
        </w:tc>
        <w:tc>
          <w:tcPr>
            <w:tcW w:w="737" w:type="dxa"/>
          </w:tcPr>
          <w:p w14:paraId="0D3A3A23"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DD5138E"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1,669</w:t>
            </w:r>
          </w:p>
        </w:tc>
        <w:tc>
          <w:tcPr>
            <w:tcW w:w="1077" w:type="dxa"/>
          </w:tcPr>
          <w:p w14:paraId="5A1ECFEE" w14:textId="59819C7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2.16</w:t>
            </w:r>
          </w:p>
        </w:tc>
        <w:tc>
          <w:tcPr>
            <w:tcW w:w="1247" w:type="dxa"/>
          </w:tcPr>
          <w:p w14:paraId="2558E859" w14:textId="348B486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5.17</w:t>
            </w:r>
          </w:p>
        </w:tc>
        <w:tc>
          <w:tcPr>
            <w:tcW w:w="1191" w:type="dxa"/>
          </w:tcPr>
          <w:p w14:paraId="621B20B1" w14:textId="6BAEE2E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10.80</w:t>
            </w:r>
          </w:p>
        </w:tc>
        <w:tc>
          <w:tcPr>
            <w:tcW w:w="1110" w:type="dxa"/>
          </w:tcPr>
          <w:p w14:paraId="42F8C3CC" w14:textId="61F1279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80.89</w:t>
            </w:r>
          </w:p>
        </w:tc>
        <w:tc>
          <w:tcPr>
            <w:tcW w:w="1248" w:type="dxa"/>
          </w:tcPr>
          <w:p w14:paraId="2432CC32" w14:textId="1E9FCDA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0.86</w:t>
            </w:r>
            <w:r w:rsidRPr="00076997">
              <w:rPr>
                <w:rFonts w:cs="Open Sans"/>
                <w:szCs w:val="18"/>
                <w:vertAlign w:val="superscript"/>
              </w:rPr>
              <w:t>c</w:t>
            </w:r>
          </w:p>
        </w:tc>
        <w:tc>
          <w:tcPr>
            <w:tcW w:w="1099" w:type="dxa"/>
          </w:tcPr>
          <w:p w14:paraId="13EB7F79" w14:textId="2812080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7.33</w:t>
            </w:r>
          </w:p>
        </w:tc>
        <w:tc>
          <w:tcPr>
            <w:tcW w:w="1191" w:type="dxa"/>
          </w:tcPr>
          <w:p w14:paraId="4D057010" w14:textId="780C70F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91.68</w:t>
            </w:r>
          </w:p>
        </w:tc>
      </w:tr>
      <w:tr w:rsidR="00BE0D40" w:rsidRPr="00076997" w14:paraId="7C0B3BF8"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333862C" w14:textId="253AF10E" w:rsidR="00BE0D40" w:rsidRPr="00076997" w:rsidRDefault="00BE0D40" w:rsidP="005649C9">
            <w:pPr>
              <w:pStyle w:val="Tablebody"/>
              <w:rPr>
                <w:rFonts w:cs="Open Sans"/>
                <w:szCs w:val="18"/>
              </w:rPr>
            </w:pPr>
            <w:r w:rsidRPr="00076997">
              <w:rPr>
                <w:rFonts w:cs="Open Sans"/>
                <w:szCs w:val="18"/>
              </w:rPr>
              <w:t>S20</w:t>
            </w:r>
          </w:p>
        </w:tc>
        <w:tc>
          <w:tcPr>
            <w:tcW w:w="4592" w:type="dxa"/>
          </w:tcPr>
          <w:p w14:paraId="3AAEF75D" w14:textId="14C6207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is raped while drunk or affected by</w:t>
            </w:r>
            <w:r>
              <w:rPr>
                <w:rFonts w:cs="Open Sans"/>
                <w:szCs w:val="18"/>
                <w:lang w:val="en-US"/>
              </w:rPr>
              <w:t> </w:t>
            </w:r>
            <w:r w:rsidRPr="00076997">
              <w:rPr>
                <w:rFonts w:cs="Open Sans"/>
                <w:szCs w:val="18"/>
                <w:lang w:val="en-US"/>
              </w:rPr>
              <w:t>drugs</w:t>
            </w:r>
            <w:r>
              <w:rPr>
                <w:rFonts w:cs="Open Sans"/>
                <w:szCs w:val="18"/>
                <w:lang w:val="en-US"/>
              </w:rPr>
              <w:t> </w:t>
            </w:r>
            <w:r w:rsidRPr="00076997">
              <w:rPr>
                <w:rFonts w:cs="Open Sans"/>
                <w:szCs w:val="18"/>
                <w:lang w:val="en-US"/>
              </w:rPr>
              <w:t>she is at least partly responsible</w:t>
            </w:r>
          </w:p>
        </w:tc>
        <w:tc>
          <w:tcPr>
            <w:tcW w:w="737" w:type="dxa"/>
          </w:tcPr>
          <w:p w14:paraId="65547928" w14:textId="0FD790D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4B8F395" w14:textId="5BDBDF9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17,431</w:t>
            </w:r>
          </w:p>
        </w:tc>
        <w:tc>
          <w:tcPr>
            <w:tcW w:w="1077" w:type="dxa"/>
          </w:tcPr>
          <w:p w14:paraId="76658539" w14:textId="1D1CB39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3.36</w:t>
            </w:r>
          </w:p>
        </w:tc>
        <w:tc>
          <w:tcPr>
            <w:tcW w:w="1247" w:type="dxa"/>
          </w:tcPr>
          <w:p w14:paraId="2FB4E3B4" w14:textId="7123642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7.51</w:t>
            </w:r>
          </w:p>
        </w:tc>
        <w:tc>
          <w:tcPr>
            <w:tcW w:w="1191" w:type="dxa"/>
          </w:tcPr>
          <w:p w14:paraId="49903DF1" w14:textId="75C5148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7.95</w:t>
            </w:r>
          </w:p>
        </w:tc>
        <w:tc>
          <w:tcPr>
            <w:tcW w:w="1110" w:type="dxa"/>
          </w:tcPr>
          <w:p w14:paraId="3DA52051" w14:textId="24B0CD3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79.69</w:t>
            </w:r>
          </w:p>
        </w:tc>
        <w:tc>
          <w:tcPr>
            <w:tcW w:w="1248" w:type="dxa"/>
          </w:tcPr>
          <w:p w14:paraId="02D58E22" w14:textId="2DBD98E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w:t>
            </w:r>
          </w:p>
        </w:tc>
        <w:tc>
          <w:tcPr>
            <w:tcW w:w="1099" w:type="dxa"/>
          </w:tcPr>
          <w:p w14:paraId="55BA657F" w14:textId="5DA00BF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10.86</w:t>
            </w:r>
          </w:p>
        </w:tc>
        <w:tc>
          <w:tcPr>
            <w:tcW w:w="1191" w:type="dxa"/>
          </w:tcPr>
          <w:p w14:paraId="6AD4AD5A" w14:textId="5FF8F7F2"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87.64</w:t>
            </w:r>
          </w:p>
        </w:tc>
      </w:tr>
      <w:tr w:rsidR="00BE0D40" w:rsidRPr="00076997" w14:paraId="40D85857"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B9E4C1C" w14:textId="77777777" w:rsidR="00BE0D40" w:rsidRPr="00076997" w:rsidRDefault="00BE0D40" w:rsidP="005649C9">
            <w:pPr>
              <w:pStyle w:val="Tablebody"/>
              <w:rPr>
                <w:rFonts w:cs="Open Sans"/>
                <w:szCs w:val="18"/>
                <w:lang w:val="en-GB"/>
              </w:rPr>
            </w:pPr>
            <w:r w:rsidRPr="00076997">
              <w:rPr>
                <w:rFonts w:cs="Open Sans"/>
                <w:szCs w:val="18"/>
              </w:rPr>
              <w:t>S21</w:t>
            </w:r>
          </w:p>
        </w:tc>
        <w:tc>
          <w:tcPr>
            <w:tcW w:w="4592" w:type="dxa"/>
          </w:tcPr>
          <w:p w14:paraId="52DA8611" w14:textId="2DE7520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If a woman meets up with a man she met on</w:t>
            </w:r>
            <w:r>
              <w:rPr>
                <w:rFonts w:cs="Open Sans"/>
                <w:szCs w:val="18"/>
                <w:lang w:val="en-US"/>
              </w:rPr>
              <w:t> </w:t>
            </w:r>
            <w:r w:rsidRPr="00076997">
              <w:rPr>
                <w:rFonts w:cs="Open Sans"/>
                <w:szCs w:val="18"/>
                <w:lang w:val="en-US"/>
              </w:rPr>
              <w:t>a</w:t>
            </w:r>
            <w:r>
              <w:rPr>
                <w:rFonts w:cs="Open Sans"/>
                <w:szCs w:val="18"/>
                <w:lang w:val="en-US"/>
              </w:rPr>
              <w:t> </w:t>
            </w:r>
            <w:r w:rsidRPr="00076997">
              <w:rPr>
                <w:rFonts w:cs="Open Sans"/>
                <w:szCs w:val="18"/>
                <w:lang w:val="en-US"/>
              </w:rPr>
              <w:t>mobile dating app, she’s partly responsible if</w:t>
            </w:r>
            <w:r>
              <w:rPr>
                <w:rFonts w:cs="Open Sans"/>
                <w:szCs w:val="18"/>
                <w:lang w:val="en-US"/>
              </w:rPr>
              <w:t> </w:t>
            </w:r>
            <w:r w:rsidRPr="00076997">
              <w:rPr>
                <w:rFonts w:cs="Open Sans"/>
                <w:szCs w:val="18"/>
                <w:lang w:val="en-US"/>
              </w:rPr>
              <w:t>he forces sex on her^</w:t>
            </w:r>
          </w:p>
        </w:tc>
        <w:tc>
          <w:tcPr>
            <w:tcW w:w="737" w:type="dxa"/>
          </w:tcPr>
          <w:p w14:paraId="24562759"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8304DC3" w14:textId="7777777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1,111</w:t>
            </w:r>
          </w:p>
        </w:tc>
        <w:tc>
          <w:tcPr>
            <w:tcW w:w="1077" w:type="dxa"/>
          </w:tcPr>
          <w:p w14:paraId="4DB393FE" w14:textId="0B06F90E"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1.72</w:t>
            </w:r>
            <w:r w:rsidRPr="00076997">
              <w:rPr>
                <w:rFonts w:cs="Open Sans"/>
                <w:szCs w:val="18"/>
                <w:vertAlign w:val="superscript"/>
              </w:rPr>
              <w:t>c</w:t>
            </w:r>
          </w:p>
        </w:tc>
        <w:tc>
          <w:tcPr>
            <w:tcW w:w="1247" w:type="dxa"/>
          </w:tcPr>
          <w:p w14:paraId="4D86DA92" w14:textId="494C06E1"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3.74</w:t>
            </w:r>
          </w:p>
        </w:tc>
        <w:tc>
          <w:tcPr>
            <w:tcW w:w="1191" w:type="dxa"/>
          </w:tcPr>
          <w:p w14:paraId="30F953E5" w14:textId="2ADD6A6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6.67</w:t>
            </w:r>
          </w:p>
        </w:tc>
        <w:tc>
          <w:tcPr>
            <w:tcW w:w="1110" w:type="dxa"/>
          </w:tcPr>
          <w:p w14:paraId="6EB88D48" w14:textId="1A6E4F3C"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87.31</w:t>
            </w:r>
          </w:p>
        </w:tc>
        <w:tc>
          <w:tcPr>
            <w:tcW w:w="1248" w:type="dxa"/>
          </w:tcPr>
          <w:p w14:paraId="5C3C37DC" w14:textId="73A14F8A"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0.35</w:t>
            </w:r>
            <w:r w:rsidRPr="00076997">
              <w:rPr>
                <w:rFonts w:cs="Open Sans"/>
                <w:szCs w:val="18"/>
                <w:vertAlign w:val="superscript"/>
              </w:rPr>
              <w:t>c</w:t>
            </w:r>
          </w:p>
        </w:tc>
        <w:tc>
          <w:tcPr>
            <w:tcW w:w="1099" w:type="dxa"/>
          </w:tcPr>
          <w:p w14:paraId="301ECD5E" w14:textId="6E33F0E7"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5.46</w:t>
            </w:r>
          </w:p>
        </w:tc>
        <w:tc>
          <w:tcPr>
            <w:tcW w:w="1191" w:type="dxa"/>
          </w:tcPr>
          <w:p w14:paraId="6A28F8A9" w14:textId="294789F3"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93.98</w:t>
            </w:r>
          </w:p>
        </w:tc>
      </w:tr>
      <w:tr w:rsidR="00BE0D40" w:rsidRPr="00076997" w14:paraId="4FC40680"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9AC2BC3" w14:textId="331DD708" w:rsidR="00BE0D40" w:rsidRPr="00076997" w:rsidRDefault="00BE0D40" w:rsidP="005649C9">
            <w:pPr>
              <w:pStyle w:val="Tablebody"/>
              <w:rPr>
                <w:rFonts w:cs="Open Sans"/>
                <w:szCs w:val="18"/>
              </w:rPr>
            </w:pPr>
            <w:r w:rsidRPr="00076997">
              <w:rPr>
                <w:rFonts w:cs="Open Sans"/>
                <w:szCs w:val="18"/>
              </w:rPr>
              <w:t>S21</w:t>
            </w:r>
          </w:p>
        </w:tc>
        <w:tc>
          <w:tcPr>
            <w:tcW w:w="4592" w:type="dxa"/>
          </w:tcPr>
          <w:p w14:paraId="2D179CED" w14:textId="122E2FA4"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If a woman meets up with a man she met on a mobile dating app, she’s partly responsible if he forces sex on her^</w:t>
            </w:r>
          </w:p>
        </w:tc>
        <w:tc>
          <w:tcPr>
            <w:tcW w:w="737" w:type="dxa"/>
          </w:tcPr>
          <w:p w14:paraId="7DEBF5B4" w14:textId="10E65CFB"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603DF0C7" w14:textId="7089B7B6"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11,856</w:t>
            </w:r>
          </w:p>
        </w:tc>
        <w:tc>
          <w:tcPr>
            <w:tcW w:w="1077" w:type="dxa"/>
          </w:tcPr>
          <w:p w14:paraId="434ADBD5" w14:textId="6E59B99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2.73</w:t>
            </w:r>
          </w:p>
        </w:tc>
        <w:tc>
          <w:tcPr>
            <w:tcW w:w="1247" w:type="dxa"/>
          </w:tcPr>
          <w:p w14:paraId="29E0568B" w14:textId="033225C9"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4.33</w:t>
            </w:r>
          </w:p>
        </w:tc>
        <w:tc>
          <w:tcPr>
            <w:tcW w:w="1191" w:type="dxa"/>
          </w:tcPr>
          <w:p w14:paraId="1E64D602" w14:textId="35E0459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5.88</w:t>
            </w:r>
          </w:p>
        </w:tc>
        <w:tc>
          <w:tcPr>
            <w:tcW w:w="1110" w:type="dxa"/>
          </w:tcPr>
          <w:p w14:paraId="1D72D775" w14:textId="77DAAD30"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85.55</w:t>
            </w:r>
          </w:p>
        </w:tc>
        <w:tc>
          <w:tcPr>
            <w:tcW w:w="1248" w:type="dxa"/>
          </w:tcPr>
          <w:p w14:paraId="59C056FA" w14:textId="1B32FA88"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1.26</w:t>
            </w:r>
          </w:p>
        </w:tc>
        <w:tc>
          <w:tcPr>
            <w:tcW w:w="1099" w:type="dxa"/>
          </w:tcPr>
          <w:p w14:paraId="42D5ACDB" w14:textId="0DC2030F"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7.06</w:t>
            </w:r>
          </w:p>
        </w:tc>
        <w:tc>
          <w:tcPr>
            <w:tcW w:w="1191" w:type="dxa"/>
          </w:tcPr>
          <w:p w14:paraId="1A5526F3" w14:textId="66FC0D25" w:rsidR="00BE0D40" w:rsidRPr="00076997" w:rsidRDefault="00BE0D40"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91.42</w:t>
            </w:r>
          </w:p>
        </w:tc>
      </w:tr>
    </w:tbl>
    <w:p w14:paraId="78A8CB8B" w14:textId="77777777" w:rsidR="00C1558D" w:rsidRDefault="00C1558D">
      <w:pPr>
        <w:spacing w:before="0" w:after="0" w:line="240" w:lineRule="auto"/>
        <w:rPr>
          <w:rFonts w:ascii="Hind SemiBold" w:hAnsi="Hind SemiBold" w:cs="Hind"/>
          <w:b/>
          <w:bCs/>
          <w:szCs w:val="18"/>
          <w:lang w:val="en-AU"/>
        </w:rPr>
      </w:pPr>
      <w:r>
        <w:br w:type="page"/>
      </w:r>
    </w:p>
    <w:p w14:paraId="275FAD63" w14:textId="7ADC835F" w:rsidR="00C713FF" w:rsidRDefault="00C713FF" w:rsidP="005649C9">
      <w:pPr>
        <w:pStyle w:val="Tablesubheading0"/>
        <w:rPr>
          <w:rFonts w:ascii="Hind" w:hAnsi="Hind"/>
          <w:sz w:val="18"/>
        </w:rPr>
      </w:pPr>
      <w:r w:rsidRPr="00C713FF">
        <w:lastRenderedPageBreak/>
        <w:t>Subscale: Objectify Women</w:t>
      </w:r>
      <w:r w:rsidRPr="00076997">
        <w:rPr>
          <w:rFonts w:ascii="Hind" w:hAnsi="Hind"/>
          <w:sz w:val="18"/>
        </w:rPr>
        <w:t xml:space="preserve"> </w:t>
      </w:r>
    </w:p>
    <w:p w14:paraId="46BA0D01" w14:textId="150B3614" w:rsidR="00C713FF" w:rsidRDefault="00C713FF" w:rsidP="004E69A2">
      <w:pPr>
        <w:pStyle w:val="Tablesubheading"/>
      </w:pPr>
      <w:r w:rsidRPr="00076997">
        <w:t>After coming home from a party, a man kisses his wife and tries to have sex with her. She pushes him away, but he has sex with her anyway.</w:t>
      </w:r>
    </w:p>
    <w:tbl>
      <w:tblPr>
        <w:tblStyle w:val="Table-SingleHeaderRow"/>
        <w:tblW w:w="14952" w:type="dxa"/>
        <w:tblLayout w:type="fixed"/>
        <w:tblLook w:val="00A0" w:firstRow="1" w:lastRow="0" w:firstColumn="1" w:lastColumn="0" w:noHBand="0" w:noVBand="0"/>
      </w:tblPr>
      <w:tblGrid>
        <w:gridCol w:w="723"/>
        <w:gridCol w:w="4592"/>
        <w:gridCol w:w="737"/>
        <w:gridCol w:w="737"/>
        <w:gridCol w:w="1077"/>
        <w:gridCol w:w="1247"/>
        <w:gridCol w:w="1191"/>
        <w:gridCol w:w="1110"/>
        <w:gridCol w:w="1248"/>
        <w:gridCol w:w="1099"/>
        <w:gridCol w:w="1191"/>
      </w:tblGrid>
      <w:tr w:rsidR="00C713FF" w:rsidRPr="00076997" w14:paraId="60F1F537" w14:textId="77777777" w:rsidTr="005649C9">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723" w:type="dxa"/>
          </w:tcPr>
          <w:p w14:paraId="7847B1C0" w14:textId="77777777" w:rsidR="00C713FF" w:rsidRPr="00076997" w:rsidRDefault="00C713FF" w:rsidP="005649C9">
            <w:pPr>
              <w:pStyle w:val="Tablebody"/>
              <w:rPr>
                <w:b w:val="0"/>
                <w:lang w:val="en-GB"/>
              </w:rPr>
            </w:pPr>
            <w:r w:rsidRPr="00076997">
              <w:t>Code</w:t>
            </w:r>
          </w:p>
        </w:tc>
        <w:tc>
          <w:tcPr>
            <w:tcW w:w="4592" w:type="dxa"/>
          </w:tcPr>
          <w:p w14:paraId="717AFB92"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Abbreviated item wording</w:t>
            </w:r>
          </w:p>
        </w:tc>
        <w:tc>
          <w:tcPr>
            <w:tcW w:w="737" w:type="dxa"/>
          </w:tcPr>
          <w:p w14:paraId="161214BD"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Age</w:t>
            </w:r>
          </w:p>
        </w:tc>
        <w:tc>
          <w:tcPr>
            <w:tcW w:w="737" w:type="dxa"/>
          </w:tcPr>
          <w:p w14:paraId="4EB26483"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76997">
              <w:rPr>
                <w:rStyle w:val="Emphasis"/>
                <w:lang w:val="en-GB"/>
              </w:rPr>
              <w:t>N</w:t>
            </w:r>
          </w:p>
        </w:tc>
        <w:tc>
          <w:tcPr>
            <w:tcW w:w="1077" w:type="dxa"/>
          </w:tcPr>
          <w:p w14:paraId="2CC6C4DE"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agree</w:t>
            </w:r>
          </w:p>
        </w:tc>
        <w:tc>
          <w:tcPr>
            <w:tcW w:w="1247" w:type="dxa"/>
          </w:tcPr>
          <w:p w14:paraId="607B32DE"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agree</w:t>
            </w:r>
          </w:p>
        </w:tc>
        <w:tc>
          <w:tcPr>
            <w:tcW w:w="1191" w:type="dxa"/>
          </w:tcPr>
          <w:p w14:paraId="715B4DA8"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disagree</w:t>
            </w:r>
          </w:p>
        </w:tc>
        <w:tc>
          <w:tcPr>
            <w:tcW w:w="1110" w:type="dxa"/>
          </w:tcPr>
          <w:p w14:paraId="56BF0C28"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disagree</w:t>
            </w:r>
          </w:p>
        </w:tc>
        <w:tc>
          <w:tcPr>
            <w:tcW w:w="1248" w:type="dxa"/>
          </w:tcPr>
          <w:p w14:paraId="7A424A8C"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Undecided</w:t>
            </w:r>
          </w:p>
        </w:tc>
        <w:tc>
          <w:tcPr>
            <w:tcW w:w="1099" w:type="dxa"/>
          </w:tcPr>
          <w:p w14:paraId="5C32CBE7"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agree</w:t>
            </w:r>
            <w:r w:rsidRPr="00076997">
              <w:rPr>
                <w:vertAlign w:val="superscript"/>
              </w:rPr>
              <w:t>a</w:t>
            </w:r>
          </w:p>
        </w:tc>
        <w:tc>
          <w:tcPr>
            <w:tcW w:w="1191" w:type="dxa"/>
          </w:tcPr>
          <w:p w14:paraId="23C53E40"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disagree</w:t>
            </w:r>
            <w:r w:rsidRPr="00076997">
              <w:rPr>
                <w:vertAlign w:val="superscript"/>
              </w:rPr>
              <w:t>b</w:t>
            </w:r>
          </w:p>
        </w:tc>
      </w:tr>
      <w:tr w:rsidR="00582E9D" w:rsidRPr="00076997" w14:paraId="20D4C17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46A6D3C" w14:textId="77777777" w:rsidR="00582E9D" w:rsidRPr="00076997" w:rsidRDefault="00582E9D" w:rsidP="005649C9">
            <w:pPr>
              <w:pStyle w:val="Tablebody"/>
              <w:rPr>
                <w:rFonts w:cs="Open Sans"/>
                <w:szCs w:val="18"/>
                <w:lang w:val="en-GB"/>
              </w:rPr>
            </w:pPr>
            <w:r w:rsidRPr="00076997">
              <w:rPr>
                <w:rFonts w:cs="Open Sans"/>
                <w:szCs w:val="18"/>
              </w:rPr>
              <w:t>S12</w:t>
            </w:r>
          </w:p>
        </w:tc>
        <w:tc>
          <w:tcPr>
            <w:tcW w:w="4592" w:type="dxa"/>
          </w:tcPr>
          <w:p w14:paraId="21ED6D44" w14:textId="185218DC"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 xml:space="preserve">Do you agree or disagree that the man is justified? </w:t>
            </w:r>
            <w:r w:rsidRPr="00076997">
              <w:rPr>
                <w:rFonts w:cs="Open Sans"/>
                <w:szCs w:val="18"/>
              </w:rPr>
              <w:t>(</w:t>
            </w:r>
            <w:r w:rsidRPr="00076997">
              <w:rPr>
                <w:rFonts w:cs="Open Sans"/>
                <w:i/>
                <w:iCs/>
                <w:szCs w:val="18"/>
                <w:lang w:val="en-US"/>
              </w:rPr>
              <w:t>Married</w:t>
            </w:r>
            <w:r>
              <w:rPr>
                <w:rFonts w:cs="Open Sans"/>
                <w:i/>
                <w:iCs/>
                <w:szCs w:val="18"/>
                <w:lang w:val="en-US"/>
              </w:rPr>
              <w:t> </w:t>
            </w:r>
            <w:r w:rsidRPr="00076997">
              <w:rPr>
                <w:rFonts w:cs="Open Sans"/>
                <w:i/>
                <w:iCs/>
                <w:szCs w:val="18"/>
                <w:lang w:val="en-US"/>
              </w:rPr>
              <w:t>–</w:t>
            </w:r>
            <w:r>
              <w:rPr>
                <w:rFonts w:cs="Open Sans"/>
                <w:i/>
                <w:iCs/>
                <w:szCs w:val="18"/>
                <w:lang w:val="en-US"/>
              </w:rPr>
              <w:t> </w:t>
            </w:r>
            <w:r w:rsidRPr="00076997">
              <w:rPr>
                <w:rFonts w:cs="Open Sans"/>
                <w:i/>
                <w:iCs/>
                <w:szCs w:val="18"/>
                <w:lang w:val="en-US"/>
              </w:rPr>
              <w:t>He initiates</w:t>
            </w:r>
            <w:r w:rsidRPr="00076997">
              <w:rPr>
                <w:rFonts w:cs="Open Sans"/>
                <w:szCs w:val="18"/>
              </w:rPr>
              <w:t>)</w:t>
            </w:r>
            <w:r w:rsidRPr="00076997">
              <w:rPr>
                <w:rFonts w:ascii="Montserrat" w:hAnsi="Montserrat" w:cs="Montserrat"/>
                <w:szCs w:val="18"/>
              </w:rPr>
              <w:t>~</w:t>
            </w:r>
          </w:p>
        </w:tc>
        <w:tc>
          <w:tcPr>
            <w:tcW w:w="737" w:type="dxa"/>
          </w:tcPr>
          <w:p w14:paraId="2C8594B5" w14:textId="7777777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1BA6B6C7" w14:textId="7777777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400</w:t>
            </w:r>
          </w:p>
        </w:tc>
        <w:tc>
          <w:tcPr>
            <w:tcW w:w="1077" w:type="dxa"/>
          </w:tcPr>
          <w:p w14:paraId="5F18FD2A" w14:textId="6C63BF0C"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0.89</w:t>
            </w:r>
            <w:r w:rsidRPr="00076997">
              <w:rPr>
                <w:rFonts w:cs="Open Sans"/>
                <w:szCs w:val="18"/>
                <w:vertAlign w:val="superscript"/>
              </w:rPr>
              <w:t>c</w:t>
            </w:r>
          </w:p>
        </w:tc>
        <w:tc>
          <w:tcPr>
            <w:tcW w:w="1247" w:type="dxa"/>
          </w:tcPr>
          <w:p w14:paraId="2D90B137" w14:textId="49A52213"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2.94</w:t>
            </w:r>
            <w:r w:rsidRPr="00076997">
              <w:rPr>
                <w:rFonts w:cs="Open Sans"/>
                <w:szCs w:val="18"/>
                <w:vertAlign w:val="superscript"/>
              </w:rPr>
              <w:t>c</w:t>
            </w:r>
          </w:p>
        </w:tc>
        <w:tc>
          <w:tcPr>
            <w:tcW w:w="1191" w:type="dxa"/>
          </w:tcPr>
          <w:p w14:paraId="38BEBE09" w14:textId="53D8ABA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5.55</w:t>
            </w:r>
          </w:p>
        </w:tc>
        <w:tc>
          <w:tcPr>
            <w:tcW w:w="1110" w:type="dxa"/>
          </w:tcPr>
          <w:p w14:paraId="2AB2916B" w14:textId="5F94A07C"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89.60</w:t>
            </w:r>
          </w:p>
        </w:tc>
        <w:tc>
          <w:tcPr>
            <w:tcW w:w="1248" w:type="dxa"/>
          </w:tcPr>
          <w:p w14:paraId="44FDB29F" w14:textId="63DDAECE"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1.03</w:t>
            </w:r>
            <w:r w:rsidRPr="00076997">
              <w:rPr>
                <w:rFonts w:cs="Open Sans"/>
                <w:szCs w:val="18"/>
                <w:vertAlign w:val="superscript"/>
              </w:rPr>
              <w:t>c</w:t>
            </w:r>
          </w:p>
        </w:tc>
        <w:tc>
          <w:tcPr>
            <w:tcW w:w="1099" w:type="dxa"/>
          </w:tcPr>
          <w:p w14:paraId="2F2CBBB4" w14:textId="4A87F50B"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3.82</w:t>
            </w:r>
            <w:r w:rsidRPr="00076997">
              <w:rPr>
                <w:rFonts w:cs="Open Sans"/>
                <w:szCs w:val="18"/>
                <w:vertAlign w:val="superscript"/>
              </w:rPr>
              <w:t>c</w:t>
            </w:r>
          </w:p>
        </w:tc>
        <w:tc>
          <w:tcPr>
            <w:tcW w:w="1191" w:type="dxa"/>
          </w:tcPr>
          <w:p w14:paraId="7683294F" w14:textId="145F6E16"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95.15</w:t>
            </w:r>
          </w:p>
        </w:tc>
      </w:tr>
      <w:tr w:rsidR="00582E9D" w:rsidRPr="00076997" w14:paraId="7DA25586"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66E89B7" w14:textId="5B97E3AC" w:rsidR="00582E9D" w:rsidRPr="00076997" w:rsidRDefault="00582E9D" w:rsidP="005649C9">
            <w:pPr>
              <w:pStyle w:val="Tablebody"/>
              <w:rPr>
                <w:rFonts w:cs="Open Sans"/>
                <w:szCs w:val="18"/>
              </w:rPr>
            </w:pPr>
            <w:r w:rsidRPr="00076997">
              <w:rPr>
                <w:rFonts w:cs="Open Sans"/>
                <w:szCs w:val="18"/>
              </w:rPr>
              <w:t>S12</w:t>
            </w:r>
          </w:p>
        </w:tc>
        <w:tc>
          <w:tcPr>
            <w:tcW w:w="4592" w:type="dxa"/>
          </w:tcPr>
          <w:p w14:paraId="69A627DD" w14:textId="55230CC6"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 xml:space="preserve">Do you agree or disagree that the man is justified? </w:t>
            </w:r>
            <w:r w:rsidRPr="00076997">
              <w:rPr>
                <w:rFonts w:cs="Open Sans"/>
                <w:szCs w:val="18"/>
              </w:rPr>
              <w:t>(</w:t>
            </w:r>
            <w:r w:rsidRPr="00076997">
              <w:rPr>
                <w:rFonts w:cs="Open Sans"/>
                <w:i/>
                <w:iCs/>
                <w:szCs w:val="18"/>
                <w:lang w:val="en-US"/>
              </w:rPr>
              <w:t>Married</w:t>
            </w:r>
            <w:r>
              <w:rPr>
                <w:rFonts w:cs="Open Sans"/>
                <w:i/>
                <w:iCs/>
                <w:szCs w:val="18"/>
                <w:lang w:val="en-US"/>
              </w:rPr>
              <w:t> </w:t>
            </w:r>
            <w:r w:rsidRPr="00076997">
              <w:rPr>
                <w:rFonts w:cs="Open Sans"/>
                <w:i/>
                <w:iCs/>
                <w:szCs w:val="18"/>
                <w:lang w:val="en-US"/>
              </w:rPr>
              <w:t>–</w:t>
            </w:r>
            <w:r>
              <w:rPr>
                <w:rFonts w:cs="Open Sans"/>
                <w:i/>
                <w:iCs/>
                <w:szCs w:val="18"/>
                <w:lang w:val="en-US"/>
              </w:rPr>
              <w:t> </w:t>
            </w:r>
            <w:r w:rsidRPr="00076997">
              <w:rPr>
                <w:rFonts w:cs="Open Sans"/>
                <w:i/>
                <w:iCs/>
                <w:szCs w:val="18"/>
                <w:lang w:val="en-US"/>
              </w:rPr>
              <w:t>He initiates</w:t>
            </w:r>
            <w:r w:rsidRPr="00076997">
              <w:rPr>
                <w:rFonts w:cs="Open Sans"/>
                <w:szCs w:val="18"/>
              </w:rPr>
              <w:t>)</w:t>
            </w:r>
            <w:r w:rsidRPr="00076997">
              <w:rPr>
                <w:rFonts w:ascii="Montserrat" w:hAnsi="Montserrat" w:cs="Montserrat"/>
                <w:szCs w:val="18"/>
              </w:rPr>
              <w:t>~</w:t>
            </w:r>
          </w:p>
        </w:tc>
        <w:tc>
          <w:tcPr>
            <w:tcW w:w="737" w:type="dxa"/>
          </w:tcPr>
          <w:p w14:paraId="26544931" w14:textId="3CADFD6B"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0A88929A" w14:textId="79DFC484"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4,240</w:t>
            </w:r>
          </w:p>
        </w:tc>
        <w:tc>
          <w:tcPr>
            <w:tcW w:w="1077" w:type="dxa"/>
          </w:tcPr>
          <w:p w14:paraId="5012123B" w14:textId="0751CB68"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1.14</w:t>
            </w:r>
          </w:p>
        </w:tc>
        <w:tc>
          <w:tcPr>
            <w:tcW w:w="1247" w:type="dxa"/>
          </w:tcPr>
          <w:p w14:paraId="4DB8BE1A" w14:textId="5621D286"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2.15</w:t>
            </w:r>
          </w:p>
        </w:tc>
        <w:tc>
          <w:tcPr>
            <w:tcW w:w="1191" w:type="dxa"/>
          </w:tcPr>
          <w:p w14:paraId="18C913F8" w14:textId="610A0D5C"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9.54</w:t>
            </w:r>
          </w:p>
        </w:tc>
        <w:tc>
          <w:tcPr>
            <w:tcW w:w="1110" w:type="dxa"/>
          </w:tcPr>
          <w:p w14:paraId="7C983CCE" w14:textId="5D4EB43A"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84.24</w:t>
            </w:r>
          </w:p>
        </w:tc>
        <w:tc>
          <w:tcPr>
            <w:tcW w:w="1248" w:type="dxa"/>
          </w:tcPr>
          <w:p w14:paraId="79FF63F6" w14:textId="285C630C"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2.60</w:t>
            </w:r>
          </w:p>
        </w:tc>
        <w:tc>
          <w:tcPr>
            <w:tcW w:w="1099" w:type="dxa"/>
          </w:tcPr>
          <w:p w14:paraId="14DAC01A" w14:textId="2BB05F1D"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3.29</w:t>
            </w:r>
          </w:p>
        </w:tc>
        <w:tc>
          <w:tcPr>
            <w:tcW w:w="1191" w:type="dxa"/>
          </w:tcPr>
          <w:p w14:paraId="05BB4DBF" w14:textId="3FE7E113"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93.78</w:t>
            </w:r>
          </w:p>
        </w:tc>
      </w:tr>
      <w:tr w:rsidR="00582E9D" w:rsidRPr="00076997" w14:paraId="68222D89"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B1E7331" w14:textId="77777777" w:rsidR="00582E9D" w:rsidRPr="00076997" w:rsidRDefault="00582E9D" w:rsidP="005649C9">
            <w:pPr>
              <w:pStyle w:val="Tablebody"/>
              <w:rPr>
                <w:rFonts w:cs="Open Sans"/>
                <w:szCs w:val="18"/>
                <w:lang w:val="en-GB"/>
              </w:rPr>
            </w:pPr>
            <w:r w:rsidRPr="00076997">
              <w:rPr>
                <w:rFonts w:cs="Open Sans"/>
                <w:szCs w:val="18"/>
              </w:rPr>
              <w:t>S13</w:t>
            </w:r>
          </w:p>
        </w:tc>
        <w:tc>
          <w:tcPr>
            <w:tcW w:w="4592" w:type="dxa"/>
          </w:tcPr>
          <w:p w14:paraId="1A35FE56" w14:textId="48C9373E" w:rsidR="00582E9D" w:rsidRPr="003A215E"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GB"/>
              </w:rPr>
            </w:pPr>
            <w:r w:rsidRPr="003A215E">
              <w:rPr>
                <w:rFonts w:cs="Open Sans"/>
                <w:spacing w:val="-4"/>
                <w:szCs w:val="18"/>
                <w:lang w:val="en-US"/>
              </w:rPr>
              <w:t xml:space="preserve">What if she had taken him into the bedroom and started kissing him before pushing him away? Do you agree or disagree that the man justified in having sex with her anyway? </w:t>
            </w:r>
            <w:r w:rsidRPr="003A215E">
              <w:rPr>
                <w:rFonts w:cs="Open Sans"/>
                <w:spacing w:val="-4"/>
                <w:szCs w:val="18"/>
              </w:rPr>
              <w:t>(</w:t>
            </w:r>
            <w:r w:rsidRPr="003A215E">
              <w:rPr>
                <w:rFonts w:cs="Open Sans"/>
                <w:i/>
                <w:iCs/>
                <w:spacing w:val="-4"/>
                <w:szCs w:val="18"/>
                <w:lang w:val="en-US"/>
              </w:rPr>
              <w:t>Married – She initiates</w:t>
            </w:r>
            <w:r w:rsidRPr="003A215E">
              <w:rPr>
                <w:rFonts w:cs="Open Sans"/>
                <w:spacing w:val="-4"/>
                <w:szCs w:val="18"/>
              </w:rPr>
              <w:t>)</w:t>
            </w:r>
            <w:r w:rsidRPr="003A215E">
              <w:rPr>
                <w:rFonts w:ascii="Montserrat" w:hAnsi="Montserrat" w:cs="Montserrat"/>
                <w:spacing w:val="-4"/>
                <w:szCs w:val="18"/>
              </w:rPr>
              <w:t>~</w:t>
            </w:r>
          </w:p>
        </w:tc>
        <w:tc>
          <w:tcPr>
            <w:tcW w:w="737" w:type="dxa"/>
          </w:tcPr>
          <w:p w14:paraId="246AF36C" w14:textId="7777777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36094955" w14:textId="7777777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400</w:t>
            </w:r>
          </w:p>
        </w:tc>
        <w:tc>
          <w:tcPr>
            <w:tcW w:w="1077" w:type="dxa"/>
          </w:tcPr>
          <w:p w14:paraId="7BAE38A1" w14:textId="6EB33777"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2.58</w:t>
            </w:r>
            <w:r w:rsidRPr="00076997">
              <w:rPr>
                <w:rFonts w:cs="Open Sans"/>
                <w:szCs w:val="18"/>
                <w:vertAlign w:val="superscript"/>
              </w:rPr>
              <w:t>c</w:t>
            </w:r>
          </w:p>
        </w:tc>
        <w:tc>
          <w:tcPr>
            <w:tcW w:w="1247" w:type="dxa"/>
          </w:tcPr>
          <w:p w14:paraId="7C7A9C25" w14:textId="08725F8E"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8.55</w:t>
            </w:r>
          </w:p>
        </w:tc>
        <w:tc>
          <w:tcPr>
            <w:tcW w:w="1191" w:type="dxa"/>
          </w:tcPr>
          <w:p w14:paraId="58EB9021" w14:textId="48FF704E"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15.69</w:t>
            </w:r>
          </w:p>
        </w:tc>
        <w:tc>
          <w:tcPr>
            <w:tcW w:w="1110" w:type="dxa"/>
          </w:tcPr>
          <w:p w14:paraId="4236E117" w14:textId="0C67B67A"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69.58</w:t>
            </w:r>
          </w:p>
        </w:tc>
        <w:tc>
          <w:tcPr>
            <w:tcW w:w="1248" w:type="dxa"/>
          </w:tcPr>
          <w:p w14:paraId="391D1020" w14:textId="5CD08986"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3.60</w:t>
            </w:r>
            <w:r w:rsidRPr="00076997">
              <w:rPr>
                <w:rFonts w:cs="Open Sans"/>
                <w:szCs w:val="18"/>
                <w:vertAlign w:val="superscript"/>
              </w:rPr>
              <w:t>c</w:t>
            </w:r>
          </w:p>
        </w:tc>
        <w:tc>
          <w:tcPr>
            <w:tcW w:w="1099" w:type="dxa"/>
          </w:tcPr>
          <w:p w14:paraId="49AA5ECB" w14:textId="310F5411"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11.13</w:t>
            </w:r>
          </w:p>
        </w:tc>
        <w:tc>
          <w:tcPr>
            <w:tcW w:w="1191" w:type="dxa"/>
          </w:tcPr>
          <w:p w14:paraId="26460B09" w14:textId="62A2FC59"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85.27</w:t>
            </w:r>
          </w:p>
        </w:tc>
      </w:tr>
      <w:tr w:rsidR="00582E9D" w:rsidRPr="00076997" w14:paraId="3843E823" w14:textId="77777777" w:rsidTr="005649C9">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B22B2FE" w14:textId="38FF798C" w:rsidR="00582E9D" w:rsidRPr="00076997" w:rsidRDefault="00582E9D" w:rsidP="005649C9">
            <w:pPr>
              <w:pStyle w:val="Tablebody"/>
              <w:rPr>
                <w:rFonts w:cs="Open Sans"/>
                <w:szCs w:val="18"/>
              </w:rPr>
            </w:pPr>
            <w:r w:rsidRPr="00076997">
              <w:rPr>
                <w:rFonts w:cs="Open Sans"/>
                <w:szCs w:val="18"/>
              </w:rPr>
              <w:t>S13</w:t>
            </w:r>
          </w:p>
        </w:tc>
        <w:tc>
          <w:tcPr>
            <w:tcW w:w="4592" w:type="dxa"/>
          </w:tcPr>
          <w:p w14:paraId="3D398A13" w14:textId="22F42396" w:rsidR="00582E9D" w:rsidRPr="003A215E"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US"/>
              </w:rPr>
            </w:pPr>
            <w:r w:rsidRPr="003A215E">
              <w:rPr>
                <w:rFonts w:cs="Open Sans"/>
                <w:spacing w:val="-4"/>
                <w:szCs w:val="18"/>
                <w:lang w:val="en-US"/>
              </w:rPr>
              <w:t xml:space="preserve">What if she had taken him into the bedroom and started kissing him before pushing him away? Do you agree or disagree that the man justified in having sex with her anyway? </w:t>
            </w:r>
            <w:r w:rsidRPr="003A215E">
              <w:rPr>
                <w:rFonts w:cs="Open Sans"/>
                <w:spacing w:val="-4"/>
                <w:szCs w:val="18"/>
              </w:rPr>
              <w:t>(</w:t>
            </w:r>
            <w:r w:rsidRPr="003A215E">
              <w:rPr>
                <w:rFonts w:cs="Open Sans"/>
                <w:i/>
                <w:iCs/>
                <w:spacing w:val="-4"/>
                <w:szCs w:val="18"/>
                <w:lang w:val="en-US"/>
              </w:rPr>
              <w:t>Married – She initiates</w:t>
            </w:r>
            <w:r w:rsidRPr="003A215E">
              <w:rPr>
                <w:rFonts w:cs="Open Sans"/>
                <w:spacing w:val="-4"/>
                <w:szCs w:val="18"/>
              </w:rPr>
              <w:t>)</w:t>
            </w:r>
            <w:r w:rsidRPr="003A215E">
              <w:rPr>
                <w:rFonts w:ascii="Montserrat" w:hAnsi="Montserrat" w:cs="Montserrat"/>
                <w:spacing w:val="-4"/>
                <w:szCs w:val="18"/>
              </w:rPr>
              <w:t>~</w:t>
            </w:r>
          </w:p>
        </w:tc>
        <w:tc>
          <w:tcPr>
            <w:tcW w:w="737" w:type="dxa"/>
          </w:tcPr>
          <w:p w14:paraId="6372BF89" w14:textId="0B05EBDD"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442AD34B" w14:textId="7D3643DD"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4,240</w:t>
            </w:r>
          </w:p>
        </w:tc>
        <w:tc>
          <w:tcPr>
            <w:tcW w:w="1077" w:type="dxa"/>
          </w:tcPr>
          <w:p w14:paraId="18DD29EE" w14:textId="4565D543"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2.29</w:t>
            </w:r>
          </w:p>
        </w:tc>
        <w:tc>
          <w:tcPr>
            <w:tcW w:w="1247" w:type="dxa"/>
          </w:tcPr>
          <w:p w14:paraId="10FE7A62" w14:textId="1B64E619"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8.46</w:t>
            </w:r>
          </w:p>
        </w:tc>
        <w:tc>
          <w:tcPr>
            <w:tcW w:w="1191" w:type="dxa"/>
          </w:tcPr>
          <w:p w14:paraId="44B0F9A0" w14:textId="4B4CABC6"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19.05</w:t>
            </w:r>
          </w:p>
        </w:tc>
        <w:tc>
          <w:tcPr>
            <w:tcW w:w="1110" w:type="dxa"/>
          </w:tcPr>
          <w:p w14:paraId="4B7C4B1C" w14:textId="6A9839FA"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64.09</w:t>
            </w:r>
          </w:p>
        </w:tc>
        <w:tc>
          <w:tcPr>
            <w:tcW w:w="1248" w:type="dxa"/>
          </w:tcPr>
          <w:p w14:paraId="77246AEE" w14:textId="32AAA19E"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5.52</w:t>
            </w:r>
          </w:p>
        </w:tc>
        <w:tc>
          <w:tcPr>
            <w:tcW w:w="1099" w:type="dxa"/>
          </w:tcPr>
          <w:p w14:paraId="3545F168" w14:textId="133D7980"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10.75</w:t>
            </w:r>
          </w:p>
        </w:tc>
        <w:tc>
          <w:tcPr>
            <w:tcW w:w="1191" w:type="dxa"/>
          </w:tcPr>
          <w:p w14:paraId="72A4D31D" w14:textId="278DA763" w:rsidR="00582E9D" w:rsidRPr="00076997" w:rsidRDefault="00582E9D"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83.15</w:t>
            </w:r>
          </w:p>
        </w:tc>
      </w:tr>
    </w:tbl>
    <w:p w14:paraId="7CA25153" w14:textId="77777777" w:rsidR="00C713FF" w:rsidRDefault="00C713FF" w:rsidP="005649C9">
      <w:pPr>
        <w:pStyle w:val="Tablesubheading0"/>
        <w:rPr>
          <w:rFonts w:ascii="Hind" w:hAnsi="Hind"/>
        </w:rPr>
      </w:pPr>
      <w:r w:rsidRPr="00C713FF">
        <w:t>Subscale: Objectify Women</w:t>
      </w:r>
      <w:r w:rsidRPr="00076997">
        <w:rPr>
          <w:rFonts w:ascii="Hind" w:hAnsi="Hind"/>
        </w:rPr>
        <w:t xml:space="preserve"> </w:t>
      </w:r>
    </w:p>
    <w:p w14:paraId="1A49504A" w14:textId="7A7EC4FD" w:rsidR="00AA07BC" w:rsidRDefault="00C713FF" w:rsidP="0017558F">
      <w:pPr>
        <w:pStyle w:val="Tablesubheading"/>
      </w:pPr>
      <w:r w:rsidRPr="00076997">
        <w:t>A man and woman have just met at a party and get on well. They go back to the woman’s home where he kisses her and tries to have sex with her.</w:t>
      </w:r>
    </w:p>
    <w:tbl>
      <w:tblPr>
        <w:tblStyle w:val="Table-SingleHeaderRow"/>
        <w:tblW w:w="14952" w:type="dxa"/>
        <w:tblLayout w:type="fixed"/>
        <w:tblLook w:val="00A0" w:firstRow="1" w:lastRow="0" w:firstColumn="1" w:lastColumn="0" w:noHBand="0" w:noVBand="0"/>
      </w:tblPr>
      <w:tblGrid>
        <w:gridCol w:w="723"/>
        <w:gridCol w:w="4195"/>
        <w:gridCol w:w="737"/>
        <w:gridCol w:w="737"/>
        <w:gridCol w:w="1247"/>
        <w:gridCol w:w="1417"/>
        <w:gridCol w:w="1417"/>
        <w:gridCol w:w="1247"/>
        <w:gridCol w:w="1191"/>
        <w:gridCol w:w="964"/>
        <w:gridCol w:w="1077"/>
      </w:tblGrid>
      <w:tr w:rsidR="00632138" w:rsidRPr="00076997" w14:paraId="3355FC55" w14:textId="77777777" w:rsidTr="005649C9">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723" w:type="dxa"/>
          </w:tcPr>
          <w:p w14:paraId="314E44F4" w14:textId="77777777" w:rsidR="00C713FF" w:rsidRPr="00076997" w:rsidRDefault="00C713FF" w:rsidP="005649C9">
            <w:pPr>
              <w:pStyle w:val="Tablebody"/>
              <w:rPr>
                <w:b w:val="0"/>
                <w:lang w:val="en-GB"/>
              </w:rPr>
            </w:pPr>
            <w:r w:rsidRPr="00076997">
              <w:t>Code</w:t>
            </w:r>
          </w:p>
        </w:tc>
        <w:tc>
          <w:tcPr>
            <w:tcW w:w="4195" w:type="dxa"/>
          </w:tcPr>
          <w:p w14:paraId="22B806A8"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Abbreviated item wording</w:t>
            </w:r>
          </w:p>
        </w:tc>
        <w:tc>
          <w:tcPr>
            <w:tcW w:w="737" w:type="dxa"/>
          </w:tcPr>
          <w:p w14:paraId="08E40F7C"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Age</w:t>
            </w:r>
          </w:p>
        </w:tc>
        <w:tc>
          <w:tcPr>
            <w:tcW w:w="737" w:type="dxa"/>
          </w:tcPr>
          <w:p w14:paraId="3032C138"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76997">
              <w:rPr>
                <w:rStyle w:val="Emphasis"/>
                <w:lang w:val="en-GB"/>
              </w:rPr>
              <w:t>N</w:t>
            </w:r>
          </w:p>
        </w:tc>
        <w:tc>
          <w:tcPr>
            <w:tcW w:w="1247" w:type="dxa"/>
          </w:tcPr>
          <w:p w14:paraId="262B4B86"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agree</w:t>
            </w:r>
          </w:p>
        </w:tc>
        <w:tc>
          <w:tcPr>
            <w:tcW w:w="1417" w:type="dxa"/>
          </w:tcPr>
          <w:p w14:paraId="65FD26C6"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agree</w:t>
            </w:r>
          </w:p>
        </w:tc>
        <w:tc>
          <w:tcPr>
            <w:tcW w:w="1417" w:type="dxa"/>
          </w:tcPr>
          <w:p w14:paraId="3BC564A1"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Somewhat disagree</w:t>
            </w:r>
          </w:p>
        </w:tc>
        <w:tc>
          <w:tcPr>
            <w:tcW w:w="1247" w:type="dxa"/>
          </w:tcPr>
          <w:p w14:paraId="1EB24124"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Strongly disagree</w:t>
            </w:r>
          </w:p>
        </w:tc>
        <w:tc>
          <w:tcPr>
            <w:tcW w:w="1191" w:type="dxa"/>
          </w:tcPr>
          <w:p w14:paraId="3779D4F3"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Undecided</w:t>
            </w:r>
          </w:p>
        </w:tc>
        <w:tc>
          <w:tcPr>
            <w:tcW w:w="964" w:type="dxa"/>
          </w:tcPr>
          <w:p w14:paraId="57EB4412"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agree</w:t>
            </w:r>
            <w:r w:rsidRPr="00076997">
              <w:rPr>
                <w:vertAlign w:val="superscript"/>
              </w:rPr>
              <w:t>a</w:t>
            </w:r>
          </w:p>
        </w:tc>
        <w:tc>
          <w:tcPr>
            <w:tcW w:w="1077" w:type="dxa"/>
          </w:tcPr>
          <w:p w14:paraId="779F3F8D" w14:textId="77777777" w:rsidR="00C713FF" w:rsidRPr="00076997" w:rsidRDefault="00C713FF" w:rsidP="005649C9">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76997">
              <w:t>% Net disagree</w:t>
            </w:r>
            <w:r w:rsidRPr="00076997">
              <w:rPr>
                <w:vertAlign w:val="superscript"/>
              </w:rPr>
              <w:t>b</w:t>
            </w:r>
          </w:p>
        </w:tc>
      </w:tr>
      <w:tr w:rsidR="00632138" w:rsidRPr="00076997" w14:paraId="6D92CBC5" w14:textId="77777777" w:rsidTr="005649C9">
        <w:trPr>
          <w:trHeight w:val="559"/>
        </w:trPr>
        <w:tc>
          <w:tcPr>
            <w:cnfStyle w:val="001000000000" w:firstRow="0" w:lastRow="0" w:firstColumn="1" w:lastColumn="0" w:oddVBand="0" w:evenVBand="0" w:oddHBand="0" w:evenHBand="0" w:firstRowFirstColumn="0" w:firstRowLastColumn="0" w:lastRowFirstColumn="0" w:lastRowLastColumn="0"/>
            <w:tcW w:w="723" w:type="dxa"/>
          </w:tcPr>
          <w:p w14:paraId="6917DA5F" w14:textId="42AB547E" w:rsidR="00632138" w:rsidRPr="00076997" w:rsidRDefault="00632138" w:rsidP="005649C9">
            <w:pPr>
              <w:pStyle w:val="Tablebody"/>
              <w:rPr>
                <w:rFonts w:cs="Open Sans"/>
                <w:szCs w:val="18"/>
                <w:lang w:val="en-GB"/>
              </w:rPr>
            </w:pPr>
            <w:r w:rsidRPr="00076997">
              <w:rPr>
                <w:rFonts w:cs="Open Sans"/>
                <w:szCs w:val="18"/>
              </w:rPr>
              <w:t>S14</w:t>
            </w:r>
          </w:p>
        </w:tc>
        <w:tc>
          <w:tcPr>
            <w:tcW w:w="4195" w:type="dxa"/>
          </w:tcPr>
          <w:p w14:paraId="53215649" w14:textId="443BA192"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She pushes him away, but he has sex with her anyway. Do you agree or disagree that the man is</w:t>
            </w:r>
            <w:r>
              <w:rPr>
                <w:rFonts w:cs="Open Sans"/>
                <w:szCs w:val="18"/>
                <w:lang w:val="en-US"/>
              </w:rPr>
              <w:t> </w:t>
            </w:r>
            <w:r w:rsidRPr="00076997">
              <w:rPr>
                <w:rFonts w:cs="Open Sans"/>
                <w:szCs w:val="18"/>
                <w:lang w:val="en-US"/>
              </w:rPr>
              <w:t xml:space="preserve">justified in his behaviour? </w:t>
            </w:r>
            <w:r w:rsidRPr="00076997">
              <w:rPr>
                <w:rFonts w:cs="Open Sans"/>
                <w:szCs w:val="18"/>
              </w:rPr>
              <w:t>(</w:t>
            </w:r>
            <w:r w:rsidRPr="00076997">
              <w:rPr>
                <w:rFonts w:cs="Open Sans"/>
                <w:i/>
                <w:iCs/>
                <w:szCs w:val="18"/>
                <w:lang w:val="en-US"/>
              </w:rPr>
              <w:t>Acquaintance – He initiates</w:t>
            </w:r>
            <w:r w:rsidRPr="00076997">
              <w:rPr>
                <w:rFonts w:cs="Open Sans"/>
                <w:szCs w:val="18"/>
              </w:rPr>
              <w:t>)</w:t>
            </w:r>
            <w:r w:rsidRPr="00076997">
              <w:rPr>
                <w:rFonts w:ascii="Montserrat" w:hAnsi="Montserrat" w:cs="Montserrat"/>
                <w:szCs w:val="18"/>
              </w:rPr>
              <w:t>~</w:t>
            </w:r>
          </w:p>
        </w:tc>
        <w:tc>
          <w:tcPr>
            <w:tcW w:w="737" w:type="dxa"/>
          </w:tcPr>
          <w:p w14:paraId="40F81E50" w14:textId="77777777"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9AFBD34" w14:textId="77777777"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390</w:t>
            </w:r>
          </w:p>
        </w:tc>
        <w:tc>
          <w:tcPr>
            <w:tcW w:w="1247" w:type="dxa"/>
          </w:tcPr>
          <w:p w14:paraId="5BB910CE" w14:textId="59CEB3F1"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2.20</w:t>
            </w:r>
            <w:r w:rsidRPr="00076997">
              <w:rPr>
                <w:rFonts w:cs="Open Sans"/>
                <w:szCs w:val="18"/>
                <w:vertAlign w:val="superscript"/>
              </w:rPr>
              <w:t>c</w:t>
            </w:r>
          </w:p>
        </w:tc>
        <w:tc>
          <w:tcPr>
            <w:tcW w:w="1417" w:type="dxa"/>
          </w:tcPr>
          <w:p w14:paraId="10B1D5C4" w14:textId="69F5C00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2.78</w:t>
            </w:r>
            <w:r w:rsidRPr="00076997">
              <w:rPr>
                <w:rFonts w:cs="Open Sans"/>
                <w:szCs w:val="18"/>
                <w:vertAlign w:val="superscript"/>
              </w:rPr>
              <w:t>c</w:t>
            </w:r>
          </w:p>
        </w:tc>
        <w:tc>
          <w:tcPr>
            <w:tcW w:w="1417" w:type="dxa"/>
          </w:tcPr>
          <w:p w14:paraId="0BCE2B6D" w14:textId="1B6B2C0D"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5.15</w:t>
            </w:r>
          </w:p>
        </w:tc>
        <w:tc>
          <w:tcPr>
            <w:tcW w:w="1247" w:type="dxa"/>
          </w:tcPr>
          <w:p w14:paraId="53B610E4" w14:textId="1E49978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89.00</w:t>
            </w:r>
          </w:p>
        </w:tc>
        <w:tc>
          <w:tcPr>
            <w:tcW w:w="1191" w:type="dxa"/>
          </w:tcPr>
          <w:p w14:paraId="0CFF4E7B" w14:textId="13D4A590"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0.57</w:t>
            </w:r>
            <w:r w:rsidRPr="00076997">
              <w:rPr>
                <w:rFonts w:cs="Open Sans"/>
                <w:szCs w:val="18"/>
                <w:vertAlign w:val="superscript"/>
              </w:rPr>
              <w:t>c</w:t>
            </w:r>
          </w:p>
        </w:tc>
        <w:tc>
          <w:tcPr>
            <w:tcW w:w="964" w:type="dxa"/>
          </w:tcPr>
          <w:p w14:paraId="79613894" w14:textId="36B8FD0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4.98</w:t>
            </w:r>
            <w:r w:rsidRPr="00076997">
              <w:rPr>
                <w:rFonts w:cs="Open Sans"/>
                <w:szCs w:val="18"/>
                <w:vertAlign w:val="superscript"/>
              </w:rPr>
              <w:t>c</w:t>
            </w:r>
          </w:p>
        </w:tc>
        <w:tc>
          <w:tcPr>
            <w:tcW w:w="1077" w:type="dxa"/>
          </w:tcPr>
          <w:p w14:paraId="09C1DEF3" w14:textId="4EE04CC0"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94.15</w:t>
            </w:r>
          </w:p>
        </w:tc>
      </w:tr>
      <w:tr w:rsidR="00632138" w:rsidRPr="00076997" w14:paraId="610D4D45" w14:textId="77777777" w:rsidTr="005649C9">
        <w:trPr>
          <w:trHeight w:val="559"/>
        </w:trPr>
        <w:tc>
          <w:tcPr>
            <w:cnfStyle w:val="001000000000" w:firstRow="0" w:lastRow="0" w:firstColumn="1" w:lastColumn="0" w:oddVBand="0" w:evenVBand="0" w:oddHBand="0" w:evenHBand="0" w:firstRowFirstColumn="0" w:firstRowLastColumn="0" w:lastRowFirstColumn="0" w:lastRowLastColumn="0"/>
            <w:tcW w:w="723" w:type="dxa"/>
          </w:tcPr>
          <w:p w14:paraId="2BB98AA8" w14:textId="674B3B53" w:rsidR="00632138" w:rsidRPr="00076997" w:rsidRDefault="00632138" w:rsidP="005649C9">
            <w:pPr>
              <w:pStyle w:val="Tablebody"/>
              <w:rPr>
                <w:rFonts w:cs="Open Sans"/>
                <w:szCs w:val="18"/>
              </w:rPr>
            </w:pPr>
            <w:r w:rsidRPr="00076997">
              <w:rPr>
                <w:rFonts w:cs="Open Sans"/>
                <w:szCs w:val="18"/>
              </w:rPr>
              <w:t>S14</w:t>
            </w:r>
          </w:p>
        </w:tc>
        <w:tc>
          <w:tcPr>
            <w:tcW w:w="4195" w:type="dxa"/>
          </w:tcPr>
          <w:p w14:paraId="08090AE7" w14:textId="2712168D"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 xml:space="preserve">She pushes him away, but he has sex with her anyway. Do you agree or disagree that the man is justified in his behaviour? </w:t>
            </w:r>
            <w:r w:rsidRPr="00076997">
              <w:rPr>
                <w:rFonts w:cs="Open Sans"/>
                <w:szCs w:val="18"/>
              </w:rPr>
              <w:t>(</w:t>
            </w:r>
            <w:r w:rsidRPr="00076997">
              <w:rPr>
                <w:rFonts w:cs="Open Sans"/>
                <w:i/>
                <w:iCs/>
                <w:szCs w:val="18"/>
                <w:lang w:val="en-US"/>
              </w:rPr>
              <w:t>Acquaintance – He initiates</w:t>
            </w:r>
            <w:r w:rsidRPr="00076997">
              <w:rPr>
                <w:rFonts w:cs="Open Sans"/>
                <w:szCs w:val="18"/>
              </w:rPr>
              <w:t>)</w:t>
            </w:r>
            <w:r w:rsidRPr="00076997">
              <w:rPr>
                <w:rFonts w:ascii="Montserrat" w:hAnsi="Montserrat" w:cs="Montserrat"/>
                <w:szCs w:val="18"/>
              </w:rPr>
              <w:t>~</w:t>
            </w:r>
          </w:p>
        </w:tc>
        <w:tc>
          <w:tcPr>
            <w:tcW w:w="737" w:type="dxa"/>
          </w:tcPr>
          <w:p w14:paraId="5DF3F86A" w14:textId="7BF7F45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738DD2B2" w14:textId="726594A1"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4,271</w:t>
            </w:r>
          </w:p>
        </w:tc>
        <w:tc>
          <w:tcPr>
            <w:tcW w:w="1247" w:type="dxa"/>
          </w:tcPr>
          <w:p w14:paraId="774FE228" w14:textId="520FDFCD"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1.05</w:t>
            </w:r>
          </w:p>
        </w:tc>
        <w:tc>
          <w:tcPr>
            <w:tcW w:w="1417" w:type="dxa"/>
          </w:tcPr>
          <w:p w14:paraId="055BF865" w14:textId="7198B503"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1.46</w:t>
            </w:r>
          </w:p>
        </w:tc>
        <w:tc>
          <w:tcPr>
            <w:tcW w:w="1417" w:type="dxa"/>
          </w:tcPr>
          <w:p w14:paraId="38366552" w14:textId="5B93AEEF"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4.84</w:t>
            </w:r>
          </w:p>
        </w:tc>
        <w:tc>
          <w:tcPr>
            <w:tcW w:w="1247" w:type="dxa"/>
          </w:tcPr>
          <w:p w14:paraId="549F5795" w14:textId="37F81D33"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91.36</w:t>
            </w:r>
          </w:p>
        </w:tc>
        <w:tc>
          <w:tcPr>
            <w:tcW w:w="1191" w:type="dxa"/>
          </w:tcPr>
          <w:p w14:paraId="2DF7B884" w14:textId="6C6C4A5D"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1.18</w:t>
            </w:r>
          </w:p>
        </w:tc>
        <w:tc>
          <w:tcPr>
            <w:tcW w:w="964" w:type="dxa"/>
          </w:tcPr>
          <w:p w14:paraId="0E3809F5" w14:textId="7B55D08A"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2.51</w:t>
            </w:r>
          </w:p>
        </w:tc>
        <w:tc>
          <w:tcPr>
            <w:tcW w:w="1077" w:type="dxa"/>
          </w:tcPr>
          <w:p w14:paraId="148C2FAA" w14:textId="76526E6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96.20</w:t>
            </w:r>
          </w:p>
        </w:tc>
      </w:tr>
      <w:tr w:rsidR="00632138" w:rsidRPr="00076997" w14:paraId="32BD3160" w14:textId="77777777" w:rsidTr="005649C9">
        <w:trPr>
          <w:trHeight w:val="822"/>
        </w:trPr>
        <w:tc>
          <w:tcPr>
            <w:cnfStyle w:val="001000000000" w:firstRow="0" w:lastRow="0" w:firstColumn="1" w:lastColumn="0" w:oddVBand="0" w:evenVBand="0" w:oddHBand="0" w:evenHBand="0" w:firstRowFirstColumn="0" w:firstRowLastColumn="0" w:lastRowFirstColumn="0" w:lastRowLastColumn="0"/>
            <w:tcW w:w="723" w:type="dxa"/>
          </w:tcPr>
          <w:p w14:paraId="255320A1" w14:textId="77777777" w:rsidR="00632138" w:rsidRPr="00076997" w:rsidRDefault="00632138" w:rsidP="005649C9">
            <w:pPr>
              <w:pStyle w:val="Tablebody"/>
              <w:rPr>
                <w:rFonts w:cs="Open Sans"/>
                <w:szCs w:val="18"/>
                <w:lang w:val="en-GB"/>
              </w:rPr>
            </w:pPr>
            <w:r w:rsidRPr="00076997">
              <w:rPr>
                <w:rFonts w:cs="Open Sans"/>
                <w:szCs w:val="18"/>
              </w:rPr>
              <w:t>S15</w:t>
            </w:r>
          </w:p>
        </w:tc>
        <w:tc>
          <w:tcPr>
            <w:tcW w:w="4195" w:type="dxa"/>
          </w:tcPr>
          <w:p w14:paraId="01177817" w14:textId="443851A6"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lang w:val="en-US"/>
              </w:rPr>
              <w:t>What if she had taken him into the bedroom and started kissing him before pushing him away? Do</w:t>
            </w:r>
            <w:r>
              <w:rPr>
                <w:rFonts w:cs="Open Sans"/>
                <w:szCs w:val="18"/>
                <w:lang w:val="en-US"/>
              </w:rPr>
              <w:t> </w:t>
            </w:r>
            <w:r w:rsidRPr="00076997">
              <w:rPr>
                <w:rFonts w:cs="Open Sans"/>
                <w:szCs w:val="18"/>
                <w:lang w:val="en-US"/>
              </w:rPr>
              <w:t xml:space="preserve">you agree or disagree that the man would have been justified in having sex with her anyway? </w:t>
            </w:r>
            <w:r w:rsidRPr="00076997">
              <w:rPr>
                <w:rFonts w:cs="Open Sans"/>
                <w:szCs w:val="18"/>
              </w:rPr>
              <w:t>(</w:t>
            </w:r>
            <w:r w:rsidRPr="00076997">
              <w:rPr>
                <w:rFonts w:cs="Open Sans"/>
                <w:i/>
                <w:iCs/>
                <w:szCs w:val="18"/>
                <w:lang w:val="en-US"/>
              </w:rPr>
              <w:t>Acquaintance – She initiates</w:t>
            </w:r>
            <w:r w:rsidRPr="00076997">
              <w:rPr>
                <w:rFonts w:cs="Open Sans"/>
                <w:szCs w:val="18"/>
              </w:rPr>
              <w:t>)</w:t>
            </w:r>
            <w:r w:rsidRPr="00076997">
              <w:rPr>
                <w:rFonts w:ascii="Montserrat" w:hAnsi="Montserrat" w:cs="Montserrat"/>
                <w:szCs w:val="18"/>
              </w:rPr>
              <w:t>~</w:t>
            </w:r>
          </w:p>
        </w:tc>
        <w:tc>
          <w:tcPr>
            <w:tcW w:w="737" w:type="dxa"/>
          </w:tcPr>
          <w:p w14:paraId="7C66B549" w14:textId="77777777"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16–24</w:t>
            </w:r>
          </w:p>
        </w:tc>
        <w:tc>
          <w:tcPr>
            <w:tcW w:w="737" w:type="dxa"/>
          </w:tcPr>
          <w:p w14:paraId="0B45B4CC" w14:textId="77777777"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390</w:t>
            </w:r>
          </w:p>
        </w:tc>
        <w:tc>
          <w:tcPr>
            <w:tcW w:w="1247" w:type="dxa"/>
          </w:tcPr>
          <w:p w14:paraId="04CB4DBC" w14:textId="69D9F76B"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3.41</w:t>
            </w:r>
            <w:r w:rsidRPr="00076997">
              <w:rPr>
                <w:rFonts w:cs="Open Sans"/>
                <w:szCs w:val="18"/>
                <w:vertAlign w:val="superscript"/>
              </w:rPr>
              <w:t>c</w:t>
            </w:r>
          </w:p>
        </w:tc>
        <w:tc>
          <w:tcPr>
            <w:tcW w:w="1417" w:type="dxa"/>
          </w:tcPr>
          <w:p w14:paraId="56069316" w14:textId="7A473265"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8.15</w:t>
            </w:r>
          </w:p>
        </w:tc>
        <w:tc>
          <w:tcPr>
            <w:tcW w:w="1417" w:type="dxa"/>
          </w:tcPr>
          <w:p w14:paraId="6AFBB93C" w14:textId="2B54E2AB"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13.55</w:t>
            </w:r>
          </w:p>
        </w:tc>
        <w:tc>
          <w:tcPr>
            <w:tcW w:w="1247" w:type="dxa"/>
          </w:tcPr>
          <w:p w14:paraId="117375B8" w14:textId="3B341E7E"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72.10</w:t>
            </w:r>
          </w:p>
        </w:tc>
        <w:tc>
          <w:tcPr>
            <w:tcW w:w="1191" w:type="dxa"/>
          </w:tcPr>
          <w:p w14:paraId="307C7713" w14:textId="5FE030B2"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2.78</w:t>
            </w:r>
            <w:r w:rsidRPr="00076997">
              <w:rPr>
                <w:rFonts w:cs="Open Sans"/>
                <w:szCs w:val="18"/>
                <w:vertAlign w:val="superscript"/>
              </w:rPr>
              <w:t>c</w:t>
            </w:r>
          </w:p>
        </w:tc>
        <w:tc>
          <w:tcPr>
            <w:tcW w:w="964" w:type="dxa"/>
          </w:tcPr>
          <w:p w14:paraId="7E4B7854" w14:textId="174FC2F3"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11.56</w:t>
            </w:r>
          </w:p>
        </w:tc>
        <w:tc>
          <w:tcPr>
            <w:tcW w:w="1077" w:type="dxa"/>
          </w:tcPr>
          <w:p w14:paraId="26E4CDF0" w14:textId="1B88FA57"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76997">
              <w:rPr>
                <w:rFonts w:cs="Open Sans"/>
                <w:szCs w:val="18"/>
              </w:rPr>
              <w:t>85.66</w:t>
            </w:r>
          </w:p>
        </w:tc>
      </w:tr>
      <w:tr w:rsidR="00632138" w:rsidRPr="00076997" w14:paraId="6645C778" w14:textId="77777777" w:rsidTr="005649C9">
        <w:trPr>
          <w:trHeight w:val="822"/>
        </w:trPr>
        <w:tc>
          <w:tcPr>
            <w:cnfStyle w:val="001000000000" w:firstRow="0" w:lastRow="0" w:firstColumn="1" w:lastColumn="0" w:oddVBand="0" w:evenVBand="0" w:oddHBand="0" w:evenHBand="0" w:firstRowFirstColumn="0" w:firstRowLastColumn="0" w:lastRowFirstColumn="0" w:lastRowLastColumn="0"/>
            <w:tcW w:w="723" w:type="dxa"/>
          </w:tcPr>
          <w:p w14:paraId="2985884C" w14:textId="602E9F0B" w:rsidR="00632138" w:rsidRPr="00076997" w:rsidRDefault="00632138" w:rsidP="005649C9">
            <w:pPr>
              <w:pStyle w:val="Tablebody"/>
              <w:rPr>
                <w:rFonts w:cs="Open Sans"/>
                <w:szCs w:val="18"/>
              </w:rPr>
            </w:pPr>
            <w:r w:rsidRPr="00076997">
              <w:rPr>
                <w:rFonts w:cs="Open Sans"/>
                <w:szCs w:val="18"/>
              </w:rPr>
              <w:lastRenderedPageBreak/>
              <w:t>S15</w:t>
            </w:r>
          </w:p>
        </w:tc>
        <w:tc>
          <w:tcPr>
            <w:tcW w:w="4195" w:type="dxa"/>
          </w:tcPr>
          <w:p w14:paraId="02CA992A" w14:textId="21CCA61E"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76997">
              <w:rPr>
                <w:rFonts w:cs="Open Sans"/>
                <w:szCs w:val="18"/>
                <w:lang w:val="en-US"/>
              </w:rPr>
              <w:t>What if she had taken him into the bedroom and started kissing him before pushing him away? Do</w:t>
            </w:r>
            <w:r>
              <w:rPr>
                <w:rFonts w:cs="Open Sans"/>
                <w:szCs w:val="18"/>
                <w:lang w:val="en-US"/>
              </w:rPr>
              <w:t> </w:t>
            </w:r>
            <w:r w:rsidRPr="00076997">
              <w:rPr>
                <w:rFonts w:cs="Open Sans"/>
                <w:szCs w:val="18"/>
                <w:lang w:val="en-US"/>
              </w:rPr>
              <w:t xml:space="preserve">you agree or disagree that the man would have been justified in having sex with her anyway? </w:t>
            </w:r>
            <w:r w:rsidRPr="00076997">
              <w:rPr>
                <w:rFonts w:cs="Open Sans"/>
                <w:szCs w:val="18"/>
              </w:rPr>
              <w:t>(</w:t>
            </w:r>
            <w:r w:rsidRPr="00076997">
              <w:rPr>
                <w:rFonts w:cs="Open Sans"/>
                <w:i/>
                <w:iCs/>
                <w:szCs w:val="18"/>
                <w:lang w:val="en-US"/>
              </w:rPr>
              <w:t>Acquaintance – She initiates</w:t>
            </w:r>
            <w:r w:rsidRPr="00076997">
              <w:rPr>
                <w:rFonts w:cs="Open Sans"/>
                <w:szCs w:val="18"/>
              </w:rPr>
              <w:t>)</w:t>
            </w:r>
            <w:r w:rsidRPr="00076997">
              <w:rPr>
                <w:rFonts w:ascii="Montserrat" w:hAnsi="Montserrat" w:cs="Montserrat"/>
                <w:szCs w:val="18"/>
              </w:rPr>
              <w:t>~</w:t>
            </w:r>
          </w:p>
        </w:tc>
        <w:tc>
          <w:tcPr>
            <w:tcW w:w="737" w:type="dxa"/>
          </w:tcPr>
          <w:p w14:paraId="316293A9" w14:textId="60E5D463"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25+</w:t>
            </w:r>
          </w:p>
        </w:tc>
        <w:tc>
          <w:tcPr>
            <w:tcW w:w="737" w:type="dxa"/>
          </w:tcPr>
          <w:p w14:paraId="2DC7851A" w14:textId="6C11BA9F"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76997">
              <w:rPr>
                <w:rFonts w:cs="Open Sans"/>
                <w:szCs w:val="18"/>
              </w:rPr>
              <w:t>4,271</w:t>
            </w:r>
          </w:p>
        </w:tc>
        <w:tc>
          <w:tcPr>
            <w:tcW w:w="1247" w:type="dxa"/>
          </w:tcPr>
          <w:p w14:paraId="649F265D" w14:textId="494F41BE"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2.51</w:t>
            </w:r>
          </w:p>
        </w:tc>
        <w:tc>
          <w:tcPr>
            <w:tcW w:w="1417" w:type="dxa"/>
          </w:tcPr>
          <w:p w14:paraId="4C02B565" w14:textId="357428D3"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4.91</w:t>
            </w:r>
          </w:p>
        </w:tc>
        <w:tc>
          <w:tcPr>
            <w:tcW w:w="1417" w:type="dxa"/>
          </w:tcPr>
          <w:p w14:paraId="542FDF2E" w14:textId="2FE0F8DA"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14.76</w:t>
            </w:r>
          </w:p>
        </w:tc>
        <w:tc>
          <w:tcPr>
            <w:tcW w:w="1247" w:type="dxa"/>
          </w:tcPr>
          <w:p w14:paraId="34FCAA64" w14:textId="28D304D9"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74.10</w:t>
            </w:r>
          </w:p>
        </w:tc>
        <w:tc>
          <w:tcPr>
            <w:tcW w:w="1191" w:type="dxa"/>
          </w:tcPr>
          <w:p w14:paraId="0EE60629" w14:textId="1DF49F4D"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3.37</w:t>
            </w:r>
          </w:p>
        </w:tc>
        <w:tc>
          <w:tcPr>
            <w:tcW w:w="964" w:type="dxa"/>
          </w:tcPr>
          <w:p w14:paraId="3C1D7B68" w14:textId="227FC1AF"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7.41</w:t>
            </w:r>
          </w:p>
        </w:tc>
        <w:tc>
          <w:tcPr>
            <w:tcW w:w="1077" w:type="dxa"/>
          </w:tcPr>
          <w:p w14:paraId="6AE174AB" w14:textId="3A473BD2" w:rsidR="00632138" w:rsidRPr="00076997" w:rsidRDefault="00632138" w:rsidP="005649C9">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076997">
              <w:rPr>
                <w:rFonts w:cs="Open Sans"/>
                <w:szCs w:val="18"/>
              </w:rPr>
              <w:t>88.86</w:t>
            </w:r>
          </w:p>
        </w:tc>
      </w:tr>
    </w:tbl>
    <w:p w14:paraId="66FB3CA5" w14:textId="77777777" w:rsidR="00076997" w:rsidRPr="00076997" w:rsidRDefault="00076997" w:rsidP="004E69A2">
      <w:pPr>
        <w:pStyle w:val="datatablenote"/>
      </w:pPr>
      <w:r w:rsidRPr="00076997">
        <w:rPr>
          <w:b/>
        </w:rPr>
        <w:t>Note:</w:t>
      </w:r>
      <w:r w:rsidRPr="00076997">
        <w:t xml:space="preserve"> Numbers in bold reflect the significantly higher value in the comparison.</w:t>
      </w:r>
    </w:p>
    <w:p w14:paraId="4F526E2B" w14:textId="77777777" w:rsidR="00076997" w:rsidRPr="00076997" w:rsidRDefault="00076997" w:rsidP="004E69A2">
      <w:pPr>
        <w:pStyle w:val="datatablenote"/>
      </w:pPr>
      <w:r w:rsidRPr="00076997">
        <w:t xml:space="preserve">Percentages may not add to 100 as “unanswered” category is not shown in the table. </w:t>
      </w:r>
    </w:p>
    <w:p w14:paraId="28593480" w14:textId="77777777" w:rsidR="00076997" w:rsidRPr="00076997" w:rsidRDefault="00076997" w:rsidP="004E69A2">
      <w:pPr>
        <w:pStyle w:val="datatablenote"/>
      </w:pPr>
      <w:r w:rsidRPr="00076997">
        <w:rPr>
          <w:b/>
        </w:rPr>
        <w:t>a</w:t>
      </w:r>
      <w:r w:rsidRPr="00076997">
        <w:t xml:space="preserve"> “Net agree” refers to answering “agree” either “strongly” or “somewhat”. </w:t>
      </w:r>
    </w:p>
    <w:p w14:paraId="013FD3EB" w14:textId="77777777" w:rsidR="00076997" w:rsidRPr="00076997" w:rsidRDefault="00076997" w:rsidP="004E69A2">
      <w:pPr>
        <w:pStyle w:val="datatablenote"/>
      </w:pPr>
      <w:r w:rsidRPr="00076997">
        <w:rPr>
          <w:b/>
        </w:rPr>
        <w:t>b</w:t>
      </w:r>
      <w:r w:rsidRPr="00076997">
        <w:t xml:space="preserve"> “Net disagree” refers to answering “disagree” either “strongly” or “somewhat”.</w:t>
      </w:r>
    </w:p>
    <w:p w14:paraId="08B18171" w14:textId="77777777" w:rsidR="00076997" w:rsidRPr="00076997" w:rsidRDefault="00076997" w:rsidP="004E69A2">
      <w:pPr>
        <w:pStyle w:val="datatablenote"/>
      </w:pPr>
      <w:r w:rsidRPr="00076997">
        <w:rPr>
          <w:b/>
        </w:rPr>
        <w:t xml:space="preserve">c </w:t>
      </w:r>
      <w:r w:rsidRPr="00076997">
        <w:t>This result should be interpreted with caution because it has a relative standard error &gt;25%.</w:t>
      </w:r>
    </w:p>
    <w:p w14:paraId="1CBF7FD4" w14:textId="77777777" w:rsidR="00076997" w:rsidRPr="00076997" w:rsidRDefault="00076997" w:rsidP="004E69A2">
      <w:pPr>
        <w:pStyle w:val="datatablenote"/>
      </w:pPr>
      <w:r w:rsidRPr="00076997">
        <w:t xml:space="preserve">* Statistically significant difference between 16- to 24-year-olds and 25+ year-olds. </w:t>
      </w:r>
    </w:p>
    <w:p w14:paraId="7997BAB2" w14:textId="77777777" w:rsidR="00076997" w:rsidRPr="00076997" w:rsidRDefault="00076997" w:rsidP="004E69A2">
      <w:pPr>
        <w:pStyle w:val="datatablenote"/>
      </w:pPr>
      <w:r w:rsidRPr="00076997">
        <w:rPr>
          <w:rFonts w:ascii="Montserrat" w:hAnsi="Montserrat" w:cs="Montserrat"/>
        </w:rPr>
        <w:t>~</w:t>
      </w:r>
      <w:r w:rsidRPr="00076997">
        <w:t xml:space="preserve"> Asked of one quarter of the sample. </w:t>
      </w:r>
    </w:p>
    <w:p w14:paraId="0356A38B" w14:textId="52542A06" w:rsidR="006F7580" w:rsidRDefault="00076997" w:rsidP="004E69A2">
      <w:pPr>
        <w:pStyle w:val="datatablenote"/>
      </w:pPr>
      <w:r w:rsidRPr="00076997">
        <w:t>^ Asked of half the sample.</w:t>
      </w:r>
    </w:p>
    <w:bookmarkStart w:id="271" w:name="_Toc190941719"/>
    <w:bookmarkStart w:id="272" w:name="_Toc190942419"/>
    <w:p w14:paraId="672C1734" w14:textId="2AE81A22" w:rsidR="003D2419" w:rsidRPr="00F52515" w:rsidRDefault="00632138" w:rsidP="004E69A2">
      <w:pPr>
        <w:pStyle w:val="H2SectionTitle"/>
      </w:pPr>
      <w:r>
        <w:rPr>
          <w:noProof/>
        </w:rPr>
        <w:lastRenderedPageBreak/>
        <mc:AlternateContent>
          <mc:Choice Requires="wps">
            <w:drawing>
              <wp:anchor distT="0" distB="0" distL="114300" distR="114300" simplePos="0" relativeHeight="251658269" behindDoc="0" locked="0" layoutInCell="1" allowOverlap="1" wp14:anchorId="5AF854C2" wp14:editId="5266886B">
                <wp:simplePos x="0" y="0"/>
                <wp:positionH relativeFrom="column">
                  <wp:posOffset>4730</wp:posOffset>
                </wp:positionH>
                <wp:positionV relativeFrom="paragraph">
                  <wp:posOffset>9634</wp:posOffset>
                </wp:positionV>
                <wp:extent cx="382138" cy="382138"/>
                <wp:effectExtent l="0" t="0" r="0" b="0"/>
                <wp:wrapSquare wrapText="bothSides"/>
                <wp:docPr id="42136422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8" cy="382138"/>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F2BCD" id="Rectangle 2" o:spid="_x0000_s1026" alt="&quot;&quot;" style="position:absolute;margin-left:.35pt;margin-top:.75pt;width:30.1pt;height:30.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" fillcolor="#ffcd00" stroked="f" strokeweight="1pt">
                <w10:wrap type="square"/>
              </v:rect>
            </w:pict>
          </mc:Fallback>
        </mc:AlternateContent>
      </w:r>
      <w:r w:rsidR="000702B8" w:rsidRPr="008C29F3">
        <w:t xml:space="preserve">15 </w:t>
      </w:r>
      <w:r w:rsidR="003D2419" w:rsidRPr="00632138">
        <w:t>Appendix C: Item-level differences by</w:t>
      </w:r>
      <w:r w:rsidR="00F52515" w:rsidRPr="00632138">
        <w:t> </w:t>
      </w:r>
      <w:r w:rsidR="003D2419" w:rsidRPr="00632138">
        <w:t>gender</w:t>
      </w:r>
      <w:bookmarkEnd w:id="271"/>
      <w:bookmarkEnd w:id="272"/>
    </w:p>
    <w:p w14:paraId="108AF280" w14:textId="77777777" w:rsidR="003D2419" w:rsidRPr="003D2419" w:rsidRDefault="003D2419" w:rsidP="003D2419">
      <w:pPr>
        <w:suppressAutoHyphens/>
        <w:autoSpaceDE w:val="0"/>
        <w:autoSpaceDN w:val="0"/>
        <w:adjustRightInd w:val="0"/>
        <w:spacing w:before="57" w:after="227" w:line="240" w:lineRule="atLeast"/>
        <w:jc w:val="both"/>
        <w:textAlignment w:val="center"/>
        <w:rPr>
          <w:rFonts w:cs="Open Sans"/>
          <w:color w:val="000000"/>
          <w:kern w:val="0"/>
          <w:sz w:val="18"/>
          <w:szCs w:val="18"/>
          <w:lang w:val="en-GB"/>
        </w:rPr>
      </w:pPr>
      <w:r w:rsidRPr="003D2419">
        <w:rPr>
          <w:rFonts w:cs="Open Sans"/>
          <w:color w:val="000000"/>
          <w:kern w:val="0"/>
          <w:sz w:val="18"/>
          <w:szCs w:val="18"/>
          <w:lang w:val="en-GB"/>
        </w:rPr>
        <w:t>The following tables present data for young men and young women. Comparisons involving young non-binary respondents were not conducted at the item level due to small numbers on some items.</w:t>
      </w:r>
    </w:p>
    <w:p w14:paraId="5C450BA3" w14:textId="7AE3933F" w:rsidR="00EA0B1E" w:rsidRDefault="003D2419" w:rsidP="00F5214A">
      <w:pPr>
        <w:pStyle w:val="TableheadingTablesandfigures"/>
      </w:pPr>
      <w:bookmarkStart w:id="273" w:name="_Toc187402256"/>
      <w:r>
        <w:t xml:space="preserve">Table </w:t>
      </w:r>
      <w:r w:rsidR="004A7ED7">
        <w:fldChar w:fldCharType="begin"/>
      </w:r>
      <w:r w:rsidR="004A7ED7">
        <w:instrText xml:space="preserve"> STYLEREF 1 \s </w:instrText>
      </w:r>
      <w:r w:rsidR="004A7ED7">
        <w:fldChar w:fldCharType="separate"/>
      </w:r>
      <w:r w:rsidR="004A7ED7">
        <w:rPr>
          <w:noProof/>
        </w:rPr>
        <w:t>15</w:t>
      </w:r>
      <w:r w:rsidR="004A7ED7">
        <w:rPr>
          <w:noProof/>
        </w:rPr>
        <w:fldChar w:fldCharType="end"/>
      </w:r>
      <w:r w:rsidR="00966261">
        <w:rPr>
          <w:noProof/>
        </w:rPr>
        <w:t>-</w:t>
      </w:r>
      <w:r w:rsidR="00EA0B1E">
        <w:fldChar w:fldCharType="begin"/>
      </w:r>
      <w:r w:rsidR="00EA0B1E">
        <w:instrText xml:space="preserve"> SEQ Table \* ARABIC \s 1 </w:instrText>
      </w:r>
      <w:r w:rsidR="00EA0B1E">
        <w:fldChar w:fldCharType="separate"/>
      </w:r>
      <w:r w:rsidR="00EA0B1E">
        <w:rPr>
          <w:noProof/>
        </w:rPr>
        <w:t>1</w:t>
      </w:r>
      <w:r w:rsidR="00EA0B1E">
        <w:rPr>
          <w:noProof/>
        </w:rPr>
        <w:fldChar w:fldCharType="end"/>
      </w:r>
      <w:r w:rsidR="00EA0B1E" w:rsidRPr="003D2419">
        <w:t xml:space="preserve">: </w:t>
      </w:r>
      <w:r w:rsidR="00EA0B1E">
        <w:tab/>
      </w:r>
      <w:r w:rsidR="00EA0B1E" w:rsidRPr="003D2419">
        <w:t>Recognising domestic violence and violence against women by gender, young men and women (UVAWS subscale items), 2021</w:t>
      </w:r>
      <w:bookmarkEnd w:id="273"/>
    </w:p>
    <w:p w14:paraId="104771DA" w14:textId="0488AF6A" w:rsidR="002C71EF" w:rsidRDefault="002C71EF" w:rsidP="007632F4">
      <w:pPr>
        <w:pStyle w:val="Tablesubheading0"/>
      </w:pPr>
      <w:r w:rsidRPr="003D2419">
        <w:t>Is this a form of domestic violence?</w:t>
      </w:r>
    </w:p>
    <w:p w14:paraId="5B1E4DD1" w14:textId="14B5D737" w:rsidR="002C71EF" w:rsidRPr="008C29F3" w:rsidRDefault="002C71EF" w:rsidP="004E69A2">
      <w:pPr>
        <w:pStyle w:val="TablesubheadingSubscale"/>
        <w:rPr>
          <w:lang w:val="en-US"/>
        </w:rPr>
      </w:pPr>
      <w:r>
        <w:t xml:space="preserve">Subscale: </w:t>
      </w:r>
      <w:r w:rsidRPr="003D2419">
        <w:t>Recognise Domestic Violence</w:t>
      </w:r>
    </w:p>
    <w:tbl>
      <w:tblPr>
        <w:tblStyle w:val="Table-SingleHeaderRow"/>
        <w:tblW w:w="14854" w:type="dxa"/>
        <w:tblLayout w:type="fixed"/>
        <w:tblLook w:val="00A0" w:firstRow="1" w:lastRow="0" w:firstColumn="1" w:lastColumn="0" w:noHBand="0" w:noVBand="0"/>
      </w:tblPr>
      <w:tblGrid>
        <w:gridCol w:w="736"/>
        <w:gridCol w:w="4989"/>
        <w:gridCol w:w="1474"/>
        <w:gridCol w:w="567"/>
        <w:gridCol w:w="1077"/>
        <w:gridCol w:w="1248"/>
        <w:gridCol w:w="1247"/>
        <w:gridCol w:w="907"/>
        <w:gridCol w:w="1134"/>
        <w:gridCol w:w="1475"/>
      </w:tblGrid>
      <w:tr w:rsidR="002C71EF" w:rsidRPr="003D2419" w14:paraId="594105B7" w14:textId="77777777" w:rsidTr="007632F4">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736" w:type="dxa"/>
          </w:tcPr>
          <w:p w14:paraId="1FEE5EF8" w14:textId="77777777" w:rsidR="002C71EF" w:rsidRPr="003D2419" w:rsidRDefault="002C71EF" w:rsidP="007632F4">
            <w:pPr>
              <w:pStyle w:val="Tablebody"/>
              <w:rPr>
                <w:b w:val="0"/>
                <w:lang w:val="en-GB"/>
              </w:rPr>
            </w:pPr>
            <w:r w:rsidRPr="003D2419">
              <w:t>Code</w:t>
            </w:r>
          </w:p>
        </w:tc>
        <w:tc>
          <w:tcPr>
            <w:tcW w:w="4989" w:type="dxa"/>
          </w:tcPr>
          <w:p w14:paraId="16BE091E"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Abbreviated item wording</w:t>
            </w:r>
          </w:p>
        </w:tc>
        <w:tc>
          <w:tcPr>
            <w:tcW w:w="1474" w:type="dxa"/>
          </w:tcPr>
          <w:p w14:paraId="13708025"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Gender</w:t>
            </w:r>
          </w:p>
        </w:tc>
        <w:tc>
          <w:tcPr>
            <w:tcW w:w="567" w:type="dxa"/>
          </w:tcPr>
          <w:p w14:paraId="5DF0C06A"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3D2419">
              <w:rPr>
                <w:rStyle w:val="Emphasis"/>
                <w:lang w:val="en-US"/>
              </w:rPr>
              <w:t>N</w:t>
            </w:r>
          </w:p>
        </w:tc>
        <w:tc>
          <w:tcPr>
            <w:tcW w:w="1077" w:type="dxa"/>
          </w:tcPr>
          <w:p w14:paraId="78128C74"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always</w:t>
            </w:r>
          </w:p>
        </w:tc>
        <w:tc>
          <w:tcPr>
            <w:tcW w:w="1248" w:type="dxa"/>
          </w:tcPr>
          <w:p w14:paraId="7AA33832" w14:textId="2D71A9B9"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usually</w:t>
            </w:r>
          </w:p>
        </w:tc>
        <w:tc>
          <w:tcPr>
            <w:tcW w:w="1247" w:type="dxa"/>
          </w:tcPr>
          <w:p w14:paraId="62AFD252"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sometimes</w:t>
            </w:r>
          </w:p>
        </w:tc>
        <w:tc>
          <w:tcPr>
            <w:tcW w:w="907" w:type="dxa"/>
          </w:tcPr>
          <w:p w14:paraId="0E246CE2" w14:textId="7C88F62B"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No</w:t>
            </w:r>
          </w:p>
        </w:tc>
        <w:tc>
          <w:tcPr>
            <w:tcW w:w="1134" w:type="dxa"/>
          </w:tcPr>
          <w:p w14:paraId="2671CC75" w14:textId="2D58D944"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Unsure</w:t>
            </w:r>
          </w:p>
        </w:tc>
        <w:tc>
          <w:tcPr>
            <w:tcW w:w="1475" w:type="dxa"/>
          </w:tcPr>
          <w:p w14:paraId="76BD5A60" w14:textId="77777777" w:rsidR="002C71EF" w:rsidRPr="003D2419" w:rsidRDefault="002C71EF"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Strong yes</w:t>
            </w:r>
            <w:r w:rsidRPr="003D2419">
              <w:rPr>
                <w:vertAlign w:val="superscript"/>
              </w:rPr>
              <w:t>a</w:t>
            </w:r>
          </w:p>
        </w:tc>
      </w:tr>
      <w:tr w:rsidR="006F7580" w:rsidRPr="003D2419" w14:paraId="51F97F2A"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EFA1BC6" w14:textId="77777777" w:rsidR="006F7580" w:rsidRPr="003D2419" w:rsidRDefault="006F7580" w:rsidP="007632F4">
            <w:pPr>
              <w:pStyle w:val="Tablebody"/>
              <w:rPr>
                <w:rFonts w:cs="Open Sans"/>
                <w:szCs w:val="18"/>
                <w:lang w:val="en-GB"/>
              </w:rPr>
            </w:pPr>
            <w:r w:rsidRPr="003D2419">
              <w:rPr>
                <w:rFonts w:cs="Open Sans"/>
                <w:szCs w:val="18"/>
              </w:rPr>
              <w:t>D1</w:t>
            </w:r>
          </w:p>
        </w:tc>
        <w:tc>
          <w:tcPr>
            <w:tcW w:w="4989" w:type="dxa"/>
          </w:tcPr>
          <w:p w14:paraId="3C0850DF"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Slaps or pushes partner to cause harm or fear</w:t>
            </w:r>
          </w:p>
        </w:tc>
        <w:tc>
          <w:tcPr>
            <w:tcW w:w="1474" w:type="dxa"/>
          </w:tcPr>
          <w:p w14:paraId="261361F7"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50A20A3C"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17B10758" w14:textId="37F62B1E"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76.37</w:t>
            </w:r>
          </w:p>
        </w:tc>
        <w:tc>
          <w:tcPr>
            <w:tcW w:w="1248" w:type="dxa"/>
          </w:tcPr>
          <w:p w14:paraId="53A83752" w14:textId="6135F9E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14.13</w:t>
            </w:r>
          </w:p>
        </w:tc>
        <w:tc>
          <w:tcPr>
            <w:tcW w:w="1247" w:type="dxa"/>
          </w:tcPr>
          <w:p w14:paraId="1ABEAEC7" w14:textId="440351D1"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7.43</w:t>
            </w:r>
          </w:p>
        </w:tc>
        <w:tc>
          <w:tcPr>
            <w:tcW w:w="907" w:type="dxa"/>
          </w:tcPr>
          <w:p w14:paraId="65139D5F" w14:textId="16D368ED"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1.47</w:t>
            </w:r>
            <w:r w:rsidRPr="003D2419">
              <w:rPr>
                <w:rFonts w:cs="Open Sans"/>
                <w:szCs w:val="18"/>
                <w:vertAlign w:val="superscript"/>
              </w:rPr>
              <w:t>b</w:t>
            </w:r>
          </w:p>
        </w:tc>
        <w:tc>
          <w:tcPr>
            <w:tcW w:w="1134" w:type="dxa"/>
          </w:tcPr>
          <w:p w14:paraId="73C3CE85" w14:textId="7CA8F93F"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0.34</w:t>
            </w:r>
            <w:r w:rsidRPr="003D2419">
              <w:rPr>
                <w:rFonts w:cs="Open Sans"/>
                <w:szCs w:val="18"/>
                <w:vertAlign w:val="superscript"/>
              </w:rPr>
              <w:t>b</w:t>
            </w:r>
          </w:p>
        </w:tc>
        <w:tc>
          <w:tcPr>
            <w:tcW w:w="1475" w:type="dxa"/>
          </w:tcPr>
          <w:p w14:paraId="7D160CE4" w14:textId="6BFE21EF"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90.50</w:t>
            </w:r>
          </w:p>
        </w:tc>
      </w:tr>
      <w:tr w:rsidR="006F7580" w:rsidRPr="003D2419" w14:paraId="5D13D59F"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7C009609" w14:textId="10B40B93" w:rsidR="006F7580" w:rsidRPr="003D2419" w:rsidRDefault="006F7580" w:rsidP="007632F4">
            <w:pPr>
              <w:pStyle w:val="Tablebody"/>
              <w:rPr>
                <w:rFonts w:cs="Open Sans"/>
                <w:szCs w:val="18"/>
              </w:rPr>
            </w:pPr>
            <w:r w:rsidRPr="003D2419">
              <w:rPr>
                <w:rFonts w:cs="Open Sans"/>
                <w:szCs w:val="18"/>
              </w:rPr>
              <w:t>D1</w:t>
            </w:r>
          </w:p>
        </w:tc>
        <w:tc>
          <w:tcPr>
            <w:tcW w:w="4989" w:type="dxa"/>
          </w:tcPr>
          <w:p w14:paraId="3D88D36D" w14:textId="4A01E0F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Slaps or pushes partner to cause harm or fear</w:t>
            </w:r>
          </w:p>
        </w:tc>
        <w:tc>
          <w:tcPr>
            <w:tcW w:w="1474" w:type="dxa"/>
          </w:tcPr>
          <w:p w14:paraId="4523D5B0" w14:textId="451FD0EC"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0AC999A8" w14:textId="709ED73B"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731877E7" w14:textId="18B3E90C"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80.03</w:t>
            </w:r>
          </w:p>
        </w:tc>
        <w:tc>
          <w:tcPr>
            <w:tcW w:w="1248" w:type="dxa"/>
          </w:tcPr>
          <w:p w14:paraId="0CBCC9C3" w14:textId="4900398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12.35</w:t>
            </w:r>
          </w:p>
        </w:tc>
        <w:tc>
          <w:tcPr>
            <w:tcW w:w="1247" w:type="dxa"/>
          </w:tcPr>
          <w:p w14:paraId="41950698" w14:textId="28AB53B9"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5.90</w:t>
            </w:r>
          </w:p>
        </w:tc>
        <w:tc>
          <w:tcPr>
            <w:tcW w:w="907" w:type="dxa"/>
          </w:tcPr>
          <w:p w14:paraId="0D2ADD5F" w14:textId="4FB7A0B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1.48</w:t>
            </w:r>
            <w:r w:rsidRPr="003D2419">
              <w:rPr>
                <w:rFonts w:cs="Open Sans"/>
                <w:szCs w:val="18"/>
                <w:vertAlign w:val="superscript"/>
              </w:rPr>
              <w:t>b</w:t>
            </w:r>
          </w:p>
        </w:tc>
        <w:tc>
          <w:tcPr>
            <w:tcW w:w="1134" w:type="dxa"/>
          </w:tcPr>
          <w:p w14:paraId="407B4B6C" w14:textId="529D9BBE"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0.24</w:t>
            </w:r>
            <w:r w:rsidRPr="003D2419">
              <w:rPr>
                <w:rFonts w:cs="Open Sans"/>
                <w:szCs w:val="18"/>
                <w:vertAlign w:val="superscript"/>
              </w:rPr>
              <w:t>b</w:t>
            </w:r>
          </w:p>
        </w:tc>
        <w:tc>
          <w:tcPr>
            <w:tcW w:w="1475" w:type="dxa"/>
          </w:tcPr>
          <w:p w14:paraId="550933C4" w14:textId="036CAD41"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92.39</w:t>
            </w:r>
          </w:p>
        </w:tc>
      </w:tr>
      <w:tr w:rsidR="006F7580" w:rsidRPr="003D2419" w14:paraId="53ED8618"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1B8CFC0D" w14:textId="77777777" w:rsidR="006F7580" w:rsidRPr="003D2419" w:rsidRDefault="006F7580" w:rsidP="007632F4">
            <w:pPr>
              <w:pStyle w:val="Tablebody"/>
              <w:rPr>
                <w:rFonts w:cs="Open Sans"/>
                <w:szCs w:val="18"/>
                <w:lang w:val="en-GB"/>
              </w:rPr>
            </w:pPr>
            <w:r w:rsidRPr="003D2419">
              <w:rPr>
                <w:rFonts w:cs="Open Sans"/>
                <w:szCs w:val="18"/>
              </w:rPr>
              <w:t>D2</w:t>
            </w:r>
          </w:p>
        </w:tc>
        <w:tc>
          <w:tcPr>
            <w:tcW w:w="4989" w:type="dxa"/>
          </w:tcPr>
          <w:p w14:paraId="0AAE3739" w14:textId="77777777" w:rsidR="006F7580" w:rsidRPr="008D6D2C"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GB"/>
              </w:rPr>
            </w:pPr>
            <w:r w:rsidRPr="008D6D2C">
              <w:rPr>
                <w:rFonts w:cs="Open Sans"/>
                <w:spacing w:val="-4"/>
                <w:szCs w:val="18"/>
                <w:lang w:val="en-US"/>
              </w:rPr>
              <w:t>Scares or controls partner by threatening family members</w:t>
            </w:r>
            <w:r w:rsidRPr="008D6D2C">
              <w:rPr>
                <w:rFonts w:ascii="Montserrat" w:hAnsi="Montserrat" w:cs="Montserrat"/>
                <w:spacing w:val="-4"/>
                <w:szCs w:val="18"/>
                <w:lang w:val="en-US"/>
              </w:rPr>
              <w:t>~</w:t>
            </w:r>
          </w:p>
        </w:tc>
        <w:tc>
          <w:tcPr>
            <w:tcW w:w="1474" w:type="dxa"/>
          </w:tcPr>
          <w:p w14:paraId="58893788"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23245498"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213</w:t>
            </w:r>
          </w:p>
        </w:tc>
        <w:tc>
          <w:tcPr>
            <w:tcW w:w="1077" w:type="dxa"/>
          </w:tcPr>
          <w:p w14:paraId="52B62D0E" w14:textId="6D90460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94.04</w:t>
            </w:r>
          </w:p>
        </w:tc>
        <w:tc>
          <w:tcPr>
            <w:tcW w:w="1248" w:type="dxa"/>
          </w:tcPr>
          <w:p w14:paraId="2E8CA993" w14:textId="5FDC0BE1"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3.69</w:t>
            </w:r>
            <w:r w:rsidRPr="003D2419">
              <w:rPr>
                <w:rFonts w:cs="Open Sans"/>
                <w:szCs w:val="18"/>
                <w:vertAlign w:val="superscript"/>
              </w:rPr>
              <w:t>b</w:t>
            </w:r>
          </w:p>
        </w:tc>
        <w:tc>
          <w:tcPr>
            <w:tcW w:w="1247" w:type="dxa"/>
          </w:tcPr>
          <w:p w14:paraId="20FE82F5" w14:textId="567955C2"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0.81</w:t>
            </w:r>
            <w:r w:rsidRPr="003D2419">
              <w:rPr>
                <w:rFonts w:cs="Open Sans"/>
                <w:szCs w:val="18"/>
                <w:vertAlign w:val="superscript"/>
              </w:rPr>
              <w:t>b</w:t>
            </w:r>
          </w:p>
        </w:tc>
        <w:tc>
          <w:tcPr>
            <w:tcW w:w="907" w:type="dxa"/>
          </w:tcPr>
          <w:p w14:paraId="1D74962B" w14:textId="3F8F0E4B"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0.68</w:t>
            </w:r>
            <w:r w:rsidRPr="003D2419">
              <w:rPr>
                <w:rFonts w:cs="Open Sans"/>
                <w:szCs w:val="18"/>
                <w:vertAlign w:val="superscript"/>
              </w:rPr>
              <w:t>b</w:t>
            </w:r>
          </w:p>
        </w:tc>
        <w:tc>
          <w:tcPr>
            <w:tcW w:w="1134" w:type="dxa"/>
          </w:tcPr>
          <w:p w14:paraId="689F2729" w14:textId="6DCE8A6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0.78</w:t>
            </w:r>
            <w:r w:rsidRPr="003D2419">
              <w:rPr>
                <w:rFonts w:cs="Open Sans"/>
                <w:szCs w:val="18"/>
                <w:vertAlign w:val="superscript"/>
              </w:rPr>
              <w:t>b</w:t>
            </w:r>
          </w:p>
        </w:tc>
        <w:tc>
          <w:tcPr>
            <w:tcW w:w="1475" w:type="dxa"/>
          </w:tcPr>
          <w:p w14:paraId="05CAE630" w14:textId="074DDA61"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97.73</w:t>
            </w:r>
          </w:p>
        </w:tc>
      </w:tr>
      <w:tr w:rsidR="006F7580" w:rsidRPr="003D2419" w14:paraId="38416EE0"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2EC16E42" w14:textId="5ED51389" w:rsidR="006F7580" w:rsidRPr="003D2419" w:rsidRDefault="006F7580" w:rsidP="007632F4">
            <w:pPr>
              <w:pStyle w:val="Tablebody"/>
              <w:rPr>
                <w:rFonts w:cs="Open Sans"/>
                <w:szCs w:val="18"/>
              </w:rPr>
            </w:pPr>
            <w:r w:rsidRPr="003D2419">
              <w:rPr>
                <w:rFonts w:cs="Open Sans"/>
                <w:szCs w:val="18"/>
              </w:rPr>
              <w:t>D2</w:t>
            </w:r>
          </w:p>
        </w:tc>
        <w:tc>
          <w:tcPr>
            <w:tcW w:w="4989" w:type="dxa"/>
          </w:tcPr>
          <w:p w14:paraId="4DAFB35E" w14:textId="00BA3247" w:rsidR="006F7580" w:rsidRPr="008D6D2C"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US"/>
              </w:rPr>
            </w:pPr>
            <w:r w:rsidRPr="008D6D2C">
              <w:rPr>
                <w:rFonts w:cs="Open Sans"/>
                <w:spacing w:val="-4"/>
                <w:szCs w:val="18"/>
                <w:lang w:val="en-US"/>
              </w:rPr>
              <w:t>Scares or controls partner by threatening family members</w:t>
            </w:r>
            <w:r w:rsidRPr="008D6D2C">
              <w:rPr>
                <w:rFonts w:ascii="Montserrat" w:hAnsi="Montserrat" w:cs="Montserrat"/>
                <w:spacing w:val="-4"/>
                <w:szCs w:val="18"/>
                <w:lang w:val="en-US"/>
              </w:rPr>
              <w:t>~</w:t>
            </w:r>
          </w:p>
        </w:tc>
        <w:tc>
          <w:tcPr>
            <w:tcW w:w="1474" w:type="dxa"/>
          </w:tcPr>
          <w:p w14:paraId="6880EB5F" w14:textId="02277F79"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34D28DA1" w14:textId="405208D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173</w:t>
            </w:r>
          </w:p>
        </w:tc>
        <w:tc>
          <w:tcPr>
            <w:tcW w:w="1077" w:type="dxa"/>
          </w:tcPr>
          <w:p w14:paraId="0C902578" w14:textId="262A1B2D"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92.38</w:t>
            </w:r>
          </w:p>
        </w:tc>
        <w:tc>
          <w:tcPr>
            <w:tcW w:w="1248" w:type="dxa"/>
          </w:tcPr>
          <w:p w14:paraId="10FA271E" w14:textId="38614A4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4.02</w:t>
            </w:r>
            <w:r w:rsidRPr="003D2419">
              <w:rPr>
                <w:rFonts w:cs="Open Sans"/>
                <w:szCs w:val="18"/>
                <w:vertAlign w:val="superscript"/>
              </w:rPr>
              <w:t>b</w:t>
            </w:r>
          </w:p>
        </w:tc>
        <w:tc>
          <w:tcPr>
            <w:tcW w:w="1247" w:type="dxa"/>
          </w:tcPr>
          <w:p w14:paraId="67BB580D" w14:textId="076AE00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2.57</w:t>
            </w:r>
            <w:r w:rsidRPr="003D2419">
              <w:rPr>
                <w:rFonts w:cs="Open Sans"/>
                <w:szCs w:val="18"/>
                <w:vertAlign w:val="superscript"/>
              </w:rPr>
              <w:t>b</w:t>
            </w:r>
          </w:p>
        </w:tc>
        <w:tc>
          <w:tcPr>
            <w:tcW w:w="907" w:type="dxa"/>
          </w:tcPr>
          <w:p w14:paraId="192DE6BB" w14:textId="2A2157C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1.02</w:t>
            </w:r>
            <w:r w:rsidRPr="003D2419">
              <w:rPr>
                <w:rFonts w:cs="Open Sans"/>
                <w:szCs w:val="18"/>
                <w:vertAlign w:val="superscript"/>
              </w:rPr>
              <w:t>b</w:t>
            </w:r>
          </w:p>
        </w:tc>
        <w:tc>
          <w:tcPr>
            <w:tcW w:w="1134" w:type="dxa"/>
          </w:tcPr>
          <w:p w14:paraId="10F95F04" w14:textId="5C30D145"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0.00</w:t>
            </w:r>
          </w:p>
        </w:tc>
        <w:tc>
          <w:tcPr>
            <w:tcW w:w="1475" w:type="dxa"/>
          </w:tcPr>
          <w:p w14:paraId="49BED014" w14:textId="57D9207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96.40</w:t>
            </w:r>
          </w:p>
        </w:tc>
      </w:tr>
      <w:tr w:rsidR="006F7580" w:rsidRPr="003D2419" w14:paraId="4D6F524E"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41D3108" w14:textId="77777777" w:rsidR="006F7580" w:rsidRPr="003D2419" w:rsidRDefault="006F7580" w:rsidP="007632F4">
            <w:pPr>
              <w:pStyle w:val="Tablebody"/>
              <w:rPr>
                <w:rFonts w:cs="Open Sans"/>
                <w:szCs w:val="18"/>
                <w:lang w:val="en-GB"/>
              </w:rPr>
            </w:pPr>
            <w:r w:rsidRPr="003D2419">
              <w:rPr>
                <w:rFonts w:cs="Open Sans"/>
                <w:szCs w:val="18"/>
              </w:rPr>
              <w:t>D3</w:t>
            </w:r>
          </w:p>
        </w:tc>
        <w:tc>
          <w:tcPr>
            <w:tcW w:w="4989" w:type="dxa"/>
          </w:tcPr>
          <w:p w14:paraId="7EEED65F" w14:textId="5059901A"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Repeatedly criticises to make partner feel bad or</w:t>
            </w:r>
            <w:r w:rsidR="00C76B49">
              <w:rPr>
                <w:rFonts w:cs="Open Sans"/>
                <w:szCs w:val="18"/>
                <w:lang w:val="en-US"/>
              </w:rPr>
              <w:t> </w:t>
            </w:r>
            <w:r w:rsidRPr="003D2419">
              <w:rPr>
                <w:rFonts w:cs="Open Sans"/>
                <w:szCs w:val="18"/>
                <w:lang w:val="en-US"/>
              </w:rPr>
              <w:t>useless</w:t>
            </w:r>
          </w:p>
        </w:tc>
        <w:tc>
          <w:tcPr>
            <w:tcW w:w="1474" w:type="dxa"/>
          </w:tcPr>
          <w:p w14:paraId="2BA2EBE1"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243FE9D6"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1E507AEB" w14:textId="1B35C291"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52.53*</w:t>
            </w:r>
          </w:p>
        </w:tc>
        <w:tc>
          <w:tcPr>
            <w:tcW w:w="1248" w:type="dxa"/>
          </w:tcPr>
          <w:p w14:paraId="5A478C51" w14:textId="1DCFA86C"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22.51</w:t>
            </w:r>
          </w:p>
        </w:tc>
        <w:tc>
          <w:tcPr>
            <w:tcW w:w="1247" w:type="dxa"/>
          </w:tcPr>
          <w:p w14:paraId="512238CC" w14:textId="35D87433"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16.79</w:t>
            </w:r>
          </w:p>
        </w:tc>
        <w:tc>
          <w:tcPr>
            <w:tcW w:w="907" w:type="dxa"/>
          </w:tcPr>
          <w:p w14:paraId="2C0927B3" w14:textId="349FBB90"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7.71</w:t>
            </w:r>
          </w:p>
        </w:tc>
        <w:tc>
          <w:tcPr>
            <w:tcW w:w="1134" w:type="dxa"/>
          </w:tcPr>
          <w:p w14:paraId="480C28FD" w14:textId="27A0B523"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0.46</w:t>
            </w:r>
            <w:r w:rsidRPr="003D2419">
              <w:rPr>
                <w:rFonts w:cs="Open Sans"/>
                <w:szCs w:val="18"/>
                <w:vertAlign w:val="superscript"/>
              </w:rPr>
              <w:t>b</w:t>
            </w:r>
          </w:p>
        </w:tc>
        <w:tc>
          <w:tcPr>
            <w:tcW w:w="1475" w:type="dxa"/>
          </w:tcPr>
          <w:p w14:paraId="669A6DB3" w14:textId="6D6D35C2"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75.04*</w:t>
            </w:r>
          </w:p>
        </w:tc>
      </w:tr>
      <w:tr w:rsidR="006F7580" w:rsidRPr="003D2419" w14:paraId="414C0032"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494020A" w14:textId="6083C639" w:rsidR="006F7580" w:rsidRPr="003D2419" w:rsidRDefault="006F7580" w:rsidP="007632F4">
            <w:pPr>
              <w:pStyle w:val="Tablebody"/>
              <w:rPr>
                <w:rFonts w:cs="Open Sans"/>
                <w:szCs w:val="18"/>
              </w:rPr>
            </w:pPr>
            <w:r w:rsidRPr="003D2419">
              <w:rPr>
                <w:rFonts w:cs="Open Sans"/>
                <w:szCs w:val="18"/>
              </w:rPr>
              <w:t>D3</w:t>
            </w:r>
          </w:p>
        </w:tc>
        <w:tc>
          <w:tcPr>
            <w:tcW w:w="4989" w:type="dxa"/>
          </w:tcPr>
          <w:p w14:paraId="4D1F0982" w14:textId="14933964"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Repeatedly criticises to make partner feel bad or</w:t>
            </w:r>
            <w:r w:rsidR="00C76B49">
              <w:rPr>
                <w:rFonts w:cs="Open Sans"/>
                <w:szCs w:val="18"/>
                <w:lang w:val="en-US"/>
              </w:rPr>
              <w:t> </w:t>
            </w:r>
            <w:r w:rsidRPr="003D2419">
              <w:rPr>
                <w:rFonts w:cs="Open Sans"/>
                <w:szCs w:val="18"/>
                <w:lang w:val="en-US"/>
              </w:rPr>
              <w:t>useless</w:t>
            </w:r>
          </w:p>
        </w:tc>
        <w:tc>
          <w:tcPr>
            <w:tcW w:w="1474" w:type="dxa"/>
          </w:tcPr>
          <w:p w14:paraId="3ABC8BD4" w14:textId="180F256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6E4D286B" w14:textId="181A90FA"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211479FF" w14:textId="4E387A6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65.31*</w:t>
            </w:r>
          </w:p>
        </w:tc>
        <w:tc>
          <w:tcPr>
            <w:tcW w:w="1248" w:type="dxa"/>
          </w:tcPr>
          <w:p w14:paraId="2998FF7C" w14:textId="67BCD716"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19.32</w:t>
            </w:r>
          </w:p>
        </w:tc>
        <w:tc>
          <w:tcPr>
            <w:tcW w:w="1247" w:type="dxa"/>
          </w:tcPr>
          <w:p w14:paraId="6D8DF556" w14:textId="52944D58"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12.17</w:t>
            </w:r>
          </w:p>
        </w:tc>
        <w:tc>
          <w:tcPr>
            <w:tcW w:w="907" w:type="dxa"/>
          </w:tcPr>
          <w:p w14:paraId="7A09D468" w14:textId="1E680775"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3.08</w:t>
            </w:r>
          </w:p>
        </w:tc>
        <w:tc>
          <w:tcPr>
            <w:tcW w:w="1134" w:type="dxa"/>
          </w:tcPr>
          <w:p w14:paraId="662696D6" w14:textId="17F2C8DB"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0.11</w:t>
            </w:r>
            <w:r w:rsidRPr="003D2419">
              <w:rPr>
                <w:rFonts w:cs="Open Sans"/>
                <w:szCs w:val="18"/>
                <w:vertAlign w:val="superscript"/>
              </w:rPr>
              <w:t>b</w:t>
            </w:r>
          </w:p>
        </w:tc>
        <w:tc>
          <w:tcPr>
            <w:tcW w:w="1475" w:type="dxa"/>
          </w:tcPr>
          <w:p w14:paraId="71756FB9" w14:textId="5810399F"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84.63*</w:t>
            </w:r>
          </w:p>
        </w:tc>
      </w:tr>
      <w:tr w:rsidR="006F7580" w:rsidRPr="003D2419" w14:paraId="6F61818E"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314F6567" w14:textId="77777777" w:rsidR="006F7580" w:rsidRPr="003D2419" w:rsidRDefault="006F7580" w:rsidP="007632F4">
            <w:pPr>
              <w:pStyle w:val="Tablebody"/>
              <w:rPr>
                <w:rFonts w:cs="Open Sans"/>
                <w:szCs w:val="18"/>
                <w:lang w:val="en-GB"/>
              </w:rPr>
            </w:pPr>
            <w:r w:rsidRPr="003D2419">
              <w:rPr>
                <w:rFonts w:cs="Open Sans"/>
                <w:szCs w:val="18"/>
              </w:rPr>
              <w:t>D4</w:t>
            </w:r>
          </w:p>
        </w:tc>
        <w:tc>
          <w:tcPr>
            <w:tcW w:w="4989" w:type="dxa"/>
          </w:tcPr>
          <w:p w14:paraId="4DF1E13B"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 xml:space="preserve">Controls social life by preventing partner seeing family and friends </w:t>
            </w:r>
          </w:p>
        </w:tc>
        <w:tc>
          <w:tcPr>
            <w:tcW w:w="1474" w:type="dxa"/>
          </w:tcPr>
          <w:p w14:paraId="535A72D8"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4FF49D36" w14:textId="77777777"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11F92F57" w14:textId="691A4029"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64.40*</w:t>
            </w:r>
          </w:p>
        </w:tc>
        <w:tc>
          <w:tcPr>
            <w:tcW w:w="1248" w:type="dxa"/>
          </w:tcPr>
          <w:p w14:paraId="6B0444F8" w14:textId="03CC995E"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15.43</w:t>
            </w:r>
          </w:p>
        </w:tc>
        <w:tc>
          <w:tcPr>
            <w:tcW w:w="1247" w:type="dxa"/>
          </w:tcPr>
          <w:p w14:paraId="576B57BC" w14:textId="7767EDC9"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10.83*</w:t>
            </w:r>
          </w:p>
        </w:tc>
        <w:tc>
          <w:tcPr>
            <w:tcW w:w="907" w:type="dxa"/>
          </w:tcPr>
          <w:p w14:paraId="5C4E22A7" w14:textId="0680C6E2"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8.64</w:t>
            </w:r>
          </w:p>
        </w:tc>
        <w:tc>
          <w:tcPr>
            <w:tcW w:w="1134" w:type="dxa"/>
          </w:tcPr>
          <w:p w14:paraId="1DFFBA1E" w14:textId="5D2F3743"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0.70</w:t>
            </w:r>
            <w:r w:rsidRPr="003D2419">
              <w:rPr>
                <w:rFonts w:cs="Open Sans"/>
                <w:szCs w:val="18"/>
                <w:vertAlign w:val="superscript"/>
              </w:rPr>
              <w:t>b</w:t>
            </w:r>
          </w:p>
        </w:tc>
        <w:tc>
          <w:tcPr>
            <w:tcW w:w="1475" w:type="dxa"/>
          </w:tcPr>
          <w:p w14:paraId="1DF587A5" w14:textId="5743C025" w:rsidR="006F7580" w:rsidRPr="003D2419" w:rsidRDefault="006F7580"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79.83*</w:t>
            </w:r>
          </w:p>
        </w:tc>
      </w:tr>
      <w:tr w:rsidR="008D6D2C" w:rsidRPr="003D2419" w14:paraId="285205DE"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29254B09" w14:textId="5F449686" w:rsidR="008D6D2C" w:rsidRPr="003D2419" w:rsidRDefault="008D6D2C" w:rsidP="007632F4">
            <w:pPr>
              <w:pStyle w:val="Tablebody"/>
              <w:rPr>
                <w:rFonts w:cs="Open Sans"/>
                <w:szCs w:val="18"/>
              </w:rPr>
            </w:pPr>
            <w:r w:rsidRPr="003D2419">
              <w:rPr>
                <w:rFonts w:cs="Open Sans"/>
                <w:szCs w:val="18"/>
              </w:rPr>
              <w:t>D4</w:t>
            </w:r>
          </w:p>
        </w:tc>
        <w:tc>
          <w:tcPr>
            <w:tcW w:w="4989" w:type="dxa"/>
          </w:tcPr>
          <w:p w14:paraId="16BC5B56" w14:textId="53B180D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Controls social life by preventing partner seeing family and friends</w:t>
            </w:r>
          </w:p>
        </w:tc>
        <w:tc>
          <w:tcPr>
            <w:tcW w:w="1474" w:type="dxa"/>
          </w:tcPr>
          <w:p w14:paraId="5308A0A9" w14:textId="5BA937E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0D084E40" w14:textId="05D2C422"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12AE96C3" w14:textId="01BB01B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77.46*</w:t>
            </w:r>
          </w:p>
        </w:tc>
        <w:tc>
          <w:tcPr>
            <w:tcW w:w="1248" w:type="dxa"/>
          </w:tcPr>
          <w:p w14:paraId="4EDA8271" w14:textId="7E3D167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13.22</w:t>
            </w:r>
          </w:p>
        </w:tc>
        <w:tc>
          <w:tcPr>
            <w:tcW w:w="1247" w:type="dxa"/>
          </w:tcPr>
          <w:p w14:paraId="2FCB0D75" w14:textId="0893459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5.12*</w:t>
            </w:r>
          </w:p>
        </w:tc>
        <w:tc>
          <w:tcPr>
            <w:tcW w:w="907" w:type="dxa"/>
          </w:tcPr>
          <w:p w14:paraId="1BD00444" w14:textId="14E1C6E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3.73</w:t>
            </w:r>
          </w:p>
        </w:tc>
        <w:tc>
          <w:tcPr>
            <w:tcW w:w="1134" w:type="dxa"/>
          </w:tcPr>
          <w:p w14:paraId="1640787A" w14:textId="3497D72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0.47</w:t>
            </w:r>
            <w:r w:rsidRPr="003D2419">
              <w:rPr>
                <w:rFonts w:cs="Open Sans"/>
                <w:szCs w:val="18"/>
                <w:vertAlign w:val="superscript"/>
              </w:rPr>
              <w:t>b</w:t>
            </w:r>
          </w:p>
        </w:tc>
        <w:tc>
          <w:tcPr>
            <w:tcW w:w="1475" w:type="dxa"/>
          </w:tcPr>
          <w:p w14:paraId="425A96A5" w14:textId="40266B4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90.68*</w:t>
            </w:r>
          </w:p>
        </w:tc>
      </w:tr>
      <w:tr w:rsidR="008D6D2C" w:rsidRPr="003D2419" w14:paraId="477E1950"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129D2E3F" w14:textId="77777777" w:rsidR="008D6D2C" w:rsidRPr="003D2419" w:rsidRDefault="008D6D2C" w:rsidP="007632F4">
            <w:pPr>
              <w:pStyle w:val="Tablebody"/>
              <w:rPr>
                <w:rFonts w:cs="Open Sans"/>
                <w:szCs w:val="18"/>
                <w:lang w:val="en-GB"/>
              </w:rPr>
            </w:pPr>
            <w:r w:rsidRPr="003D2419">
              <w:rPr>
                <w:rFonts w:cs="Open Sans"/>
                <w:szCs w:val="18"/>
              </w:rPr>
              <w:t>D5</w:t>
            </w:r>
          </w:p>
        </w:tc>
        <w:tc>
          <w:tcPr>
            <w:tcW w:w="4989" w:type="dxa"/>
          </w:tcPr>
          <w:p w14:paraId="3303F317"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Controls partner by denying them money</w:t>
            </w:r>
          </w:p>
        </w:tc>
        <w:tc>
          <w:tcPr>
            <w:tcW w:w="1474" w:type="dxa"/>
          </w:tcPr>
          <w:p w14:paraId="399188C8"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1F3928D1"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10CA9F65" w14:textId="700E821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52.41*</w:t>
            </w:r>
          </w:p>
        </w:tc>
        <w:tc>
          <w:tcPr>
            <w:tcW w:w="1248" w:type="dxa"/>
          </w:tcPr>
          <w:p w14:paraId="7FB27E2A" w14:textId="6EE8730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20.64</w:t>
            </w:r>
          </w:p>
        </w:tc>
        <w:tc>
          <w:tcPr>
            <w:tcW w:w="1247" w:type="dxa"/>
          </w:tcPr>
          <w:p w14:paraId="5C171A79" w14:textId="7AB9256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13.59</w:t>
            </w:r>
          </w:p>
        </w:tc>
        <w:tc>
          <w:tcPr>
            <w:tcW w:w="907" w:type="dxa"/>
          </w:tcPr>
          <w:p w14:paraId="52966AAD" w14:textId="586861A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11.91*</w:t>
            </w:r>
          </w:p>
        </w:tc>
        <w:tc>
          <w:tcPr>
            <w:tcW w:w="1134" w:type="dxa"/>
          </w:tcPr>
          <w:p w14:paraId="33B75CB7" w14:textId="5F94CF9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1.27</w:t>
            </w:r>
            <w:r w:rsidRPr="003D2419">
              <w:rPr>
                <w:rFonts w:cs="Open Sans"/>
                <w:szCs w:val="18"/>
                <w:vertAlign w:val="superscript"/>
              </w:rPr>
              <w:t>b</w:t>
            </w:r>
          </w:p>
        </w:tc>
        <w:tc>
          <w:tcPr>
            <w:tcW w:w="1475" w:type="dxa"/>
          </w:tcPr>
          <w:p w14:paraId="0E8961EA" w14:textId="4B43CC0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73.05*</w:t>
            </w:r>
          </w:p>
        </w:tc>
      </w:tr>
      <w:tr w:rsidR="008D6D2C" w:rsidRPr="003D2419" w14:paraId="6EF55B80"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14496A67" w14:textId="028069DC" w:rsidR="008D6D2C" w:rsidRPr="003D2419" w:rsidRDefault="008D6D2C" w:rsidP="007632F4">
            <w:pPr>
              <w:pStyle w:val="Tablebody"/>
              <w:rPr>
                <w:rFonts w:cs="Open Sans"/>
                <w:szCs w:val="18"/>
              </w:rPr>
            </w:pPr>
            <w:r w:rsidRPr="003D2419">
              <w:rPr>
                <w:rFonts w:cs="Open Sans"/>
                <w:szCs w:val="18"/>
              </w:rPr>
              <w:t>D5</w:t>
            </w:r>
          </w:p>
        </w:tc>
        <w:tc>
          <w:tcPr>
            <w:tcW w:w="4989" w:type="dxa"/>
          </w:tcPr>
          <w:p w14:paraId="5F83BAEC" w14:textId="53BB9B3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Controls partner by denying them money</w:t>
            </w:r>
          </w:p>
        </w:tc>
        <w:tc>
          <w:tcPr>
            <w:tcW w:w="1474" w:type="dxa"/>
          </w:tcPr>
          <w:p w14:paraId="5BA6D0D7" w14:textId="5F3E017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29A6B188" w14:textId="68CA26F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7AF577AF" w14:textId="2E44ABB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67.52*</w:t>
            </w:r>
          </w:p>
        </w:tc>
        <w:tc>
          <w:tcPr>
            <w:tcW w:w="1248" w:type="dxa"/>
          </w:tcPr>
          <w:p w14:paraId="35FD6724" w14:textId="1B7B6B5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14.19</w:t>
            </w:r>
          </w:p>
        </w:tc>
        <w:tc>
          <w:tcPr>
            <w:tcW w:w="1247" w:type="dxa"/>
          </w:tcPr>
          <w:p w14:paraId="556A9F93" w14:textId="68D27BE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13.14</w:t>
            </w:r>
          </w:p>
        </w:tc>
        <w:tc>
          <w:tcPr>
            <w:tcW w:w="907" w:type="dxa"/>
          </w:tcPr>
          <w:p w14:paraId="7678BFE3" w14:textId="6DE7C10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4.58*</w:t>
            </w:r>
          </w:p>
        </w:tc>
        <w:tc>
          <w:tcPr>
            <w:tcW w:w="1134" w:type="dxa"/>
          </w:tcPr>
          <w:p w14:paraId="1166607A" w14:textId="6EE421C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0.57</w:t>
            </w:r>
            <w:r w:rsidRPr="003D2419">
              <w:rPr>
                <w:rFonts w:cs="Open Sans"/>
                <w:szCs w:val="18"/>
                <w:vertAlign w:val="superscript"/>
              </w:rPr>
              <w:t>b</w:t>
            </w:r>
          </w:p>
        </w:tc>
        <w:tc>
          <w:tcPr>
            <w:tcW w:w="1475" w:type="dxa"/>
          </w:tcPr>
          <w:p w14:paraId="1F8FE949" w14:textId="40F07DA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81.71*</w:t>
            </w:r>
          </w:p>
        </w:tc>
      </w:tr>
      <w:tr w:rsidR="008D6D2C" w:rsidRPr="003D2419" w14:paraId="5D52511A"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783237E4" w14:textId="77777777" w:rsidR="008D6D2C" w:rsidRPr="003D2419" w:rsidRDefault="008D6D2C" w:rsidP="007632F4">
            <w:pPr>
              <w:pStyle w:val="Tablebody"/>
              <w:rPr>
                <w:rFonts w:cs="Open Sans"/>
                <w:szCs w:val="18"/>
                <w:lang w:val="en-GB"/>
              </w:rPr>
            </w:pPr>
            <w:r w:rsidRPr="003D2419">
              <w:rPr>
                <w:rFonts w:cs="Open Sans"/>
                <w:szCs w:val="18"/>
              </w:rPr>
              <w:t>D6</w:t>
            </w:r>
          </w:p>
        </w:tc>
        <w:tc>
          <w:tcPr>
            <w:tcW w:w="4989" w:type="dxa"/>
          </w:tcPr>
          <w:p w14:paraId="3997243C" w14:textId="77777777" w:rsidR="008D6D2C" w:rsidRPr="00C76B4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GB"/>
              </w:rPr>
            </w:pPr>
            <w:r w:rsidRPr="00C76B49">
              <w:rPr>
                <w:rFonts w:cs="Open Sans"/>
                <w:spacing w:val="-2"/>
                <w:szCs w:val="18"/>
                <w:lang w:val="en-US"/>
              </w:rPr>
              <w:t>Repeatedly keeps track of partner on electronic devices</w:t>
            </w:r>
          </w:p>
        </w:tc>
        <w:tc>
          <w:tcPr>
            <w:tcW w:w="1474" w:type="dxa"/>
          </w:tcPr>
          <w:p w14:paraId="7655D5C1"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55F643A6"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5E457251" w14:textId="25ACF21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56.86*</w:t>
            </w:r>
          </w:p>
        </w:tc>
        <w:tc>
          <w:tcPr>
            <w:tcW w:w="1248" w:type="dxa"/>
          </w:tcPr>
          <w:p w14:paraId="01B11EA3" w14:textId="55B78ED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17.62</w:t>
            </w:r>
          </w:p>
        </w:tc>
        <w:tc>
          <w:tcPr>
            <w:tcW w:w="1247" w:type="dxa"/>
          </w:tcPr>
          <w:p w14:paraId="721F170B" w14:textId="7D0DFE0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12.35</w:t>
            </w:r>
          </w:p>
        </w:tc>
        <w:tc>
          <w:tcPr>
            <w:tcW w:w="907" w:type="dxa"/>
          </w:tcPr>
          <w:p w14:paraId="521894BB" w14:textId="6A75724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11.77*</w:t>
            </w:r>
          </w:p>
        </w:tc>
        <w:tc>
          <w:tcPr>
            <w:tcW w:w="1134" w:type="dxa"/>
          </w:tcPr>
          <w:p w14:paraId="142BAC62" w14:textId="1E056D4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1.39</w:t>
            </w:r>
            <w:r w:rsidRPr="003D2419">
              <w:rPr>
                <w:rFonts w:cs="Open Sans"/>
                <w:szCs w:val="18"/>
                <w:vertAlign w:val="superscript"/>
              </w:rPr>
              <w:t>b</w:t>
            </w:r>
          </w:p>
        </w:tc>
        <w:tc>
          <w:tcPr>
            <w:tcW w:w="1475" w:type="dxa"/>
          </w:tcPr>
          <w:p w14:paraId="70508D86" w14:textId="500DC3E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74.48*</w:t>
            </w:r>
          </w:p>
        </w:tc>
      </w:tr>
      <w:tr w:rsidR="008D6D2C" w:rsidRPr="003D2419" w14:paraId="7B2E7E53"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032F45F" w14:textId="78128DF6" w:rsidR="008D6D2C" w:rsidRPr="003D2419" w:rsidRDefault="008D6D2C" w:rsidP="007632F4">
            <w:pPr>
              <w:pStyle w:val="Tablebody"/>
              <w:rPr>
                <w:rFonts w:cs="Open Sans"/>
                <w:szCs w:val="18"/>
              </w:rPr>
            </w:pPr>
            <w:r w:rsidRPr="003D2419">
              <w:rPr>
                <w:rFonts w:cs="Open Sans"/>
                <w:szCs w:val="18"/>
              </w:rPr>
              <w:lastRenderedPageBreak/>
              <w:t>D6</w:t>
            </w:r>
          </w:p>
        </w:tc>
        <w:tc>
          <w:tcPr>
            <w:tcW w:w="4989" w:type="dxa"/>
          </w:tcPr>
          <w:p w14:paraId="4DD5C7FD" w14:textId="05B422C0" w:rsidR="008D6D2C" w:rsidRPr="00C76B4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pacing w:val="-2"/>
                <w:szCs w:val="18"/>
                <w:lang w:val="en-US"/>
              </w:rPr>
            </w:pPr>
            <w:r w:rsidRPr="003D2419">
              <w:rPr>
                <w:rFonts w:cs="Open Sans"/>
                <w:szCs w:val="18"/>
                <w:lang w:val="en-US"/>
              </w:rPr>
              <w:t>Repeatedly keeps track of partner on electronic devices</w:t>
            </w:r>
          </w:p>
        </w:tc>
        <w:tc>
          <w:tcPr>
            <w:tcW w:w="1474" w:type="dxa"/>
          </w:tcPr>
          <w:p w14:paraId="1D6608D5" w14:textId="6AA5C31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6E6D97A3" w14:textId="743B258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7D5F3442" w14:textId="1C1C48E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71.61*</w:t>
            </w:r>
          </w:p>
        </w:tc>
        <w:tc>
          <w:tcPr>
            <w:tcW w:w="1248" w:type="dxa"/>
          </w:tcPr>
          <w:p w14:paraId="4864C57B" w14:textId="0426504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15.46</w:t>
            </w:r>
          </w:p>
        </w:tc>
        <w:tc>
          <w:tcPr>
            <w:tcW w:w="1247" w:type="dxa"/>
          </w:tcPr>
          <w:p w14:paraId="5CF8E31D" w14:textId="4CE2F67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8.81</w:t>
            </w:r>
          </w:p>
        </w:tc>
        <w:tc>
          <w:tcPr>
            <w:tcW w:w="907" w:type="dxa"/>
          </w:tcPr>
          <w:p w14:paraId="532DAACC" w14:textId="3A15BC9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3.88*</w:t>
            </w:r>
          </w:p>
        </w:tc>
        <w:tc>
          <w:tcPr>
            <w:tcW w:w="1134" w:type="dxa"/>
          </w:tcPr>
          <w:p w14:paraId="19FE3718" w14:textId="6EF1081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0.25</w:t>
            </w:r>
            <w:r w:rsidRPr="003D2419">
              <w:rPr>
                <w:rFonts w:cs="Open Sans"/>
                <w:szCs w:val="18"/>
                <w:vertAlign w:val="superscript"/>
              </w:rPr>
              <w:t>b</w:t>
            </w:r>
          </w:p>
        </w:tc>
        <w:tc>
          <w:tcPr>
            <w:tcW w:w="1475" w:type="dxa"/>
          </w:tcPr>
          <w:p w14:paraId="4894452C" w14:textId="2FD0DB7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87.06*</w:t>
            </w:r>
          </w:p>
        </w:tc>
      </w:tr>
      <w:tr w:rsidR="008D6D2C" w:rsidRPr="003D2419" w14:paraId="4E22A6E7"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D84CB05" w14:textId="77777777" w:rsidR="008D6D2C" w:rsidRPr="003D2419" w:rsidRDefault="008D6D2C" w:rsidP="007632F4">
            <w:pPr>
              <w:pStyle w:val="Tablebody"/>
              <w:rPr>
                <w:rFonts w:cs="Open Sans"/>
                <w:szCs w:val="18"/>
                <w:lang w:val="en-GB"/>
              </w:rPr>
            </w:pPr>
            <w:r w:rsidRPr="003D2419">
              <w:rPr>
                <w:rFonts w:cs="Open Sans"/>
                <w:szCs w:val="18"/>
              </w:rPr>
              <w:t>D7</w:t>
            </w:r>
          </w:p>
        </w:tc>
        <w:tc>
          <w:tcPr>
            <w:tcW w:w="4989" w:type="dxa"/>
          </w:tcPr>
          <w:p w14:paraId="4A6D6141"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Controls partner by refusing to assist with their disability needs</w:t>
            </w:r>
          </w:p>
        </w:tc>
        <w:tc>
          <w:tcPr>
            <w:tcW w:w="1474" w:type="dxa"/>
          </w:tcPr>
          <w:p w14:paraId="6138CFE1"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5B8BDFB3"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64B0E57F" w14:textId="294695A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55.15*</w:t>
            </w:r>
          </w:p>
        </w:tc>
        <w:tc>
          <w:tcPr>
            <w:tcW w:w="1248" w:type="dxa"/>
          </w:tcPr>
          <w:p w14:paraId="3577E31A" w14:textId="1B60DAF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20.04</w:t>
            </w:r>
          </w:p>
        </w:tc>
        <w:tc>
          <w:tcPr>
            <w:tcW w:w="1247" w:type="dxa"/>
          </w:tcPr>
          <w:p w14:paraId="4870127C" w14:textId="52479022"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12.17</w:t>
            </w:r>
          </w:p>
        </w:tc>
        <w:tc>
          <w:tcPr>
            <w:tcW w:w="907" w:type="dxa"/>
          </w:tcPr>
          <w:p w14:paraId="28EB8885" w14:textId="607E1072"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9.52*</w:t>
            </w:r>
          </w:p>
        </w:tc>
        <w:tc>
          <w:tcPr>
            <w:tcW w:w="1134" w:type="dxa"/>
          </w:tcPr>
          <w:p w14:paraId="4F7186AB" w14:textId="4D4F099F"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2.90</w:t>
            </w:r>
          </w:p>
        </w:tc>
        <w:tc>
          <w:tcPr>
            <w:tcW w:w="1475" w:type="dxa"/>
          </w:tcPr>
          <w:p w14:paraId="5A42C23E" w14:textId="01797A7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75.19*</w:t>
            </w:r>
          </w:p>
        </w:tc>
      </w:tr>
      <w:tr w:rsidR="008D6D2C" w:rsidRPr="003D2419" w14:paraId="7B2E9533"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58125B13" w14:textId="57AB2100" w:rsidR="008D6D2C" w:rsidRPr="003D2419" w:rsidRDefault="008D6D2C" w:rsidP="007632F4">
            <w:pPr>
              <w:pStyle w:val="Tablebody"/>
              <w:rPr>
                <w:rFonts w:cs="Open Sans"/>
                <w:szCs w:val="18"/>
              </w:rPr>
            </w:pPr>
            <w:r w:rsidRPr="003D2419">
              <w:rPr>
                <w:rFonts w:cs="Open Sans"/>
                <w:szCs w:val="18"/>
              </w:rPr>
              <w:t>D7</w:t>
            </w:r>
          </w:p>
        </w:tc>
        <w:tc>
          <w:tcPr>
            <w:tcW w:w="4989" w:type="dxa"/>
          </w:tcPr>
          <w:p w14:paraId="533CD6F2" w14:textId="59D0A6D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Controls partner by refusing to assist with their disability needs</w:t>
            </w:r>
          </w:p>
        </w:tc>
        <w:tc>
          <w:tcPr>
            <w:tcW w:w="1474" w:type="dxa"/>
          </w:tcPr>
          <w:p w14:paraId="600EE318" w14:textId="349D21D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362B001D" w14:textId="0B27A3C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2AB01DB2" w14:textId="0AC3A48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66.03*</w:t>
            </w:r>
          </w:p>
        </w:tc>
        <w:tc>
          <w:tcPr>
            <w:tcW w:w="1248" w:type="dxa"/>
          </w:tcPr>
          <w:p w14:paraId="4170023E" w14:textId="0E8B733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17.92</w:t>
            </w:r>
          </w:p>
        </w:tc>
        <w:tc>
          <w:tcPr>
            <w:tcW w:w="1247" w:type="dxa"/>
          </w:tcPr>
          <w:p w14:paraId="0112D06E" w14:textId="16D0946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10.53</w:t>
            </w:r>
          </w:p>
        </w:tc>
        <w:tc>
          <w:tcPr>
            <w:tcW w:w="907" w:type="dxa"/>
          </w:tcPr>
          <w:p w14:paraId="49D2BF83" w14:textId="5AD8D69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3.99*</w:t>
            </w:r>
          </w:p>
        </w:tc>
        <w:tc>
          <w:tcPr>
            <w:tcW w:w="1134" w:type="dxa"/>
          </w:tcPr>
          <w:p w14:paraId="3509DD3B" w14:textId="4BADC6D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1.53</w:t>
            </w:r>
            <w:r w:rsidRPr="003D2419">
              <w:rPr>
                <w:rFonts w:cs="Open Sans"/>
                <w:szCs w:val="18"/>
                <w:vertAlign w:val="superscript"/>
              </w:rPr>
              <w:t>b</w:t>
            </w:r>
          </w:p>
        </w:tc>
        <w:tc>
          <w:tcPr>
            <w:tcW w:w="1475" w:type="dxa"/>
          </w:tcPr>
          <w:p w14:paraId="5679012A" w14:textId="64B1C10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83.95*</w:t>
            </w:r>
          </w:p>
        </w:tc>
      </w:tr>
      <w:tr w:rsidR="008D6D2C" w:rsidRPr="003D2419" w14:paraId="2695336C"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0CF853DD" w14:textId="77777777" w:rsidR="008D6D2C" w:rsidRPr="003D2419" w:rsidRDefault="008D6D2C" w:rsidP="007632F4">
            <w:pPr>
              <w:pStyle w:val="Tablebody"/>
              <w:rPr>
                <w:rFonts w:cs="Open Sans"/>
                <w:szCs w:val="18"/>
                <w:lang w:val="en-GB"/>
              </w:rPr>
            </w:pPr>
            <w:r w:rsidRPr="003D2419">
              <w:rPr>
                <w:rFonts w:cs="Open Sans"/>
                <w:szCs w:val="18"/>
              </w:rPr>
              <w:t>D8</w:t>
            </w:r>
          </w:p>
        </w:tc>
        <w:tc>
          <w:tcPr>
            <w:tcW w:w="4989" w:type="dxa"/>
          </w:tcPr>
          <w:p w14:paraId="2DB5FEC2" w14:textId="6F42EB9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Controls partner with a disability by threatening to</w:t>
            </w:r>
            <w:r>
              <w:rPr>
                <w:rFonts w:cs="Open Sans"/>
                <w:szCs w:val="18"/>
                <w:lang w:val="en-US"/>
              </w:rPr>
              <w:t> </w:t>
            </w:r>
            <w:r w:rsidRPr="003D2419">
              <w:rPr>
                <w:rFonts w:cs="Open Sans"/>
                <w:szCs w:val="18"/>
                <w:lang w:val="en-US"/>
              </w:rPr>
              <w:t>put them into care or a home</w:t>
            </w:r>
            <w:r w:rsidRPr="003D2419">
              <w:rPr>
                <w:rFonts w:ascii="Montserrat" w:hAnsi="Montserrat" w:cs="Montserrat"/>
                <w:szCs w:val="18"/>
                <w:lang w:val="en-US"/>
              </w:rPr>
              <w:t>~</w:t>
            </w:r>
          </w:p>
        </w:tc>
        <w:tc>
          <w:tcPr>
            <w:tcW w:w="1474" w:type="dxa"/>
          </w:tcPr>
          <w:p w14:paraId="39FB182B"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70DAEC3B"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225</w:t>
            </w:r>
          </w:p>
        </w:tc>
        <w:tc>
          <w:tcPr>
            <w:tcW w:w="1077" w:type="dxa"/>
          </w:tcPr>
          <w:p w14:paraId="7D1E286A" w14:textId="4B020D3F"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66.56</w:t>
            </w:r>
          </w:p>
        </w:tc>
        <w:tc>
          <w:tcPr>
            <w:tcW w:w="1248" w:type="dxa"/>
          </w:tcPr>
          <w:p w14:paraId="1481CFCC" w14:textId="68C7836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18.72</w:t>
            </w:r>
          </w:p>
        </w:tc>
        <w:tc>
          <w:tcPr>
            <w:tcW w:w="1247" w:type="dxa"/>
          </w:tcPr>
          <w:p w14:paraId="49C062AB" w14:textId="45BB85F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9.11</w:t>
            </w:r>
          </w:p>
        </w:tc>
        <w:tc>
          <w:tcPr>
            <w:tcW w:w="907" w:type="dxa"/>
          </w:tcPr>
          <w:p w14:paraId="3D7CEB0C" w14:textId="2E1DB10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3.98</w:t>
            </w:r>
            <w:r w:rsidRPr="003D2419">
              <w:rPr>
                <w:rFonts w:cs="Open Sans"/>
                <w:szCs w:val="18"/>
                <w:vertAlign w:val="superscript"/>
              </w:rPr>
              <w:t>b</w:t>
            </w:r>
          </w:p>
        </w:tc>
        <w:tc>
          <w:tcPr>
            <w:tcW w:w="1134" w:type="dxa"/>
          </w:tcPr>
          <w:p w14:paraId="70CF5082" w14:textId="7C6F695F"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1.63</w:t>
            </w:r>
            <w:r w:rsidRPr="003D2419">
              <w:rPr>
                <w:rFonts w:cs="Open Sans"/>
                <w:szCs w:val="18"/>
                <w:vertAlign w:val="superscript"/>
              </w:rPr>
              <w:t>b</w:t>
            </w:r>
          </w:p>
        </w:tc>
        <w:tc>
          <w:tcPr>
            <w:tcW w:w="1475" w:type="dxa"/>
          </w:tcPr>
          <w:p w14:paraId="176F5ED1" w14:textId="715AA6F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85.28</w:t>
            </w:r>
          </w:p>
        </w:tc>
      </w:tr>
      <w:tr w:rsidR="008D6D2C" w:rsidRPr="003D2419" w14:paraId="7F8EA736"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365B4927" w14:textId="5C3F1EE1" w:rsidR="008D6D2C" w:rsidRPr="003D2419" w:rsidRDefault="008D6D2C" w:rsidP="007632F4">
            <w:pPr>
              <w:pStyle w:val="Tablebody"/>
              <w:rPr>
                <w:rFonts w:cs="Open Sans"/>
                <w:szCs w:val="18"/>
              </w:rPr>
            </w:pPr>
            <w:r w:rsidRPr="003D2419">
              <w:rPr>
                <w:rFonts w:cs="Open Sans"/>
                <w:szCs w:val="18"/>
              </w:rPr>
              <w:t>D8</w:t>
            </w:r>
          </w:p>
        </w:tc>
        <w:tc>
          <w:tcPr>
            <w:tcW w:w="4989" w:type="dxa"/>
          </w:tcPr>
          <w:p w14:paraId="67122A58" w14:textId="36D9C44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Controls partner with a disability by threatening to</w:t>
            </w:r>
            <w:r>
              <w:rPr>
                <w:rFonts w:cs="Open Sans"/>
                <w:szCs w:val="18"/>
                <w:lang w:val="en-US"/>
              </w:rPr>
              <w:t> </w:t>
            </w:r>
            <w:r w:rsidRPr="003D2419">
              <w:rPr>
                <w:rFonts w:cs="Open Sans"/>
                <w:szCs w:val="18"/>
                <w:lang w:val="en-US"/>
              </w:rPr>
              <w:t>put</w:t>
            </w:r>
            <w:r>
              <w:rPr>
                <w:rFonts w:cs="Open Sans"/>
                <w:szCs w:val="18"/>
                <w:lang w:val="en-US"/>
              </w:rPr>
              <w:t> </w:t>
            </w:r>
            <w:r w:rsidRPr="003D2419">
              <w:rPr>
                <w:rFonts w:cs="Open Sans"/>
                <w:szCs w:val="18"/>
                <w:lang w:val="en-US"/>
              </w:rPr>
              <w:t>them into care or a home</w:t>
            </w:r>
            <w:r w:rsidRPr="003D2419">
              <w:rPr>
                <w:rFonts w:ascii="Montserrat" w:hAnsi="Montserrat" w:cs="Montserrat"/>
                <w:szCs w:val="18"/>
                <w:lang w:val="en-US"/>
              </w:rPr>
              <w:t>~</w:t>
            </w:r>
          </w:p>
        </w:tc>
        <w:tc>
          <w:tcPr>
            <w:tcW w:w="1474" w:type="dxa"/>
          </w:tcPr>
          <w:p w14:paraId="3EEF4F41" w14:textId="5B4B75B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7DC04FEB" w14:textId="78EECCF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184</w:t>
            </w:r>
          </w:p>
        </w:tc>
        <w:tc>
          <w:tcPr>
            <w:tcW w:w="1077" w:type="dxa"/>
          </w:tcPr>
          <w:p w14:paraId="55C6EC5F" w14:textId="7C3AB68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70.73</w:t>
            </w:r>
          </w:p>
        </w:tc>
        <w:tc>
          <w:tcPr>
            <w:tcW w:w="1248" w:type="dxa"/>
          </w:tcPr>
          <w:p w14:paraId="4B66D80B" w14:textId="7379A1A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12.81</w:t>
            </w:r>
          </w:p>
        </w:tc>
        <w:tc>
          <w:tcPr>
            <w:tcW w:w="1247" w:type="dxa"/>
          </w:tcPr>
          <w:p w14:paraId="437B0E8A" w14:textId="1C3A5AB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11.61</w:t>
            </w:r>
          </w:p>
        </w:tc>
        <w:tc>
          <w:tcPr>
            <w:tcW w:w="907" w:type="dxa"/>
          </w:tcPr>
          <w:p w14:paraId="62E9973A" w14:textId="05B694A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4.85</w:t>
            </w:r>
            <w:r w:rsidRPr="003D2419">
              <w:rPr>
                <w:rFonts w:cs="Open Sans"/>
                <w:szCs w:val="18"/>
                <w:vertAlign w:val="superscript"/>
              </w:rPr>
              <w:t>b</w:t>
            </w:r>
          </w:p>
        </w:tc>
        <w:tc>
          <w:tcPr>
            <w:tcW w:w="1134" w:type="dxa"/>
          </w:tcPr>
          <w:p w14:paraId="365B76C5" w14:textId="48721F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0.00</w:t>
            </w:r>
          </w:p>
        </w:tc>
        <w:tc>
          <w:tcPr>
            <w:tcW w:w="1475" w:type="dxa"/>
          </w:tcPr>
          <w:p w14:paraId="6DE83037" w14:textId="5D2DECA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83.54</w:t>
            </w:r>
          </w:p>
        </w:tc>
      </w:tr>
      <w:tr w:rsidR="008D6D2C" w:rsidRPr="003D2419" w14:paraId="17CA8703"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3793EC83" w14:textId="77777777" w:rsidR="008D6D2C" w:rsidRPr="003D2419" w:rsidRDefault="008D6D2C" w:rsidP="007632F4">
            <w:pPr>
              <w:pStyle w:val="Tablebody"/>
              <w:rPr>
                <w:rFonts w:cs="Open Sans"/>
                <w:szCs w:val="18"/>
                <w:lang w:val="en-GB"/>
              </w:rPr>
            </w:pPr>
            <w:r w:rsidRPr="003D2419">
              <w:rPr>
                <w:rFonts w:cs="Open Sans"/>
                <w:szCs w:val="18"/>
              </w:rPr>
              <w:t>D9</w:t>
            </w:r>
          </w:p>
        </w:tc>
        <w:tc>
          <w:tcPr>
            <w:tcW w:w="4989" w:type="dxa"/>
          </w:tcPr>
          <w:p w14:paraId="40E52D77" w14:textId="386AC9D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Repeatedly threatens to deport partner on</w:t>
            </w:r>
            <w:r>
              <w:rPr>
                <w:rFonts w:cs="Open Sans"/>
                <w:szCs w:val="18"/>
                <w:lang w:val="en-US"/>
              </w:rPr>
              <w:t> </w:t>
            </w:r>
            <w:r w:rsidRPr="003D2419">
              <w:rPr>
                <w:rFonts w:cs="Open Sans"/>
                <w:szCs w:val="18"/>
                <w:lang w:val="en-US"/>
              </w:rPr>
              <w:t>temporary</w:t>
            </w:r>
            <w:r>
              <w:rPr>
                <w:rFonts w:cs="Open Sans"/>
                <w:szCs w:val="18"/>
                <w:lang w:val="en-US"/>
              </w:rPr>
              <w:t> </w:t>
            </w:r>
            <w:r w:rsidRPr="003D2419">
              <w:rPr>
                <w:rFonts w:cs="Open Sans"/>
                <w:szCs w:val="18"/>
                <w:lang w:val="en-US"/>
              </w:rPr>
              <w:t>visa</w:t>
            </w:r>
          </w:p>
        </w:tc>
        <w:tc>
          <w:tcPr>
            <w:tcW w:w="1474" w:type="dxa"/>
          </w:tcPr>
          <w:p w14:paraId="330DF9D6"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3A3644C9"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57F3ED6D" w14:textId="529B49A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69.96</w:t>
            </w:r>
          </w:p>
        </w:tc>
        <w:tc>
          <w:tcPr>
            <w:tcW w:w="1248" w:type="dxa"/>
          </w:tcPr>
          <w:p w14:paraId="419CFD72" w14:textId="5DDDA05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13.72</w:t>
            </w:r>
          </w:p>
        </w:tc>
        <w:tc>
          <w:tcPr>
            <w:tcW w:w="1247" w:type="dxa"/>
          </w:tcPr>
          <w:p w14:paraId="13F20D7F" w14:textId="3786BA0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8.64</w:t>
            </w:r>
          </w:p>
        </w:tc>
        <w:tc>
          <w:tcPr>
            <w:tcW w:w="907" w:type="dxa"/>
          </w:tcPr>
          <w:p w14:paraId="3BE73323" w14:textId="3030B40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6.54</w:t>
            </w:r>
          </w:p>
        </w:tc>
        <w:tc>
          <w:tcPr>
            <w:tcW w:w="1134" w:type="dxa"/>
          </w:tcPr>
          <w:p w14:paraId="66AC59AB" w14:textId="6616244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1.06</w:t>
            </w:r>
            <w:r w:rsidRPr="003D2419">
              <w:rPr>
                <w:rFonts w:cs="Open Sans"/>
                <w:szCs w:val="18"/>
                <w:vertAlign w:val="superscript"/>
              </w:rPr>
              <w:t>b</w:t>
            </w:r>
          </w:p>
        </w:tc>
        <w:tc>
          <w:tcPr>
            <w:tcW w:w="1475" w:type="dxa"/>
          </w:tcPr>
          <w:p w14:paraId="74FC8D6D" w14:textId="4097324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83.68</w:t>
            </w:r>
          </w:p>
        </w:tc>
      </w:tr>
      <w:tr w:rsidR="008D6D2C" w:rsidRPr="003D2419" w14:paraId="0174B337" w14:textId="77777777" w:rsidTr="007632F4">
        <w:trPr>
          <w:trHeight w:val="364"/>
        </w:trPr>
        <w:tc>
          <w:tcPr>
            <w:cnfStyle w:val="001000000000" w:firstRow="0" w:lastRow="0" w:firstColumn="1" w:lastColumn="0" w:oddVBand="0" w:evenVBand="0" w:oddHBand="0" w:evenHBand="0" w:firstRowFirstColumn="0" w:firstRowLastColumn="0" w:lastRowFirstColumn="0" w:lastRowLastColumn="0"/>
            <w:tcW w:w="736" w:type="dxa"/>
          </w:tcPr>
          <w:p w14:paraId="0408AD53" w14:textId="1D73D7E9" w:rsidR="008D6D2C" w:rsidRPr="003D2419" w:rsidRDefault="008D6D2C" w:rsidP="007632F4">
            <w:pPr>
              <w:pStyle w:val="Tablebody"/>
              <w:rPr>
                <w:rFonts w:cs="Open Sans"/>
                <w:szCs w:val="18"/>
              </w:rPr>
            </w:pPr>
            <w:r w:rsidRPr="003D2419">
              <w:rPr>
                <w:rFonts w:cs="Open Sans"/>
                <w:szCs w:val="18"/>
              </w:rPr>
              <w:t>D9</w:t>
            </w:r>
          </w:p>
        </w:tc>
        <w:tc>
          <w:tcPr>
            <w:tcW w:w="4989" w:type="dxa"/>
          </w:tcPr>
          <w:p w14:paraId="5BEDF057" w14:textId="51E03FB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Repeatedly threatens to deport partner on</w:t>
            </w:r>
            <w:r>
              <w:rPr>
                <w:rFonts w:cs="Open Sans"/>
                <w:szCs w:val="18"/>
                <w:lang w:val="en-US"/>
              </w:rPr>
              <w:t> </w:t>
            </w:r>
            <w:r w:rsidRPr="003D2419">
              <w:rPr>
                <w:rFonts w:cs="Open Sans"/>
                <w:szCs w:val="18"/>
                <w:lang w:val="en-US"/>
              </w:rPr>
              <w:t>temporary</w:t>
            </w:r>
            <w:r>
              <w:rPr>
                <w:rFonts w:cs="Open Sans"/>
                <w:szCs w:val="18"/>
                <w:lang w:val="en-US"/>
              </w:rPr>
              <w:t> </w:t>
            </w:r>
            <w:r w:rsidRPr="003D2419">
              <w:rPr>
                <w:rFonts w:cs="Open Sans"/>
                <w:szCs w:val="18"/>
                <w:lang w:val="en-US"/>
              </w:rPr>
              <w:t>visa</w:t>
            </w:r>
          </w:p>
        </w:tc>
        <w:tc>
          <w:tcPr>
            <w:tcW w:w="1474" w:type="dxa"/>
          </w:tcPr>
          <w:p w14:paraId="522A135E" w14:textId="22FA350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3335EE37" w14:textId="73D1926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3700917E" w14:textId="49E9739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74.60</w:t>
            </w:r>
          </w:p>
        </w:tc>
        <w:tc>
          <w:tcPr>
            <w:tcW w:w="1248" w:type="dxa"/>
          </w:tcPr>
          <w:p w14:paraId="2BDA5CA0" w14:textId="1C047ED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13.62</w:t>
            </w:r>
          </w:p>
        </w:tc>
        <w:tc>
          <w:tcPr>
            <w:tcW w:w="1247" w:type="dxa"/>
          </w:tcPr>
          <w:p w14:paraId="73203565" w14:textId="7382B1C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6.79</w:t>
            </w:r>
          </w:p>
        </w:tc>
        <w:tc>
          <w:tcPr>
            <w:tcW w:w="907" w:type="dxa"/>
          </w:tcPr>
          <w:p w14:paraId="35AD6AA3" w14:textId="77EC126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3.83</w:t>
            </w:r>
          </w:p>
        </w:tc>
        <w:tc>
          <w:tcPr>
            <w:tcW w:w="1134" w:type="dxa"/>
          </w:tcPr>
          <w:p w14:paraId="58E0CE4C" w14:textId="368B399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1.17</w:t>
            </w:r>
            <w:r w:rsidRPr="003D2419">
              <w:rPr>
                <w:rFonts w:cs="Open Sans"/>
                <w:szCs w:val="18"/>
                <w:vertAlign w:val="superscript"/>
              </w:rPr>
              <w:t>b</w:t>
            </w:r>
          </w:p>
        </w:tc>
        <w:tc>
          <w:tcPr>
            <w:tcW w:w="1475" w:type="dxa"/>
          </w:tcPr>
          <w:p w14:paraId="435726B5" w14:textId="162DEC1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88.22</w:t>
            </w:r>
          </w:p>
        </w:tc>
      </w:tr>
      <w:tr w:rsidR="008D6D2C" w:rsidRPr="003D2419" w14:paraId="6166F855"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14154F20" w14:textId="77777777" w:rsidR="008D6D2C" w:rsidRPr="003D2419" w:rsidRDefault="008D6D2C" w:rsidP="007632F4">
            <w:pPr>
              <w:pStyle w:val="Tablebody"/>
              <w:rPr>
                <w:rFonts w:cs="Open Sans"/>
                <w:szCs w:val="18"/>
                <w:lang w:val="en-GB"/>
              </w:rPr>
            </w:pPr>
            <w:r w:rsidRPr="003D2419">
              <w:rPr>
                <w:rFonts w:cs="Open Sans"/>
                <w:szCs w:val="18"/>
              </w:rPr>
              <w:t>D10</w:t>
            </w:r>
          </w:p>
        </w:tc>
        <w:tc>
          <w:tcPr>
            <w:tcW w:w="4989" w:type="dxa"/>
          </w:tcPr>
          <w:p w14:paraId="10894283"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Forces partner to stop practising their religion</w:t>
            </w:r>
            <w:r w:rsidRPr="003D2419">
              <w:rPr>
                <w:rFonts w:ascii="Montserrat" w:hAnsi="Montserrat" w:cs="Montserrat"/>
                <w:szCs w:val="18"/>
                <w:lang w:val="en-US"/>
              </w:rPr>
              <w:t>~</w:t>
            </w:r>
          </w:p>
        </w:tc>
        <w:tc>
          <w:tcPr>
            <w:tcW w:w="1474" w:type="dxa"/>
          </w:tcPr>
          <w:p w14:paraId="7CC964CB"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552CAB58"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225</w:t>
            </w:r>
          </w:p>
        </w:tc>
        <w:tc>
          <w:tcPr>
            <w:tcW w:w="1077" w:type="dxa"/>
          </w:tcPr>
          <w:p w14:paraId="3F56E9BC" w14:textId="3E0914A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63.63</w:t>
            </w:r>
          </w:p>
        </w:tc>
        <w:tc>
          <w:tcPr>
            <w:tcW w:w="1248" w:type="dxa"/>
          </w:tcPr>
          <w:p w14:paraId="4C306E9C" w14:textId="11F36A7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15.92</w:t>
            </w:r>
          </w:p>
        </w:tc>
        <w:tc>
          <w:tcPr>
            <w:tcW w:w="1247" w:type="dxa"/>
          </w:tcPr>
          <w:p w14:paraId="7F1BCC7F" w14:textId="32BAB67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12.41</w:t>
            </w:r>
          </w:p>
        </w:tc>
        <w:tc>
          <w:tcPr>
            <w:tcW w:w="907" w:type="dxa"/>
          </w:tcPr>
          <w:p w14:paraId="3DDA69AA" w14:textId="696A747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5.13</w:t>
            </w:r>
            <w:r w:rsidRPr="003D2419">
              <w:rPr>
                <w:rFonts w:cs="Open Sans"/>
                <w:szCs w:val="18"/>
                <w:vertAlign w:val="superscript"/>
              </w:rPr>
              <w:t>b</w:t>
            </w:r>
          </w:p>
        </w:tc>
        <w:tc>
          <w:tcPr>
            <w:tcW w:w="1134" w:type="dxa"/>
          </w:tcPr>
          <w:p w14:paraId="4C301C1D" w14:textId="340326F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2.91</w:t>
            </w:r>
            <w:r w:rsidRPr="003D2419">
              <w:rPr>
                <w:rFonts w:cs="Open Sans"/>
                <w:szCs w:val="18"/>
                <w:vertAlign w:val="superscript"/>
              </w:rPr>
              <w:t>b</w:t>
            </w:r>
          </w:p>
        </w:tc>
        <w:tc>
          <w:tcPr>
            <w:tcW w:w="1475" w:type="dxa"/>
          </w:tcPr>
          <w:p w14:paraId="35F3B4AC" w14:textId="414928F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Times New Roman"/>
                <w:sz w:val="24"/>
              </w:rPr>
            </w:pPr>
            <w:r w:rsidRPr="003D2419">
              <w:rPr>
                <w:rFonts w:cs="Open Sans"/>
                <w:szCs w:val="18"/>
              </w:rPr>
              <w:t>79.55</w:t>
            </w:r>
          </w:p>
        </w:tc>
      </w:tr>
      <w:tr w:rsidR="008D6D2C" w:rsidRPr="003D2419" w14:paraId="20615555"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5C9C1409" w14:textId="5F6D52D2" w:rsidR="008D6D2C" w:rsidRPr="003D2419" w:rsidRDefault="008D6D2C" w:rsidP="007632F4">
            <w:pPr>
              <w:pStyle w:val="Tablebody"/>
              <w:rPr>
                <w:rFonts w:cs="Open Sans"/>
                <w:szCs w:val="18"/>
              </w:rPr>
            </w:pPr>
            <w:r w:rsidRPr="003D2419">
              <w:rPr>
                <w:rFonts w:cs="Open Sans"/>
                <w:szCs w:val="18"/>
              </w:rPr>
              <w:t>D10</w:t>
            </w:r>
          </w:p>
        </w:tc>
        <w:tc>
          <w:tcPr>
            <w:tcW w:w="4989" w:type="dxa"/>
          </w:tcPr>
          <w:p w14:paraId="6AB981D2" w14:textId="04480C0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Forces partner to stop practising their religion</w:t>
            </w:r>
            <w:r w:rsidRPr="003D2419">
              <w:rPr>
                <w:rFonts w:ascii="Montserrat" w:hAnsi="Montserrat" w:cs="Montserrat"/>
                <w:szCs w:val="18"/>
                <w:lang w:val="en-US"/>
              </w:rPr>
              <w:t>~</w:t>
            </w:r>
          </w:p>
        </w:tc>
        <w:tc>
          <w:tcPr>
            <w:tcW w:w="1474" w:type="dxa"/>
          </w:tcPr>
          <w:p w14:paraId="69B64C59" w14:textId="5B017AC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119BE43A" w14:textId="62CFD3C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184</w:t>
            </w:r>
          </w:p>
        </w:tc>
        <w:tc>
          <w:tcPr>
            <w:tcW w:w="1077" w:type="dxa"/>
          </w:tcPr>
          <w:p w14:paraId="248F3C25" w14:textId="59FD191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73.37</w:t>
            </w:r>
          </w:p>
        </w:tc>
        <w:tc>
          <w:tcPr>
            <w:tcW w:w="1248" w:type="dxa"/>
          </w:tcPr>
          <w:p w14:paraId="26031E53" w14:textId="5DB87B5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12.51</w:t>
            </w:r>
          </w:p>
        </w:tc>
        <w:tc>
          <w:tcPr>
            <w:tcW w:w="1247" w:type="dxa"/>
          </w:tcPr>
          <w:p w14:paraId="60AF298C" w14:textId="0960BFB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7.55</w:t>
            </w:r>
            <w:r w:rsidRPr="003D2419">
              <w:rPr>
                <w:rFonts w:cs="Open Sans"/>
                <w:szCs w:val="18"/>
                <w:vertAlign w:val="superscript"/>
              </w:rPr>
              <w:t>b</w:t>
            </w:r>
          </w:p>
        </w:tc>
        <w:tc>
          <w:tcPr>
            <w:tcW w:w="907" w:type="dxa"/>
          </w:tcPr>
          <w:p w14:paraId="3AD9C011" w14:textId="5FA722F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5.62</w:t>
            </w:r>
            <w:r w:rsidRPr="003D2419">
              <w:rPr>
                <w:rFonts w:cs="Open Sans"/>
                <w:szCs w:val="18"/>
                <w:vertAlign w:val="superscript"/>
              </w:rPr>
              <w:t>b</w:t>
            </w:r>
          </w:p>
        </w:tc>
        <w:tc>
          <w:tcPr>
            <w:tcW w:w="1134" w:type="dxa"/>
          </w:tcPr>
          <w:p w14:paraId="4EAA2EB5" w14:textId="29F5885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0.95</w:t>
            </w:r>
            <w:r w:rsidRPr="003D2419">
              <w:rPr>
                <w:rFonts w:cs="Open Sans"/>
                <w:szCs w:val="18"/>
                <w:vertAlign w:val="superscript"/>
              </w:rPr>
              <w:t>b</w:t>
            </w:r>
          </w:p>
        </w:tc>
        <w:tc>
          <w:tcPr>
            <w:tcW w:w="1475" w:type="dxa"/>
          </w:tcPr>
          <w:p w14:paraId="71CEAA1F" w14:textId="4B7C624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85.88</w:t>
            </w:r>
          </w:p>
        </w:tc>
      </w:tr>
      <w:tr w:rsidR="008D6D2C" w:rsidRPr="003D2419" w14:paraId="37A88042"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1459EA1F" w14:textId="77777777" w:rsidR="008D6D2C" w:rsidRPr="003D2419" w:rsidRDefault="008D6D2C" w:rsidP="007632F4">
            <w:pPr>
              <w:pStyle w:val="Tablebody"/>
              <w:rPr>
                <w:rFonts w:cs="Open Sans"/>
                <w:szCs w:val="18"/>
                <w:lang w:val="en-GB"/>
              </w:rPr>
            </w:pPr>
            <w:r w:rsidRPr="003D2419">
              <w:rPr>
                <w:rFonts w:cs="Open Sans"/>
                <w:szCs w:val="18"/>
              </w:rPr>
              <w:t>D11</w:t>
            </w:r>
          </w:p>
        </w:tc>
        <w:tc>
          <w:tcPr>
            <w:tcW w:w="4989" w:type="dxa"/>
          </w:tcPr>
          <w:p w14:paraId="58776646"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Controls partner by forcing them to hide that they are trans gender</w:t>
            </w:r>
          </w:p>
        </w:tc>
        <w:tc>
          <w:tcPr>
            <w:tcW w:w="1474" w:type="dxa"/>
          </w:tcPr>
          <w:p w14:paraId="779B826A"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23E7076F"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077" w:type="dxa"/>
          </w:tcPr>
          <w:p w14:paraId="4A2BDCB2" w14:textId="0F6B362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61.54*</w:t>
            </w:r>
          </w:p>
        </w:tc>
        <w:tc>
          <w:tcPr>
            <w:tcW w:w="1248" w:type="dxa"/>
          </w:tcPr>
          <w:p w14:paraId="17331C70" w14:textId="0F4AFB5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14.40</w:t>
            </w:r>
          </w:p>
        </w:tc>
        <w:tc>
          <w:tcPr>
            <w:tcW w:w="1247" w:type="dxa"/>
          </w:tcPr>
          <w:p w14:paraId="2B406D77" w14:textId="7D2E37DD"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10.52</w:t>
            </w:r>
          </w:p>
        </w:tc>
        <w:tc>
          <w:tcPr>
            <w:tcW w:w="907" w:type="dxa"/>
          </w:tcPr>
          <w:p w14:paraId="5CB0A709" w14:textId="62649AD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10.26*</w:t>
            </w:r>
          </w:p>
        </w:tc>
        <w:tc>
          <w:tcPr>
            <w:tcW w:w="1134" w:type="dxa"/>
          </w:tcPr>
          <w:p w14:paraId="59C33C10" w14:textId="79A0F57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3.18</w:t>
            </w:r>
          </w:p>
        </w:tc>
        <w:tc>
          <w:tcPr>
            <w:tcW w:w="1475" w:type="dxa"/>
          </w:tcPr>
          <w:p w14:paraId="146667CB" w14:textId="2EF63A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75.94*</w:t>
            </w:r>
          </w:p>
        </w:tc>
      </w:tr>
      <w:tr w:rsidR="008D6D2C" w:rsidRPr="003D2419" w14:paraId="6637C4EC"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3B12BE5F" w14:textId="11D8A5FE" w:rsidR="008D6D2C" w:rsidRPr="003D2419" w:rsidRDefault="008D6D2C" w:rsidP="007632F4">
            <w:pPr>
              <w:pStyle w:val="Tablebody"/>
              <w:rPr>
                <w:rFonts w:cs="Open Sans"/>
                <w:szCs w:val="18"/>
              </w:rPr>
            </w:pPr>
            <w:r w:rsidRPr="003D2419">
              <w:rPr>
                <w:rFonts w:cs="Open Sans"/>
                <w:szCs w:val="18"/>
              </w:rPr>
              <w:t>D11</w:t>
            </w:r>
          </w:p>
        </w:tc>
        <w:tc>
          <w:tcPr>
            <w:tcW w:w="4989" w:type="dxa"/>
          </w:tcPr>
          <w:p w14:paraId="591E1502" w14:textId="01692722"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Controls partner by forcing them to hide that they are trans gender</w:t>
            </w:r>
          </w:p>
        </w:tc>
        <w:tc>
          <w:tcPr>
            <w:tcW w:w="1474" w:type="dxa"/>
          </w:tcPr>
          <w:p w14:paraId="7218C70A" w14:textId="3A0EE88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3B98B841" w14:textId="68FAED6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077" w:type="dxa"/>
          </w:tcPr>
          <w:p w14:paraId="6CE1658F" w14:textId="7D71E7A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74.19*</w:t>
            </w:r>
          </w:p>
        </w:tc>
        <w:tc>
          <w:tcPr>
            <w:tcW w:w="1248" w:type="dxa"/>
          </w:tcPr>
          <w:p w14:paraId="1E0217E3" w14:textId="15D1A33A"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12.67</w:t>
            </w:r>
          </w:p>
        </w:tc>
        <w:tc>
          <w:tcPr>
            <w:tcW w:w="1247" w:type="dxa"/>
          </w:tcPr>
          <w:p w14:paraId="515B1989" w14:textId="266FB7B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7.90</w:t>
            </w:r>
          </w:p>
        </w:tc>
        <w:tc>
          <w:tcPr>
            <w:tcW w:w="907" w:type="dxa"/>
          </w:tcPr>
          <w:p w14:paraId="2EEF6DD8" w14:textId="26E7EAE8"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4.42*</w:t>
            </w:r>
          </w:p>
        </w:tc>
        <w:tc>
          <w:tcPr>
            <w:tcW w:w="1134" w:type="dxa"/>
          </w:tcPr>
          <w:p w14:paraId="3255BF7A" w14:textId="2A2B90B0"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0.82</w:t>
            </w:r>
            <w:r w:rsidRPr="003D2419">
              <w:rPr>
                <w:rFonts w:cs="Open Sans"/>
                <w:szCs w:val="18"/>
                <w:vertAlign w:val="superscript"/>
              </w:rPr>
              <w:t>b</w:t>
            </w:r>
          </w:p>
        </w:tc>
        <w:tc>
          <w:tcPr>
            <w:tcW w:w="1475" w:type="dxa"/>
          </w:tcPr>
          <w:p w14:paraId="1E9F7427" w14:textId="645A719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86.86*</w:t>
            </w:r>
          </w:p>
        </w:tc>
      </w:tr>
      <w:tr w:rsidR="008D6D2C" w:rsidRPr="003D2419" w14:paraId="3C9A9EF5"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5073EDFD" w14:textId="77777777" w:rsidR="008D6D2C" w:rsidRPr="003D2419" w:rsidRDefault="008D6D2C" w:rsidP="007632F4">
            <w:pPr>
              <w:pStyle w:val="Tablebody"/>
              <w:rPr>
                <w:rFonts w:cs="Open Sans"/>
                <w:szCs w:val="18"/>
                <w:lang w:val="en-GB"/>
              </w:rPr>
            </w:pPr>
            <w:r w:rsidRPr="003D2419">
              <w:rPr>
                <w:rFonts w:cs="Open Sans"/>
                <w:szCs w:val="18"/>
              </w:rPr>
              <w:t>D12</w:t>
            </w:r>
          </w:p>
        </w:tc>
        <w:tc>
          <w:tcPr>
            <w:tcW w:w="4989" w:type="dxa"/>
          </w:tcPr>
          <w:p w14:paraId="0A7DF3FB" w14:textId="5E0A5E05"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Forces partner to undergo an unnecessary medical procedure, such as contraception or abortion</w:t>
            </w:r>
            <w:r w:rsidRPr="003D2419">
              <w:rPr>
                <w:rFonts w:ascii="Montserrat" w:hAnsi="Montserrat" w:cs="Montserrat"/>
                <w:szCs w:val="18"/>
                <w:lang w:val="en-US"/>
              </w:rPr>
              <w:t>~</w:t>
            </w:r>
          </w:p>
        </w:tc>
        <w:tc>
          <w:tcPr>
            <w:tcW w:w="1474" w:type="dxa"/>
          </w:tcPr>
          <w:p w14:paraId="1D059B55"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7B24D9BA" w14:textId="77777777"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225</w:t>
            </w:r>
          </w:p>
        </w:tc>
        <w:tc>
          <w:tcPr>
            <w:tcW w:w="1077" w:type="dxa"/>
          </w:tcPr>
          <w:p w14:paraId="53AB93FC" w14:textId="36EE8A7C"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73.29</w:t>
            </w:r>
          </w:p>
        </w:tc>
        <w:tc>
          <w:tcPr>
            <w:tcW w:w="1248" w:type="dxa"/>
          </w:tcPr>
          <w:p w14:paraId="0CE71AA9" w14:textId="49A551AB"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15.38</w:t>
            </w:r>
          </w:p>
        </w:tc>
        <w:tc>
          <w:tcPr>
            <w:tcW w:w="1247" w:type="dxa"/>
          </w:tcPr>
          <w:p w14:paraId="45F76D1C" w14:textId="72F82CC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6.75</w:t>
            </w:r>
            <w:r w:rsidRPr="003D2419">
              <w:rPr>
                <w:rFonts w:cs="Open Sans"/>
                <w:szCs w:val="18"/>
                <w:vertAlign w:val="superscript"/>
              </w:rPr>
              <w:t>b</w:t>
            </w:r>
          </w:p>
        </w:tc>
        <w:tc>
          <w:tcPr>
            <w:tcW w:w="907" w:type="dxa"/>
          </w:tcPr>
          <w:p w14:paraId="6670AE00" w14:textId="366F6B6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3.66</w:t>
            </w:r>
            <w:r w:rsidRPr="003D2419">
              <w:rPr>
                <w:rFonts w:cs="Open Sans"/>
                <w:szCs w:val="18"/>
                <w:vertAlign w:val="superscript"/>
              </w:rPr>
              <w:t>b</w:t>
            </w:r>
          </w:p>
        </w:tc>
        <w:tc>
          <w:tcPr>
            <w:tcW w:w="1134" w:type="dxa"/>
          </w:tcPr>
          <w:p w14:paraId="4B1B98D3" w14:textId="5181363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0.91</w:t>
            </w:r>
            <w:r w:rsidRPr="003D2419">
              <w:rPr>
                <w:rFonts w:cs="Open Sans"/>
                <w:szCs w:val="18"/>
                <w:vertAlign w:val="superscript"/>
              </w:rPr>
              <w:t>b</w:t>
            </w:r>
          </w:p>
        </w:tc>
        <w:tc>
          <w:tcPr>
            <w:tcW w:w="1475" w:type="dxa"/>
          </w:tcPr>
          <w:p w14:paraId="54B19B2B" w14:textId="7A9709B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88.68</w:t>
            </w:r>
          </w:p>
        </w:tc>
      </w:tr>
      <w:tr w:rsidR="008D6D2C" w:rsidRPr="003D2419" w14:paraId="43A1C49A"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6" w:type="dxa"/>
          </w:tcPr>
          <w:p w14:paraId="0D5E2E75" w14:textId="7F38B751" w:rsidR="008D6D2C" w:rsidRPr="003D2419" w:rsidRDefault="008D6D2C" w:rsidP="007632F4">
            <w:pPr>
              <w:pStyle w:val="Tablebody"/>
              <w:rPr>
                <w:rFonts w:cs="Open Sans"/>
                <w:szCs w:val="18"/>
              </w:rPr>
            </w:pPr>
            <w:r w:rsidRPr="003D2419">
              <w:rPr>
                <w:rFonts w:cs="Open Sans"/>
                <w:szCs w:val="18"/>
              </w:rPr>
              <w:t>D12</w:t>
            </w:r>
          </w:p>
        </w:tc>
        <w:tc>
          <w:tcPr>
            <w:tcW w:w="4989" w:type="dxa"/>
          </w:tcPr>
          <w:p w14:paraId="71290289" w14:textId="4107A33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Forces partner to undergo an unnecessary medical procedure, such as contraception or abortion</w:t>
            </w:r>
            <w:r w:rsidRPr="003D2419">
              <w:rPr>
                <w:rFonts w:ascii="Montserrat" w:hAnsi="Montserrat" w:cs="Montserrat"/>
                <w:szCs w:val="18"/>
                <w:lang w:val="en-US"/>
              </w:rPr>
              <w:t>~</w:t>
            </w:r>
          </w:p>
        </w:tc>
        <w:tc>
          <w:tcPr>
            <w:tcW w:w="1474" w:type="dxa"/>
          </w:tcPr>
          <w:p w14:paraId="4D533F46" w14:textId="5D0E59A3"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0DAF43DD" w14:textId="0A91B36F"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184</w:t>
            </w:r>
          </w:p>
        </w:tc>
        <w:tc>
          <w:tcPr>
            <w:tcW w:w="1077" w:type="dxa"/>
          </w:tcPr>
          <w:p w14:paraId="17CB2A30" w14:textId="129D6E69"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84.19</w:t>
            </w:r>
          </w:p>
        </w:tc>
        <w:tc>
          <w:tcPr>
            <w:tcW w:w="1248" w:type="dxa"/>
          </w:tcPr>
          <w:p w14:paraId="681E300D" w14:textId="3CA177C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8.32</w:t>
            </w:r>
            <w:r w:rsidRPr="003D2419">
              <w:rPr>
                <w:rFonts w:cs="Open Sans"/>
                <w:szCs w:val="18"/>
                <w:vertAlign w:val="superscript"/>
              </w:rPr>
              <w:t>b</w:t>
            </w:r>
          </w:p>
        </w:tc>
        <w:tc>
          <w:tcPr>
            <w:tcW w:w="1247" w:type="dxa"/>
          </w:tcPr>
          <w:p w14:paraId="692660E6" w14:textId="197BF724"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3.94</w:t>
            </w:r>
            <w:r w:rsidRPr="003D2419">
              <w:rPr>
                <w:rFonts w:cs="Open Sans"/>
                <w:szCs w:val="18"/>
                <w:vertAlign w:val="superscript"/>
              </w:rPr>
              <w:t>b</w:t>
            </w:r>
          </w:p>
        </w:tc>
        <w:tc>
          <w:tcPr>
            <w:tcW w:w="907" w:type="dxa"/>
          </w:tcPr>
          <w:p w14:paraId="00605344" w14:textId="43C4D341"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3.05</w:t>
            </w:r>
            <w:r w:rsidRPr="003D2419">
              <w:rPr>
                <w:rFonts w:cs="Open Sans"/>
                <w:szCs w:val="18"/>
                <w:vertAlign w:val="superscript"/>
              </w:rPr>
              <w:t>b</w:t>
            </w:r>
          </w:p>
        </w:tc>
        <w:tc>
          <w:tcPr>
            <w:tcW w:w="1134" w:type="dxa"/>
          </w:tcPr>
          <w:p w14:paraId="0A6706E9" w14:textId="70E940C6"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0.50</w:t>
            </w:r>
            <w:r w:rsidRPr="003D2419">
              <w:rPr>
                <w:rFonts w:cs="Open Sans"/>
                <w:szCs w:val="18"/>
                <w:vertAlign w:val="superscript"/>
              </w:rPr>
              <w:t>b</w:t>
            </w:r>
          </w:p>
        </w:tc>
        <w:tc>
          <w:tcPr>
            <w:tcW w:w="1475" w:type="dxa"/>
          </w:tcPr>
          <w:p w14:paraId="2D80DCC2" w14:textId="3F66D5CE" w:rsidR="008D6D2C" w:rsidRPr="003D2419" w:rsidRDefault="008D6D2C"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92.51</w:t>
            </w:r>
          </w:p>
        </w:tc>
      </w:tr>
    </w:tbl>
    <w:p w14:paraId="081243E7" w14:textId="7F500501" w:rsidR="00E358DE" w:rsidRDefault="00E358DE" w:rsidP="007632F4">
      <w:pPr>
        <w:pStyle w:val="Tablesubheading0"/>
      </w:pPr>
      <w:r w:rsidRPr="003D2419">
        <w:t>Is this a form of violence against women?</w:t>
      </w:r>
    </w:p>
    <w:p w14:paraId="0C767B2B" w14:textId="59CC47CF" w:rsidR="00B67387" w:rsidRDefault="00B67387" w:rsidP="004E69A2">
      <w:pPr>
        <w:pStyle w:val="TablesubheadingSubscale"/>
      </w:pPr>
      <w:r>
        <w:t xml:space="preserve">Subscale: Recognise Violence against </w:t>
      </w:r>
      <w:r w:rsidR="008E0C05">
        <w:t>W</w:t>
      </w:r>
      <w:r>
        <w:t xml:space="preserve">omen </w:t>
      </w:r>
    </w:p>
    <w:tbl>
      <w:tblPr>
        <w:tblStyle w:val="Table-SingleHeaderRow"/>
        <w:tblW w:w="14967" w:type="dxa"/>
        <w:tblLayout w:type="fixed"/>
        <w:tblLook w:val="00A0" w:firstRow="1" w:lastRow="0" w:firstColumn="1" w:lastColumn="0" w:noHBand="0" w:noVBand="0"/>
      </w:tblPr>
      <w:tblGrid>
        <w:gridCol w:w="737"/>
        <w:gridCol w:w="4762"/>
        <w:gridCol w:w="1474"/>
        <w:gridCol w:w="567"/>
        <w:gridCol w:w="1190"/>
        <w:gridCol w:w="1248"/>
        <w:gridCol w:w="1247"/>
        <w:gridCol w:w="1134"/>
        <w:gridCol w:w="1134"/>
        <w:gridCol w:w="1474"/>
      </w:tblGrid>
      <w:tr w:rsidR="0028682A" w:rsidRPr="003D2419" w14:paraId="5955ACC0" w14:textId="77777777" w:rsidTr="007632F4">
        <w:trPr>
          <w:cnfStyle w:val="100000000000" w:firstRow="1" w:lastRow="0" w:firstColumn="0" w:lastColumn="0" w:oddVBand="0" w:evenVBand="0" w:oddHBand="0" w:evenHBand="0" w:firstRowFirstColumn="0" w:firstRowLastColumn="0" w:lastRowFirstColumn="0" w:lastRowLastColumn="0"/>
          <w:trHeight w:val="753"/>
          <w:tblHeader/>
        </w:trPr>
        <w:tc>
          <w:tcPr>
            <w:cnfStyle w:val="001000000000" w:firstRow="0" w:lastRow="0" w:firstColumn="1" w:lastColumn="0" w:oddVBand="0" w:evenVBand="0" w:oddHBand="0" w:evenHBand="0" w:firstRowFirstColumn="0" w:firstRowLastColumn="0" w:lastRowFirstColumn="0" w:lastRowLastColumn="0"/>
            <w:tcW w:w="737" w:type="dxa"/>
          </w:tcPr>
          <w:p w14:paraId="2DC2838F" w14:textId="77777777" w:rsidR="0028682A" w:rsidRPr="003D2419" w:rsidRDefault="0028682A" w:rsidP="007632F4">
            <w:pPr>
              <w:pStyle w:val="Tablebody"/>
              <w:rPr>
                <w:b w:val="0"/>
                <w:lang w:val="en-GB"/>
              </w:rPr>
            </w:pPr>
            <w:r w:rsidRPr="003D2419">
              <w:t>Code</w:t>
            </w:r>
          </w:p>
        </w:tc>
        <w:tc>
          <w:tcPr>
            <w:tcW w:w="4762" w:type="dxa"/>
          </w:tcPr>
          <w:p w14:paraId="1A3DDD71"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Abbreviated item wording</w:t>
            </w:r>
          </w:p>
        </w:tc>
        <w:tc>
          <w:tcPr>
            <w:tcW w:w="1474" w:type="dxa"/>
          </w:tcPr>
          <w:p w14:paraId="5264FF62"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Gender</w:t>
            </w:r>
          </w:p>
        </w:tc>
        <w:tc>
          <w:tcPr>
            <w:tcW w:w="567" w:type="dxa"/>
          </w:tcPr>
          <w:p w14:paraId="07A62972"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3D2419">
              <w:rPr>
                <w:rStyle w:val="Emphasis"/>
                <w:lang w:val="en-US"/>
              </w:rPr>
              <w:t>N</w:t>
            </w:r>
          </w:p>
        </w:tc>
        <w:tc>
          <w:tcPr>
            <w:tcW w:w="1190" w:type="dxa"/>
          </w:tcPr>
          <w:p w14:paraId="0C90C1E6"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always</w:t>
            </w:r>
          </w:p>
        </w:tc>
        <w:tc>
          <w:tcPr>
            <w:tcW w:w="1248" w:type="dxa"/>
          </w:tcPr>
          <w:p w14:paraId="286B52F9" w14:textId="5DD2C00D"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usually</w:t>
            </w:r>
          </w:p>
        </w:tc>
        <w:tc>
          <w:tcPr>
            <w:tcW w:w="1247" w:type="dxa"/>
          </w:tcPr>
          <w:p w14:paraId="385AD9B3"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Yes, sometimes</w:t>
            </w:r>
          </w:p>
        </w:tc>
        <w:tc>
          <w:tcPr>
            <w:tcW w:w="1134" w:type="dxa"/>
          </w:tcPr>
          <w:p w14:paraId="105E6732" w14:textId="791EA2BD"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No</w:t>
            </w:r>
          </w:p>
        </w:tc>
        <w:tc>
          <w:tcPr>
            <w:tcW w:w="1134" w:type="dxa"/>
          </w:tcPr>
          <w:p w14:paraId="10A9A15D" w14:textId="27561BB5"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Unsure</w:t>
            </w:r>
          </w:p>
        </w:tc>
        <w:tc>
          <w:tcPr>
            <w:tcW w:w="1474" w:type="dxa"/>
          </w:tcPr>
          <w:p w14:paraId="56A0291A" w14:textId="77777777" w:rsidR="0028682A" w:rsidRPr="003D2419" w:rsidRDefault="0028682A"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3D2419">
              <w:t>% Strong yes</w:t>
            </w:r>
            <w:r w:rsidRPr="003D2419">
              <w:rPr>
                <w:vertAlign w:val="superscript"/>
              </w:rPr>
              <w:t>a</w:t>
            </w:r>
          </w:p>
        </w:tc>
      </w:tr>
      <w:tr w:rsidR="00E130A7" w:rsidRPr="003D2419" w14:paraId="17825605"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31A2AC7" w14:textId="77777777" w:rsidR="00E130A7" w:rsidRPr="003D2419" w:rsidRDefault="00E130A7" w:rsidP="007632F4">
            <w:pPr>
              <w:pStyle w:val="Tablebody"/>
              <w:rPr>
                <w:rFonts w:cs="Open Sans"/>
                <w:szCs w:val="18"/>
                <w:lang w:val="en-GB"/>
              </w:rPr>
            </w:pPr>
            <w:r w:rsidRPr="003D2419">
              <w:rPr>
                <w:rFonts w:cs="Open Sans"/>
                <w:szCs w:val="18"/>
              </w:rPr>
              <w:t>V4</w:t>
            </w:r>
          </w:p>
        </w:tc>
        <w:tc>
          <w:tcPr>
            <w:tcW w:w="4762" w:type="dxa"/>
          </w:tcPr>
          <w:p w14:paraId="3DE7E750" w14:textId="77777777"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Stalking by repeatedly following/watching at home/work</w:t>
            </w:r>
          </w:p>
        </w:tc>
        <w:tc>
          <w:tcPr>
            <w:tcW w:w="1474" w:type="dxa"/>
          </w:tcPr>
          <w:p w14:paraId="04A1CBCC" w14:textId="77777777"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4E13FB85" w14:textId="77777777"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190" w:type="dxa"/>
          </w:tcPr>
          <w:p w14:paraId="2590D7E1" w14:textId="18682EE6"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69.95</w:t>
            </w:r>
          </w:p>
        </w:tc>
        <w:tc>
          <w:tcPr>
            <w:tcW w:w="1248" w:type="dxa"/>
          </w:tcPr>
          <w:p w14:paraId="383E9B83" w14:textId="12C76633"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14.30</w:t>
            </w:r>
          </w:p>
        </w:tc>
        <w:tc>
          <w:tcPr>
            <w:tcW w:w="1247" w:type="dxa"/>
          </w:tcPr>
          <w:p w14:paraId="4CA08834" w14:textId="466643F9"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5.56</w:t>
            </w:r>
          </w:p>
        </w:tc>
        <w:tc>
          <w:tcPr>
            <w:tcW w:w="1134" w:type="dxa"/>
          </w:tcPr>
          <w:p w14:paraId="2ABD9939" w14:textId="1CE11427"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9.14*</w:t>
            </w:r>
          </w:p>
        </w:tc>
        <w:tc>
          <w:tcPr>
            <w:tcW w:w="1134" w:type="dxa"/>
          </w:tcPr>
          <w:p w14:paraId="4EFE7C9E" w14:textId="32465EE4"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0.90</w:t>
            </w:r>
            <w:r w:rsidRPr="003D2419">
              <w:rPr>
                <w:rFonts w:cs="Open Sans"/>
                <w:szCs w:val="18"/>
                <w:vertAlign w:val="superscript"/>
              </w:rPr>
              <w:t>b</w:t>
            </w:r>
          </w:p>
        </w:tc>
        <w:tc>
          <w:tcPr>
            <w:tcW w:w="1474" w:type="dxa"/>
          </w:tcPr>
          <w:p w14:paraId="4E36630A" w14:textId="0C1A1CC8" w:rsidR="00E130A7" w:rsidRPr="003D2419" w:rsidRDefault="00E130A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84.26</w:t>
            </w:r>
          </w:p>
        </w:tc>
      </w:tr>
      <w:tr w:rsidR="00F92D54" w:rsidRPr="003D2419" w14:paraId="5732FA91"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9B36605" w14:textId="7306336C" w:rsidR="00F92D54" w:rsidRPr="003D2419" w:rsidRDefault="00F92D54" w:rsidP="007632F4">
            <w:pPr>
              <w:pStyle w:val="Tablebody"/>
              <w:rPr>
                <w:rFonts w:cs="Open Sans"/>
                <w:szCs w:val="18"/>
              </w:rPr>
            </w:pPr>
            <w:r w:rsidRPr="003D2419">
              <w:rPr>
                <w:rFonts w:cs="Open Sans"/>
                <w:szCs w:val="18"/>
              </w:rPr>
              <w:t>V4</w:t>
            </w:r>
          </w:p>
        </w:tc>
        <w:tc>
          <w:tcPr>
            <w:tcW w:w="4762" w:type="dxa"/>
          </w:tcPr>
          <w:p w14:paraId="325D9539" w14:textId="0A692DE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Stalking by repeatedly following/watching at home/work</w:t>
            </w:r>
          </w:p>
        </w:tc>
        <w:tc>
          <w:tcPr>
            <w:tcW w:w="1474" w:type="dxa"/>
          </w:tcPr>
          <w:p w14:paraId="4B328984" w14:textId="00136C9D"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6CD276AD" w14:textId="043A6728"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190" w:type="dxa"/>
          </w:tcPr>
          <w:p w14:paraId="611FB000" w14:textId="4F940BC6"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76.40</w:t>
            </w:r>
          </w:p>
        </w:tc>
        <w:tc>
          <w:tcPr>
            <w:tcW w:w="1248" w:type="dxa"/>
          </w:tcPr>
          <w:p w14:paraId="17AFD23C" w14:textId="7D9492C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12.37</w:t>
            </w:r>
          </w:p>
        </w:tc>
        <w:tc>
          <w:tcPr>
            <w:tcW w:w="1247" w:type="dxa"/>
          </w:tcPr>
          <w:p w14:paraId="4F21004B" w14:textId="47D08B0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6.70</w:t>
            </w:r>
          </w:p>
        </w:tc>
        <w:tc>
          <w:tcPr>
            <w:tcW w:w="1134" w:type="dxa"/>
          </w:tcPr>
          <w:p w14:paraId="40151570" w14:textId="2671789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3.57*</w:t>
            </w:r>
          </w:p>
        </w:tc>
        <w:tc>
          <w:tcPr>
            <w:tcW w:w="1134" w:type="dxa"/>
          </w:tcPr>
          <w:p w14:paraId="03E43B83" w14:textId="6A2CCAF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0.96</w:t>
            </w:r>
            <w:r w:rsidRPr="003D2419">
              <w:rPr>
                <w:rFonts w:cs="Open Sans"/>
                <w:szCs w:val="18"/>
                <w:vertAlign w:val="superscript"/>
              </w:rPr>
              <w:t>b</w:t>
            </w:r>
          </w:p>
        </w:tc>
        <w:tc>
          <w:tcPr>
            <w:tcW w:w="1474" w:type="dxa"/>
          </w:tcPr>
          <w:p w14:paraId="65CBD18D" w14:textId="53726A53"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88.77</w:t>
            </w:r>
          </w:p>
        </w:tc>
      </w:tr>
      <w:tr w:rsidR="00F92D54" w:rsidRPr="003D2419" w14:paraId="5096FCC9"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53E763F" w14:textId="77777777" w:rsidR="00F92D54" w:rsidRPr="003D2419" w:rsidRDefault="00F92D54" w:rsidP="007632F4">
            <w:pPr>
              <w:pStyle w:val="Tablebody"/>
              <w:rPr>
                <w:rFonts w:cs="Open Sans"/>
                <w:szCs w:val="18"/>
                <w:lang w:val="en-GB"/>
              </w:rPr>
            </w:pPr>
            <w:r w:rsidRPr="003D2419">
              <w:rPr>
                <w:rFonts w:cs="Open Sans"/>
                <w:szCs w:val="18"/>
              </w:rPr>
              <w:t>V5</w:t>
            </w:r>
          </w:p>
        </w:tc>
        <w:tc>
          <w:tcPr>
            <w:tcW w:w="4762" w:type="dxa"/>
          </w:tcPr>
          <w:p w14:paraId="684B0D26"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Harassment via repeated emails, text messages etc.</w:t>
            </w:r>
          </w:p>
        </w:tc>
        <w:tc>
          <w:tcPr>
            <w:tcW w:w="1474" w:type="dxa"/>
          </w:tcPr>
          <w:p w14:paraId="224468D6"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3576A126"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190" w:type="dxa"/>
          </w:tcPr>
          <w:p w14:paraId="601DCCC2" w14:textId="4BACE2D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54.08*</w:t>
            </w:r>
          </w:p>
        </w:tc>
        <w:tc>
          <w:tcPr>
            <w:tcW w:w="1248" w:type="dxa"/>
          </w:tcPr>
          <w:p w14:paraId="5F0EE991" w14:textId="6C072F1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Times New Roman"/>
                <w:sz w:val="24"/>
              </w:rPr>
            </w:pPr>
            <w:r w:rsidRPr="003D2419">
              <w:rPr>
                <w:rFonts w:cs="Open Sans"/>
                <w:szCs w:val="18"/>
              </w:rPr>
              <w:t>19.36</w:t>
            </w:r>
          </w:p>
        </w:tc>
        <w:tc>
          <w:tcPr>
            <w:tcW w:w="1247" w:type="dxa"/>
          </w:tcPr>
          <w:p w14:paraId="18CEDBAC" w14:textId="2CEF2CA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Times New Roman"/>
                <w:sz w:val="24"/>
              </w:rPr>
            </w:pPr>
            <w:r w:rsidRPr="003D2419">
              <w:rPr>
                <w:rFonts w:cs="Open Sans"/>
                <w:szCs w:val="18"/>
              </w:rPr>
              <w:t>14.69</w:t>
            </w:r>
          </w:p>
        </w:tc>
        <w:tc>
          <w:tcPr>
            <w:tcW w:w="1134" w:type="dxa"/>
          </w:tcPr>
          <w:p w14:paraId="490BEB11" w14:textId="7684F8A9"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11.50*</w:t>
            </w:r>
          </w:p>
        </w:tc>
        <w:tc>
          <w:tcPr>
            <w:tcW w:w="1134" w:type="dxa"/>
          </w:tcPr>
          <w:p w14:paraId="37501D59" w14:textId="012E79B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0.36</w:t>
            </w:r>
            <w:r w:rsidRPr="003D2419">
              <w:rPr>
                <w:rFonts w:cs="Open Sans"/>
                <w:szCs w:val="18"/>
                <w:vertAlign w:val="superscript"/>
              </w:rPr>
              <w:t>b</w:t>
            </w:r>
          </w:p>
        </w:tc>
        <w:tc>
          <w:tcPr>
            <w:tcW w:w="1474" w:type="dxa"/>
          </w:tcPr>
          <w:p w14:paraId="09B3C4F1" w14:textId="11911765"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73.44*</w:t>
            </w:r>
          </w:p>
        </w:tc>
      </w:tr>
      <w:tr w:rsidR="00F92D54" w:rsidRPr="003D2419" w14:paraId="66FED758"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A17FF4E" w14:textId="6EB97CF6" w:rsidR="00F92D54" w:rsidRPr="003D2419" w:rsidRDefault="00F92D54" w:rsidP="007632F4">
            <w:pPr>
              <w:pStyle w:val="Tablebody"/>
              <w:rPr>
                <w:rFonts w:cs="Open Sans"/>
                <w:szCs w:val="18"/>
              </w:rPr>
            </w:pPr>
            <w:r w:rsidRPr="003D2419">
              <w:rPr>
                <w:rFonts w:cs="Open Sans"/>
                <w:szCs w:val="18"/>
              </w:rPr>
              <w:lastRenderedPageBreak/>
              <w:t>V5</w:t>
            </w:r>
          </w:p>
        </w:tc>
        <w:tc>
          <w:tcPr>
            <w:tcW w:w="4762" w:type="dxa"/>
          </w:tcPr>
          <w:p w14:paraId="65AA37F6" w14:textId="25265DB0"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Harassment via repeated emails, text messages etc.</w:t>
            </w:r>
          </w:p>
        </w:tc>
        <w:tc>
          <w:tcPr>
            <w:tcW w:w="1474" w:type="dxa"/>
          </w:tcPr>
          <w:p w14:paraId="4E31D665" w14:textId="4BE4F29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68FACE76" w14:textId="293B79E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190" w:type="dxa"/>
          </w:tcPr>
          <w:p w14:paraId="78CF62AD" w14:textId="69C04DB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66.77*</w:t>
            </w:r>
          </w:p>
        </w:tc>
        <w:tc>
          <w:tcPr>
            <w:tcW w:w="1248" w:type="dxa"/>
          </w:tcPr>
          <w:p w14:paraId="47097092" w14:textId="117315B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18.16</w:t>
            </w:r>
          </w:p>
        </w:tc>
        <w:tc>
          <w:tcPr>
            <w:tcW w:w="1247" w:type="dxa"/>
          </w:tcPr>
          <w:p w14:paraId="50307644" w14:textId="0713EC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10.47</w:t>
            </w:r>
          </w:p>
        </w:tc>
        <w:tc>
          <w:tcPr>
            <w:tcW w:w="1134" w:type="dxa"/>
          </w:tcPr>
          <w:p w14:paraId="6E35F7C0" w14:textId="22633772"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3.77*</w:t>
            </w:r>
          </w:p>
        </w:tc>
        <w:tc>
          <w:tcPr>
            <w:tcW w:w="1134" w:type="dxa"/>
          </w:tcPr>
          <w:p w14:paraId="276E73EB" w14:textId="5352DC5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0.83</w:t>
            </w:r>
            <w:r w:rsidRPr="003D2419">
              <w:rPr>
                <w:rFonts w:cs="Open Sans"/>
                <w:szCs w:val="18"/>
                <w:vertAlign w:val="superscript"/>
              </w:rPr>
              <w:t>b</w:t>
            </w:r>
          </w:p>
        </w:tc>
        <w:tc>
          <w:tcPr>
            <w:tcW w:w="1474" w:type="dxa"/>
          </w:tcPr>
          <w:p w14:paraId="5361B8E4" w14:textId="2CDAE95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84.93*</w:t>
            </w:r>
          </w:p>
        </w:tc>
      </w:tr>
      <w:tr w:rsidR="00F92D54" w:rsidRPr="003D2419" w14:paraId="25E9F532"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2F60505" w14:textId="77777777" w:rsidR="00F92D54" w:rsidRPr="003D2419" w:rsidRDefault="00F92D54" w:rsidP="007632F4">
            <w:pPr>
              <w:pStyle w:val="Tablebody"/>
              <w:rPr>
                <w:rFonts w:cs="Open Sans"/>
                <w:szCs w:val="18"/>
                <w:lang w:val="en-GB"/>
              </w:rPr>
            </w:pPr>
            <w:r w:rsidRPr="003D2419">
              <w:rPr>
                <w:rFonts w:cs="Open Sans"/>
                <w:szCs w:val="18"/>
              </w:rPr>
              <w:t>V6</w:t>
            </w:r>
          </w:p>
        </w:tc>
        <w:tc>
          <w:tcPr>
            <w:tcW w:w="4762" w:type="dxa"/>
          </w:tcPr>
          <w:p w14:paraId="632B7B5D"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Abusive messages or comments targeted at women on social media</w:t>
            </w:r>
          </w:p>
        </w:tc>
        <w:tc>
          <w:tcPr>
            <w:tcW w:w="1474" w:type="dxa"/>
          </w:tcPr>
          <w:p w14:paraId="16288404"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2B5D5024"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190" w:type="dxa"/>
          </w:tcPr>
          <w:p w14:paraId="4464358C" w14:textId="7D0EBA8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53.85*</w:t>
            </w:r>
          </w:p>
        </w:tc>
        <w:tc>
          <w:tcPr>
            <w:tcW w:w="1248" w:type="dxa"/>
          </w:tcPr>
          <w:p w14:paraId="32E0DAE9" w14:textId="6B8FCA6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20.71</w:t>
            </w:r>
          </w:p>
        </w:tc>
        <w:tc>
          <w:tcPr>
            <w:tcW w:w="1247" w:type="dxa"/>
          </w:tcPr>
          <w:p w14:paraId="29CA1ED8" w14:textId="20357034"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14.83</w:t>
            </w:r>
          </w:p>
        </w:tc>
        <w:tc>
          <w:tcPr>
            <w:tcW w:w="1134" w:type="dxa"/>
          </w:tcPr>
          <w:p w14:paraId="18E1A311" w14:textId="6A25B22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9.87*</w:t>
            </w:r>
          </w:p>
        </w:tc>
        <w:tc>
          <w:tcPr>
            <w:tcW w:w="1134" w:type="dxa"/>
          </w:tcPr>
          <w:p w14:paraId="6F8C6AB3" w14:textId="4B9BDD88"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0.67</w:t>
            </w:r>
            <w:r w:rsidRPr="003D2419">
              <w:rPr>
                <w:rFonts w:cs="Open Sans"/>
                <w:szCs w:val="18"/>
                <w:vertAlign w:val="superscript"/>
              </w:rPr>
              <w:t>b</w:t>
            </w:r>
          </w:p>
        </w:tc>
        <w:tc>
          <w:tcPr>
            <w:tcW w:w="1474" w:type="dxa"/>
          </w:tcPr>
          <w:p w14:paraId="33783730" w14:textId="2AE7ED1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74.57*</w:t>
            </w:r>
          </w:p>
        </w:tc>
      </w:tr>
      <w:tr w:rsidR="00F92D54" w:rsidRPr="003D2419" w14:paraId="3B8CB872"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E596B8A" w14:textId="38A1A175" w:rsidR="00F92D54" w:rsidRPr="003D2419" w:rsidRDefault="00F92D54" w:rsidP="007632F4">
            <w:pPr>
              <w:pStyle w:val="Tablebody"/>
              <w:rPr>
                <w:rFonts w:cs="Open Sans"/>
                <w:szCs w:val="18"/>
              </w:rPr>
            </w:pPr>
            <w:r w:rsidRPr="003D2419">
              <w:rPr>
                <w:rFonts w:cs="Open Sans"/>
                <w:szCs w:val="18"/>
              </w:rPr>
              <w:t>V6</w:t>
            </w:r>
          </w:p>
        </w:tc>
        <w:tc>
          <w:tcPr>
            <w:tcW w:w="4762" w:type="dxa"/>
          </w:tcPr>
          <w:p w14:paraId="377F6AF2" w14:textId="4FF14E53"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Abusive messages or comments targeted at women on social media</w:t>
            </w:r>
          </w:p>
        </w:tc>
        <w:tc>
          <w:tcPr>
            <w:tcW w:w="1474" w:type="dxa"/>
          </w:tcPr>
          <w:p w14:paraId="2E368947" w14:textId="7756975F"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7D3D2794" w14:textId="4FFA13D1"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190" w:type="dxa"/>
          </w:tcPr>
          <w:p w14:paraId="2E246136" w14:textId="47D71FF4"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67.53*</w:t>
            </w:r>
          </w:p>
        </w:tc>
        <w:tc>
          <w:tcPr>
            <w:tcW w:w="1248" w:type="dxa"/>
          </w:tcPr>
          <w:p w14:paraId="44B2259D" w14:textId="22F1A41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19.08</w:t>
            </w:r>
          </w:p>
        </w:tc>
        <w:tc>
          <w:tcPr>
            <w:tcW w:w="1247" w:type="dxa"/>
          </w:tcPr>
          <w:p w14:paraId="0159DF71" w14:textId="2B31C986"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10.37</w:t>
            </w:r>
          </w:p>
        </w:tc>
        <w:tc>
          <w:tcPr>
            <w:tcW w:w="1134" w:type="dxa"/>
          </w:tcPr>
          <w:p w14:paraId="6FDD98A3" w14:textId="300CDD1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rPr>
              <w:t>2.59*</w:t>
            </w:r>
            <w:r w:rsidRPr="003D2419">
              <w:rPr>
                <w:rFonts w:cs="Open Sans"/>
                <w:szCs w:val="18"/>
                <w:vertAlign w:val="superscript"/>
              </w:rPr>
              <w:t xml:space="preserve"> b</w:t>
            </w:r>
          </w:p>
        </w:tc>
        <w:tc>
          <w:tcPr>
            <w:tcW w:w="1134" w:type="dxa"/>
          </w:tcPr>
          <w:p w14:paraId="233593F6" w14:textId="788B8DA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0.43</w:t>
            </w:r>
            <w:r w:rsidRPr="003D2419">
              <w:rPr>
                <w:rFonts w:cs="Open Sans"/>
                <w:szCs w:val="18"/>
                <w:vertAlign w:val="superscript"/>
              </w:rPr>
              <w:t>b</w:t>
            </w:r>
          </w:p>
        </w:tc>
        <w:tc>
          <w:tcPr>
            <w:tcW w:w="1474" w:type="dxa"/>
          </w:tcPr>
          <w:p w14:paraId="597A1537" w14:textId="1CC643F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86.61*</w:t>
            </w:r>
          </w:p>
        </w:tc>
      </w:tr>
      <w:tr w:rsidR="00F92D54" w:rsidRPr="003D2419" w14:paraId="2BB2976C"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2329EB7" w14:textId="77777777" w:rsidR="00F92D54" w:rsidRPr="003D2419" w:rsidRDefault="00F92D54" w:rsidP="007632F4">
            <w:pPr>
              <w:pStyle w:val="Tablebody"/>
              <w:rPr>
                <w:rFonts w:cs="Open Sans"/>
                <w:szCs w:val="18"/>
                <w:lang w:val="en-GB"/>
              </w:rPr>
            </w:pPr>
            <w:r w:rsidRPr="003D2419">
              <w:rPr>
                <w:rFonts w:cs="Open Sans"/>
                <w:szCs w:val="18"/>
              </w:rPr>
              <w:t>V7</w:t>
            </w:r>
          </w:p>
        </w:tc>
        <w:tc>
          <w:tcPr>
            <w:tcW w:w="4762" w:type="dxa"/>
          </w:tcPr>
          <w:p w14:paraId="4AFFCA71"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lang w:val="en-US"/>
              </w:rPr>
              <w:t>A man sends an unwanted picture of his genitals to a woman</w:t>
            </w:r>
          </w:p>
        </w:tc>
        <w:tc>
          <w:tcPr>
            <w:tcW w:w="1474" w:type="dxa"/>
          </w:tcPr>
          <w:p w14:paraId="52062379"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Young men</w:t>
            </w:r>
          </w:p>
        </w:tc>
        <w:tc>
          <w:tcPr>
            <w:tcW w:w="567" w:type="dxa"/>
          </w:tcPr>
          <w:p w14:paraId="508BAB4D" w14:textId="7777777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913</w:t>
            </w:r>
          </w:p>
        </w:tc>
        <w:tc>
          <w:tcPr>
            <w:tcW w:w="1190" w:type="dxa"/>
          </w:tcPr>
          <w:p w14:paraId="05372DFC" w14:textId="4C9FB9F7"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59.44</w:t>
            </w:r>
          </w:p>
        </w:tc>
        <w:tc>
          <w:tcPr>
            <w:tcW w:w="1248" w:type="dxa"/>
          </w:tcPr>
          <w:p w14:paraId="5FFD3A58" w14:textId="2EEB948A"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12.83</w:t>
            </w:r>
          </w:p>
        </w:tc>
        <w:tc>
          <w:tcPr>
            <w:tcW w:w="1247" w:type="dxa"/>
          </w:tcPr>
          <w:p w14:paraId="6A9E2EB8" w14:textId="522CCBF5"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13.95</w:t>
            </w:r>
          </w:p>
        </w:tc>
        <w:tc>
          <w:tcPr>
            <w:tcW w:w="1134" w:type="dxa"/>
          </w:tcPr>
          <w:p w14:paraId="4D6492F0" w14:textId="1A4E278D"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12.62</w:t>
            </w:r>
          </w:p>
        </w:tc>
        <w:tc>
          <w:tcPr>
            <w:tcW w:w="1134" w:type="dxa"/>
          </w:tcPr>
          <w:p w14:paraId="2DB87FE5" w14:textId="367D01A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1.16</w:t>
            </w:r>
            <w:r w:rsidRPr="003D2419">
              <w:rPr>
                <w:rFonts w:cs="Open Sans"/>
                <w:szCs w:val="18"/>
                <w:vertAlign w:val="superscript"/>
              </w:rPr>
              <w:t>b</w:t>
            </w:r>
          </w:p>
        </w:tc>
        <w:tc>
          <w:tcPr>
            <w:tcW w:w="1474" w:type="dxa"/>
          </w:tcPr>
          <w:p w14:paraId="57C13F9F" w14:textId="631D0094"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3D2419">
              <w:rPr>
                <w:rFonts w:cs="Open Sans"/>
                <w:szCs w:val="18"/>
              </w:rPr>
              <w:t>72.27</w:t>
            </w:r>
          </w:p>
        </w:tc>
      </w:tr>
      <w:tr w:rsidR="00F92D54" w:rsidRPr="003D2419" w14:paraId="6D18259F"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7126C18" w14:textId="5FF895B6" w:rsidR="00F92D54" w:rsidRPr="003D2419" w:rsidRDefault="00F92D54" w:rsidP="007632F4">
            <w:pPr>
              <w:pStyle w:val="Tablebody"/>
              <w:rPr>
                <w:rFonts w:cs="Open Sans"/>
                <w:szCs w:val="18"/>
              </w:rPr>
            </w:pPr>
            <w:r w:rsidRPr="003D2419">
              <w:rPr>
                <w:rFonts w:cs="Open Sans"/>
                <w:szCs w:val="18"/>
              </w:rPr>
              <w:t>V7</w:t>
            </w:r>
          </w:p>
        </w:tc>
        <w:tc>
          <w:tcPr>
            <w:tcW w:w="4762" w:type="dxa"/>
          </w:tcPr>
          <w:p w14:paraId="48C9D12D" w14:textId="12B51253"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3D2419">
              <w:rPr>
                <w:rFonts w:cs="Open Sans"/>
                <w:szCs w:val="18"/>
                <w:lang w:val="en-US"/>
              </w:rPr>
              <w:t>A man sends an unwanted picture of his genitals to a woman</w:t>
            </w:r>
          </w:p>
        </w:tc>
        <w:tc>
          <w:tcPr>
            <w:tcW w:w="1474" w:type="dxa"/>
          </w:tcPr>
          <w:p w14:paraId="016A79E0" w14:textId="478CBF9C"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Young women</w:t>
            </w:r>
          </w:p>
        </w:tc>
        <w:tc>
          <w:tcPr>
            <w:tcW w:w="567" w:type="dxa"/>
          </w:tcPr>
          <w:p w14:paraId="6CD247A3" w14:textId="7D9FAC1E"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715</w:t>
            </w:r>
          </w:p>
        </w:tc>
        <w:tc>
          <w:tcPr>
            <w:tcW w:w="1190" w:type="dxa"/>
          </w:tcPr>
          <w:p w14:paraId="5A131A12" w14:textId="719B030A"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64.68</w:t>
            </w:r>
          </w:p>
        </w:tc>
        <w:tc>
          <w:tcPr>
            <w:tcW w:w="1248" w:type="dxa"/>
          </w:tcPr>
          <w:p w14:paraId="29DC1276" w14:textId="62D0987B"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15.14</w:t>
            </w:r>
          </w:p>
        </w:tc>
        <w:tc>
          <w:tcPr>
            <w:tcW w:w="1247" w:type="dxa"/>
          </w:tcPr>
          <w:p w14:paraId="7ABCFE3F" w14:textId="77769EA4"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12.34</w:t>
            </w:r>
          </w:p>
        </w:tc>
        <w:tc>
          <w:tcPr>
            <w:tcW w:w="1134" w:type="dxa"/>
          </w:tcPr>
          <w:p w14:paraId="3F72BEBB" w14:textId="1CB0F25D"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6.88</w:t>
            </w:r>
          </w:p>
        </w:tc>
        <w:tc>
          <w:tcPr>
            <w:tcW w:w="1134" w:type="dxa"/>
          </w:tcPr>
          <w:p w14:paraId="300BF1EA" w14:textId="4B4EAC22"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0.95</w:t>
            </w:r>
            <w:r w:rsidRPr="003D2419">
              <w:rPr>
                <w:rFonts w:cs="Open Sans"/>
                <w:szCs w:val="18"/>
                <w:vertAlign w:val="superscript"/>
              </w:rPr>
              <w:t>b</w:t>
            </w:r>
          </w:p>
        </w:tc>
        <w:tc>
          <w:tcPr>
            <w:tcW w:w="1474" w:type="dxa"/>
          </w:tcPr>
          <w:p w14:paraId="554C59A6" w14:textId="242E5FBB" w:rsidR="00F92D54" w:rsidRPr="003D2419" w:rsidRDefault="00F92D54"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3D2419">
              <w:rPr>
                <w:rFonts w:cs="Open Sans"/>
                <w:szCs w:val="18"/>
              </w:rPr>
              <w:t>79.82</w:t>
            </w:r>
          </w:p>
        </w:tc>
      </w:tr>
    </w:tbl>
    <w:p w14:paraId="6489DC74" w14:textId="77777777" w:rsidR="003D2419" w:rsidRPr="00ED4588" w:rsidRDefault="003D2419" w:rsidP="004E69A2">
      <w:pPr>
        <w:pStyle w:val="datatablenote"/>
      </w:pPr>
      <w:r w:rsidRPr="00ED4588">
        <w:rPr>
          <w:b/>
        </w:rPr>
        <w:t>Note</w:t>
      </w:r>
      <w:r w:rsidRPr="00ED4588">
        <w:t>: Numbers in bold reflect the significantly higher value in the comparison.</w:t>
      </w:r>
    </w:p>
    <w:p w14:paraId="17DB4667" w14:textId="77777777" w:rsidR="003D2419" w:rsidRPr="00ED4588" w:rsidRDefault="003D2419" w:rsidP="004E69A2">
      <w:pPr>
        <w:pStyle w:val="datatablenote"/>
      </w:pPr>
      <w:r w:rsidRPr="00ED4588">
        <w:t>Percentages may not add to 100 as the “unanswered” category is not shown in the table.</w:t>
      </w:r>
    </w:p>
    <w:p w14:paraId="5228A559" w14:textId="77777777" w:rsidR="003D2419" w:rsidRPr="00ED4588" w:rsidRDefault="003D2419" w:rsidP="004E69A2">
      <w:pPr>
        <w:pStyle w:val="datatablenote"/>
      </w:pPr>
      <w:r w:rsidRPr="00ED4588">
        <w:t>a “Strong yes” refers to answering “yes” either “always” or “usually”.</w:t>
      </w:r>
    </w:p>
    <w:p w14:paraId="7C5C2F8E" w14:textId="77777777" w:rsidR="003D2419" w:rsidRPr="00ED4588" w:rsidRDefault="003D2419" w:rsidP="004E69A2">
      <w:pPr>
        <w:pStyle w:val="datatablenote"/>
      </w:pPr>
      <w:r w:rsidRPr="00ED4588">
        <w:t>b This result should be interpreted with caution because it has a relative standard error &gt;25%.</w:t>
      </w:r>
    </w:p>
    <w:p w14:paraId="77994DD3" w14:textId="77777777" w:rsidR="003D2419" w:rsidRPr="00ED4588" w:rsidRDefault="003D2419" w:rsidP="004E69A2">
      <w:pPr>
        <w:pStyle w:val="datatablenote"/>
      </w:pPr>
      <w:r w:rsidRPr="00ED4588">
        <w:t>* Statistically significant difference between young men and young women.</w:t>
      </w:r>
    </w:p>
    <w:p w14:paraId="58D055DB" w14:textId="58D1BF63" w:rsidR="00E358DE" w:rsidRPr="00ED4588" w:rsidRDefault="003D2419" w:rsidP="004E69A2">
      <w:pPr>
        <w:pStyle w:val="datatablenote"/>
      </w:pPr>
      <w:r w:rsidRPr="00ED4588">
        <w:t>~ Asked of one quarter of the sample.</w:t>
      </w:r>
    </w:p>
    <w:p w14:paraId="1BC6CB8F" w14:textId="2BB915DC" w:rsidR="00017722" w:rsidRPr="00017722" w:rsidRDefault="00F00395" w:rsidP="00F5214A">
      <w:pPr>
        <w:pStyle w:val="TableheadingTablesandfigures"/>
      </w:pPr>
      <w:bookmarkStart w:id="274" w:name="_Toc187402257"/>
      <w:r>
        <w:t xml:space="preserve">Table </w:t>
      </w:r>
      <w:r w:rsidR="004A7ED7">
        <w:fldChar w:fldCharType="begin"/>
      </w:r>
      <w:r w:rsidR="004A7ED7">
        <w:instrText xml:space="preserve"> STYLEREF 1 \s </w:instrText>
      </w:r>
      <w:r w:rsidR="004A7ED7">
        <w:fldChar w:fldCharType="separate"/>
      </w:r>
      <w:r w:rsidR="004A7ED7">
        <w:rPr>
          <w:noProof/>
        </w:rPr>
        <w:t>15</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2</w:t>
      </w:r>
      <w:r w:rsidR="004A7ED7">
        <w:rPr>
          <w:noProof/>
        </w:rPr>
        <w:fldChar w:fldCharType="end"/>
      </w:r>
      <w:r w:rsidR="00017722" w:rsidRPr="00017722">
        <w:t xml:space="preserve">: </w:t>
      </w:r>
      <w:r w:rsidR="007134A4">
        <w:tab/>
      </w:r>
      <w:r w:rsidR="00017722" w:rsidRPr="00017722">
        <w:t>Understanding of gendered nature of domestic violence by gender, young men and women (UVAWS subscale items), 2021</w:t>
      </w:r>
      <w:bookmarkEnd w:id="274"/>
    </w:p>
    <w:p w14:paraId="372F4DE7" w14:textId="595B8D4D" w:rsidR="00666AD1" w:rsidRDefault="00666AD1" w:rsidP="004E69A2">
      <w:pPr>
        <w:pStyle w:val="TablesubheadingSubscale"/>
      </w:pPr>
      <w:r w:rsidRPr="000751E1">
        <w:t xml:space="preserve">Subscale: </w:t>
      </w:r>
      <w:r>
        <w:t xml:space="preserve">Understand </w:t>
      </w:r>
      <w:r w:rsidR="00F33FDB">
        <w:t>G</w:t>
      </w:r>
      <w:r>
        <w:t xml:space="preserve">endered </w:t>
      </w:r>
      <w:r w:rsidR="00F33FDB">
        <w:t>N</w:t>
      </w:r>
      <w:r>
        <w:t xml:space="preserve">ature of </w:t>
      </w:r>
      <w:r w:rsidR="00F33FDB">
        <w:t>D</w:t>
      </w:r>
      <w:r>
        <w:t xml:space="preserve">omestic </w:t>
      </w:r>
      <w:r w:rsidR="00F33FDB">
        <w:t>V</w:t>
      </w:r>
      <w:r>
        <w:t>iolence</w:t>
      </w:r>
    </w:p>
    <w:tbl>
      <w:tblPr>
        <w:tblStyle w:val="Table-SingleHeaderRow"/>
        <w:tblW w:w="13733" w:type="dxa"/>
        <w:tblLayout w:type="fixed"/>
        <w:tblLook w:val="00A0" w:firstRow="1" w:lastRow="0" w:firstColumn="1" w:lastColumn="0" w:noHBand="0" w:noVBand="0"/>
      </w:tblPr>
      <w:tblGrid>
        <w:gridCol w:w="737"/>
        <w:gridCol w:w="6236"/>
        <w:gridCol w:w="1474"/>
        <w:gridCol w:w="567"/>
        <w:gridCol w:w="1133"/>
        <w:gridCol w:w="1319"/>
        <w:gridCol w:w="1190"/>
        <w:gridCol w:w="1077"/>
      </w:tblGrid>
      <w:tr w:rsidR="005F0317" w:rsidRPr="00017722" w14:paraId="7DBF4294" w14:textId="77777777" w:rsidTr="007632F4">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6E2C7946" w14:textId="77777777" w:rsidR="005F0317" w:rsidRPr="00017722" w:rsidRDefault="005F0317" w:rsidP="007632F4">
            <w:pPr>
              <w:pStyle w:val="Tablebody"/>
              <w:rPr>
                <w:b w:val="0"/>
                <w:lang w:val="en-GB"/>
              </w:rPr>
            </w:pPr>
            <w:r w:rsidRPr="00017722">
              <w:t>Code</w:t>
            </w:r>
          </w:p>
        </w:tc>
        <w:tc>
          <w:tcPr>
            <w:tcW w:w="6236" w:type="dxa"/>
          </w:tcPr>
          <w:p w14:paraId="3B355AE1" w14:textId="77777777"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Abbreviated item wording</w:t>
            </w:r>
          </w:p>
        </w:tc>
        <w:tc>
          <w:tcPr>
            <w:tcW w:w="1474" w:type="dxa"/>
          </w:tcPr>
          <w:p w14:paraId="08EC4BAC" w14:textId="77777777"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Gender</w:t>
            </w:r>
          </w:p>
        </w:tc>
        <w:tc>
          <w:tcPr>
            <w:tcW w:w="567" w:type="dxa"/>
          </w:tcPr>
          <w:p w14:paraId="6C1FC878" w14:textId="77777777"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017722">
              <w:rPr>
                <w:rStyle w:val="Emphasis"/>
                <w:lang w:val="en-US"/>
              </w:rPr>
              <w:t>N</w:t>
            </w:r>
          </w:p>
        </w:tc>
        <w:tc>
          <w:tcPr>
            <w:tcW w:w="1133" w:type="dxa"/>
          </w:tcPr>
          <w:p w14:paraId="1A5A8C45" w14:textId="77777777"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 Women</w:t>
            </w:r>
          </w:p>
        </w:tc>
        <w:tc>
          <w:tcPr>
            <w:tcW w:w="1319" w:type="dxa"/>
          </w:tcPr>
          <w:p w14:paraId="1EC40378" w14:textId="77777777"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 Both equally</w:t>
            </w:r>
          </w:p>
        </w:tc>
        <w:tc>
          <w:tcPr>
            <w:tcW w:w="1190" w:type="dxa"/>
          </w:tcPr>
          <w:p w14:paraId="60C5C23F" w14:textId="5505C942"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 Men (correct)</w:t>
            </w:r>
          </w:p>
        </w:tc>
        <w:tc>
          <w:tcPr>
            <w:tcW w:w="1077" w:type="dxa"/>
          </w:tcPr>
          <w:p w14:paraId="1DB9D8CF" w14:textId="5A06D865"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017722">
              <w:t>% Unsure</w:t>
            </w:r>
          </w:p>
        </w:tc>
      </w:tr>
      <w:tr w:rsidR="005F0317" w:rsidRPr="00017722" w14:paraId="1B6825E7"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DB159A6" w14:textId="77777777" w:rsidR="005F0317" w:rsidRPr="00017722" w:rsidRDefault="005F0317" w:rsidP="007632F4">
            <w:pPr>
              <w:pStyle w:val="Tablebody"/>
              <w:rPr>
                <w:rFonts w:cs="Open Sans"/>
                <w:szCs w:val="18"/>
                <w:lang w:val="en-GB"/>
              </w:rPr>
            </w:pPr>
            <w:r w:rsidRPr="00017722">
              <w:rPr>
                <w:rFonts w:cs="Open Sans"/>
                <w:szCs w:val="18"/>
              </w:rPr>
              <w:t>D13</w:t>
            </w:r>
          </w:p>
        </w:tc>
        <w:tc>
          <w:tcPr>
            <w:tcW w:w="6236" w:type="dxa"/>
          </w:tcPr>
          <w:p w14:paraId="77C9174F"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lang w:val="en-US"/>
              </w:rPr>
              <w:t>Who is domestic violence mainly committed by?</w:t>
            </w:r>
            <w:r w:rsidRPr="00017722">
              <w:rPr>
                <w:rFonts w:ascii="Montserrat" w:hAnsi="Montserrat" w:cs="Montserrat"/>
                <w:szCs w:val="18"/>
                <w:lang w:val="en-US"/>
              </w:rPr>
              <w:t>~</w:t>
            </w:r>
          </w:p>
        </w:tc>
        <w:tc>
          <w:tcPr>
            <w:tcW w:w="1474" w:type="dxa"/>
          </w:tcPr>
          <w:p w14:paraId="78902203"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Young men</w:t>
            </w:r>
          </w:p>
        </w:tc>
        <w:tc>
          <w:tcPr>
            <w:tcW w:w="567" w:type="dxa"/>
          </w:tcPr>
          <w:p w14:paraId="4C75D815"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213</w:t>
            </w:r>
          </w:p>
        </w:tc>
        <w:tc>
          <w:tcPr>
            <w:tcW w:w="1133" w:type="dxa"/>
          </w:tcPr>
          <w:p w14:paraId="00768BE4" w14:textId="080E94D2"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1.12</w:t>
            </w:r>
            <w:r w:rsidRPr="00017722">
              <w:rPr>
                <w:rFonts w:cs="Open Sans"/>
                <w:szCs w:val="18"/>
                <w:vertAlign w:val="superscript"/>
              </w:rPr>
              <w:t>a</w:t>
            </w:r>
          </w:p>
        </w:tc>
        <w:tc>
          <w:tcPr>
            <w:tcW w:w="1319" w:type="dxa"/>
          </w:tcPr>
          <w:p w14:paraId="06BF8B45" w14:textId="288D3471"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17722">
              <w:rPr>
                <w:rFonts w:cs="Open Sans"/>
                <w:szCs w:val="18"/>
              </w:rPr>
              <w:t>50.31</w:t>
            </w:r>
          </w:p>
        </w:tc>
        <w:tc>
          <w:tcPr>
            <w:tcW w:w="1190" w:type="dxa"/>
          </w:tcPr>
          <w:p w14:paraId="4BE229EE" w14:textId="15658EE3"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17722">
              <w:rPr>
                <w:rFonts w:cs="Open Sans"/>
                <w:szCs w:val="18"/>
              </w:rPr>
              <w:t>47.91</w:t>
            </w:r>
          </w:p>
        </w:tc>
        <w:tc>
          <w:tcPr>
            <w:tcW w:w="1077" w:type="dxa"/>
          </w:tcPr>
          <w:p w14:paraId="555AE74C" w14:textId="390DABAE"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0.32</w:t>
            </w:r>
            <w:r w:rsidRPr="00017722">
              <w:rPr>
                <w:rFonts w:cs="Open Sans"/>
                <w:szCs w:val="18"/>
                <w:vertAlign w:val="superscript"/>
              </w:rPr>
              <w:t>a</w:t>
            </w:r>
          </w:p>
        </w:tc>
      </w:tr>
      <w:tr w:rsidR="005F0317" w:rsidRPr="00017722" w14:paraId="3A673F4B"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C3F426D" w14:textId="66C0B7E8" w:rsidR="005F0317" w:rsidRPr="00017722" w:rsidRDefault="005F0317" w:rsidP="007632F4">
            <w:pPr>
              <w:pStyle w:val="Tablebody"/>
              <w:rPr>
                <w:rFonts w:cs="Open Sans"/>
                <w:szCs w:val="18"/>
              </w:rPr>
            </w:pPr>
            <w:r w:rsidRPr="00017722">
              <w:rPr>
                <w:rFonts w:cs="Open Sans"/>
                <w:szCs w:val="18"/>
              </w:rPr>
              <w:t>D13</w:t>
            </w:r>
          </w:p>
        </w:tc>
        <w:tc>
          <w:tcPr>
            <w:tcW w:w="6236" w:type="dxa"/>
          </w:tcPr>
          <w:p w14:paraId="31E43E31" w14:textId="0A5C378B"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17722">
              <w:rPr>
                <w:rFonts w:cs="Open Sans"/>
                <w:szCs w:val="18"/>
                <w:lang w:val="en-US"/>
              </w:rPr>
              <w:t>Who is domestic violence mainly committed by?</w:t>
            </w:r>
            <w:r w:rsidRPr="00017722">
              <w:rPr>
                <w:rFonts w:ascii="Montserrat" w:hAnsi="Montserrat" w:cs="Montserrat"/>
                <w:szCs w:val="18"/>
                <w:lang w:val="en-US"/>
              </w:rPr>
              <w:t>~</w:t>
            </w:r>
          </w:p>
        </w:tc>
        <w:tc>
          <w:tcPr>
            <w:tcW w:w="1474" w:type="dxa"/>
          </w:tcPr>
          <w:p w14:paraId="1C32BB8A" w14:textId="0ECB976E"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Young women</w:t>
            </w:r>
          </w:p>
        </w:tc>
        <w:tc>
          <w:tcPr>
            <w:tcW w:w="567" w:type="dxa"/>
          </w:tcPr>
          <w:p w14:paraId="61515986" w14:textId="337D18D3"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173</w:t>
            </w:r>
          </w:p>
        </w:tc>
        <w:tc>
          <w:tcPr>
            <w:tcW w:w="1133" w:type="dxa"/>
          </w:tcPr>
          <w:p w14:paraId="08E452F5" w14:textId="612E238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0.00</w:t>
            </w:r>
          </w:p>
        </w:tc>
        <w:tc>
          <w:tcPr>
            <w:tcW w:w="1319" w:type="dxa"/>
          </w:tcPr>
          <w:p w14:paraId="3A4F3C59" w14:textId="4215D9D2"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40.06</w:t>
            </w:r>
          </w:p>
        </w:tc>
        <w:tc>
          <w:tcPr>
            <w:tcW w:w="1190" w:type="dxa"/>
          </w:tcPr>
          <w:p w14:paraId="0CCAF6C8" w14:textId="5B5216B8"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59.58</w:t>
            </w:r>
          </w:p>
        </w:tc>
        <w:tc>
          <w:tcPr>
            <w:tcW w:w="1077" w:type="dxa"/>
          </w:tcPr>
          <w:p w14:paraId="6169FEF7" w14:textId="773E6AFB"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0.36</w:t>
            </w:r>
            <w:r w:rsidRPr="00017722">
              <w:rPr>
                <w:rFonts w:cs="Open Sans"/>
                <w:szCs w:val="18"/>
                <w:vertAlign w:val="superscript"/>
              </w:rPr>
              <w:t>a</w:t>
            </w:r>
          </w:p>
        </w:tc>
      </w:tr>
    </w:tbl>
    <w:p w14:paraId="1D823687" w14:textId="77777777" w:rsidR="00666AD1" w:rsidRDefault="00666AD1" w:rsidP="004E69A2">
      <w:pPr>
        <w:pStyle w:val="TablesubheadingSubscale"/>
      </w:pPr>
      <w:r w:rsidRPr="000751E1">
        <w:t xml:space="preserve">Subscale: </w:t>
      </w:r>
      <w:r>
        <w:t>Understand gendered nature of domestic violence</w:t>
      </w:r>
    </w:p>
    <w:tbl>
      <w:tblPr>
        <w:tblStyle w:val="Table-SingleHeaderRow"/>
        <w:tblW w:w="13733" w:type="dxa"/>
        <w:tblLayout w:type="fixed"/>
        <w:tblLook w:val="00A0" w:firstRow="1" w:lastRow="0" w:firstColumn="1" w:lastColumn="0" w:noHBand="0" w:noVBand="0"/>
      </w:tblPr>
      <w:tblGrid>
        <w:gridCol w:w="737"/>
        <w:gridCol w:w="6236"/>
        <w:gridCol w:w="1474"/>
        <w:gridCol w:w="567"/>
        <w:gridCol w:w="1133"/>
        <w:gridCol w:w="1319"/>
        <w:gridCol w:w="1190"/>
        <w:gridCol w:w="1077"/>
      </w:tblGrid>
      <w:tr w:rsidR="005F0317" w:rsidRPr="00017722" w14:paraId="32B85CFB" w14:textId="77777777" w:rsidTr="007632F4">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490EC2A6" w14:textId="169B2307" w:rsidR="005F0317" w:rsidRPr="00017722" w:rsidRDefault="005F0317" w:rsidP="007632F4">
            <w:pPr>
              <w:pStyle w:val="Tablebody"/>
              <w:rPr>
                <w:rFonts w:ascii="Open Sans SemiBold" w:hAnsi="Open Sans SemiBold" w:cs="Times New Roman"/>
                <w:sz w:val="24"/>
              </w:rPr>
            </w:pPr>
            <w:r w:rsidRPr="00017722">
              <w:t>Code</w:t>
            </w:r>
          </w:p>
        </w:tc>
        <w:tc>
          <w:tcPr>
            <w:tcW w:w="6236" w:type="dxa"/>
          </w:tcPr>
          <w:p w14:paraId="564E32A5" w14:textId="589B9032"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17722">
              <w:t>Abbreviated item wording</w:t>
            </w:r>
          </w:p>
        </w:tc>
        <w:tc>
          <w:tcPr>
            <w:tcW w:w="1474" w:type="dxa"/>
          </w:tcPr>
          <w:p w14:paraId="10F9C3B4" w14:textId="62F7A108"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17722">
              <w:t>Gender</w:t>
            </w:r>
          </w:p>
        </w:tc>
        <w:tc>
          <w:tcPr>
            <w:tcW w:w="567" w:type="dxa"/>
          </w:tcPr>
          <w:p w14:paraId="58D5891C" w14:textId="50E9AC10" w:rsidR="005F0317" w:rsidRPr="00017722" w:rsidRDefault="005F0317" w:rsidP="007632F4">
            <w:pPr>
              <w:pStyle w:val="Tablebody"/>
              <w:cnfStyle w:val="100000000000" w:firstRow="1"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017722">
              <w:rPr>
                <w:rStyle w:val="Emphasis"/>
                <w:lang w:val="en-US"/>
              </w:rPr>
              <w:t>N</w:t>
            </w:r>
          </w:p>
        </w:tc>
        <w:tc>
          <w:tcPr>
            <w:tcW w:w="1133" w:type="dxa"/>
          </w:tcPr>
          <w:p w14:paraId="12F9E445" w14:textId="34CF2C7B" w:rsidR="005F0317" w:rsidRPr="005F0317"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rPr>
            </w:pPr>
            <w:r w:rsidRPr="005F0317">
              <w:t xml:space="preserve">% </w:t>
            </w:r>
            <w:r>
              <w:t xml:space="preserve"> </w:t>
            </w:r>
            <w:r w:rsidRPr="005F0317">
              <w:t>Men</w:t>
            </w:r>
          </w:p>
        </w:tc>
        <w:tc>
          <w:tcPr>
            <w:tcW w:w="1319" w:type="dxa"/>
          </w:tcPr>
          <w:p w14:paraId="17B6F087" w14:textId="56681077" w:rsidR="005F0317" w:rsidRPr="005F0317"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rPr>
            </w:pPr>
            <w:r w:rsidRPr="005F0317">
              <w:t>% Both</w:t>
            </w:r>
            <w:r>
              <w:t xml:space="preserve"> </w:t>
            </w:r>
            <w:r w:rsidRPr="005F0317">
              <w:t>equally</w:t>
            </w:r>
          </w:p>
        </w:tc>
        <w:tc>
          <w:tcPr>
            <w:tcW w:w="1190" w:type="dxa"/>
          </w:tcPr>
          <w:p w14:paraId="60362D21" w14:textId="77777777" w:rsidR="005F0317" w:rsidRPr="005F0317"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rPr>
            </w:pPr>
            <w:r w:rsidRPr="005F0317">
              <w:t>% Women (correct)</w:t>
            </w:r>
          </w:p>
        </w:tc>
        <w:tc>
          <w:tcPr>
            <w:tcW w:w="1077" w:type="dxa"/>
          </w:tcPr>
          <w:p w14:paraId="196E2CC6" w14:textId="78F38BEF" w:rsidR="005F0317" w:rsidRPr="005F0317" w:rsidRDefault="005F0317" w:rsidP="007632F4">
            <w:pPr>
              <w:pStyle w:val="Tablebody"/>
              <w:cnfStyle w:val="100000000000" w:firstRow="1" w:lastRow="0" w:firstColumn="0" w:lastColumn="0" w:oddVBand="0" w:evenVBand="0" w:oddHBand="0" w:evenHBand="0" w:firstRowFirstColumn="0" w:firstRowLastColumn="0" w:lastRowFirstColumn="0" w:lastRowLastColumn="0"/>
              <w:rPr>
                <w:b w:val="0"/>
              </w:rPr>
            </w:pPr>
            <w:r w:rsidRPr="005F0317">
              <w:t>%</w:t>
            </w:r>
            <w:r>
              <w:t xml:space="preserve"> </w:t>
            </w:r>
            <w:r w:rsidRPr="005F0317">
              <w:t>Unsure</w:t>
            </w:r>
          </w:p>
        </w:tc>
      </w:tr>
      <w:tr w:rsidR="005F0317" w:rsidRPr="00017722" w14:paraId="4631487E"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A6EC93D" w14:textId="77777777" w:rsidR="005F0317" w:rsidRPr="00017722" w:rsidRDefault="005F0317" w:rsidP="007632F4">
            <w:pPr>
              <w:pStyle w:val="Tablebody"/>
              <w:rPr>
                <w:rFonts w:cs="Open Sans"/>
                <w:szCs w:val="18"/>
                <w:lang w:val="en-GB"/>
              </w:rPr>
            </w:pPr>
            <w:r w:rsidRPr="00017722">
              <w:rPr>
                <w:rFonts w:cs="Open Sans"/>
                <w:szCs w:val="18"/>
              </w:rPr>
              <w:t>D14</w:t>
            </w:r>
          </w:p>
        </w:tc>
        <w:tc>
          <w:tcPr>
            <w:tcW w:w="6236" w:type="dxa"/>
          </w:tcPr>
          <w:p w14:paraId="572AD8E3"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lang w:val="en-US"/>
              </w:rPr>
              <w:t>Who is more likely to suffer physical harm from domestic violence?</w:t>
            </w:r>
            <w:r w:rsidRPr="00017722">
              <w:rPr>
                <w:rFonts w:ascii="Montserrat" w:hAnsi="Montserrat" w:cs="Montserrat"/>
                <w:szCs w:val="18"/>
                <w:lang w:val="en-US"/>
              </w:rPr>
              <w:t>~</w:t>
            </w:r>
          </w:p>
        </w:tc>
        <w:tc>
          <w:tcPr>
            <w:tcW w:w="1474" w:type="dxa"/>
          </w:tcPr>
          <w:p w14:paraId="21CF715B"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Young men</w:t>
            </w:r>
          </w:p>
        </w:tc>
        <w:tc>
          <w:tcPr>
            <w:tcW w:w="567" w:type="dxa"/>
          </w:tcPr>
          <w:p w14:paraId="2E3C7153"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213</w:t>
            </w:r>
          </w:p>
        </w:tc>
        <w:tc>
          <w:tcPr>
            <w:tcW w:w="1133" w:type="dxa"/>
          </w:tcPr>
          <w:p w14:paraId="6B8DF452" w14:textId="39157078"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3.64</w:t>
            </w:r>
            <w:r w:rsidRPr="00017722">
              <w:rPr>
                <w:rFonts w:cs="Open Sans"/>
                <w:szCs w:val="18"/>
                <w:vertAlign w:val="superscript"/>
              </w:rPr>
              <w:t>a</w:t>
            </w:r>
          </w:p>
        </w:tc>
        <w:tc>
          <w:tcPr>
            <w:tcW w:w="1319" w:type="dxa"/>
          </w:tcPr>
          <w:p w14:paraId="7CE87C70" w14:textId="3AF2ED5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23.38</w:t>
            </w:r>
          </w:p>
        </w:tc>
        <w:tc>
          <w:tcPr>
            <w:tcW w:w="1190" w:type="dxa"/>
          </w:tcPr>
          <w:p w14:paraId="19AF2D32" w14:textId="4891CF81"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72.24</w:t>
            </w:r>
          </w:p>
        </w:tc>
        <w:tc>
          <w:tcPr>
            <w:tcW w:w="1077" w:type="dxa"/>
          </w:tcPr>
          <w:p w14:paraId="06F6D40A" w14:textId="1CD26C32"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0.41</w:t>
            </w:r>
            <w:r w:rsidRPr="00017722">
              <w:rPr>
                <w:rFonts w:cs="Open Sans"/>
                <w:szCs w:val="18"/>
                <w:vertAlign w:val="superscript"/>
              </w:rPr>
              <w:t>a</w:t>
            </w:r>
          </w:p>
        </w:tc>
      </w:tr>
      <w:tr w:rsidR="005F0317" w:rsidRPr="00017722" w14:paraId="5544F2E9"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0ADC23D" w14:textId="3AD62C82" w:rsidR="005F0317" w:rsidRPr="00017722" w:rsidRDefault="005F0317" w:rsidP="007632F4">
            <w:pPr>
              <w:pStyle w:val="Tablebody"/>
              <w:rPr>
                <w:rFonts w:cs="Open Sans"/>
                <w:szCs w:val="18"/>
              </w:rPr>
            </w:pPr>
            <w:r w:rsidRPr="00017722">
              <w:rPr>
                <w:rFonts w:cs="Open Sans"/>
                <w:szCs w:val="18"/>
              </w:rPr>
              <w:t>D14</w:t>
            </w:r>
          </w:p>
        </w:tc>
        <w:tc>
          <w:tcPr>
            <w:tcW w:w="6236" w:type="dxa"/>
          </w:tcPr>
          <w:p w14:paraId="25015EFA" w14:textId="45765C01"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17722">
              <w:rPr>
                <w:rFonts w:cs="Open Sans"/>
                <w:szCs w:val="18"/>
                <w:lang w:val="en-US"/>
              </w:rPr>
              <w:t>Who is more likely to suffer physical harm from domestic violence?</w:t>
            </w:r>
            <w:r w:rsidRPr="00017722">
              <w:rPr>
                <w:rFonts w:ascii="Montserrat" w:hAnsi="Montserrat" w:cs="Montserrat"/>
                <w:szCs w:val="18"/>
                <w:lang w:val="en-US"/>
              </w:rPr>
              <w:t>~</w:t>
            </w:r>
          </w:p>
        </w:tc>
        <w:tc>
          <w:tcPr>
            <w:tcW w:w="1474" w:type="dxa"/>
          </w:tcPr>
          <w:p w14:paraId="40A554DE" w14:textId="68B477F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Young women</w:t>
            </w:r>
          </w:p>
        </w:tc>
        <w:tc>
          <w:tcPr>
            <w:tcW w:w="567" w:type="dxa"/>
          </w:tcPr>
          <w:p w14:paraId="21B5A8E5" w14:textId="6E6B2441"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173</w:t>
            </w:r>
          </w:p>
        </w:tc>
        <w:tc>
          <w:tcPr>
            <w:tcW w:w="1133" w:type="dxa"/>
          </w:tcPr>
          <w:p w14:paraId="511D2C10" w14:textId="1F5AD68A"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2.42</w:t>
            </w:r>
            <w:r w:rsidRPr="00017722">
              <w:rPr>
                <w:rFonts w:cs="Open Sans"/>
                <w:szCs w:val="18"/>
                <w:vertAlign w:val="superscript"/>
              </w:rPr>
              <w:t>a</w:t>
            </w:r>
          </w:p>
        </w:tc>
        <w:tc>
          <w:tcPr>
            <w:tcW w:w="1319" w:type="dxa"/>
          </w:tcPr>
          <w:p w14:paraId="6730379A" w14:textId="7AE5289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25.95</w:t>
            </w:r>
          </w:p>
        </w:tc>
        <w:tc>
          <w:tcPr>
            <w:tcW w:w="1190" w:type="dxa"/>
          </w:tcPr>
          <w:p w14:paraId="3FD20E53" w14:textId="445365D3"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71.63</w:t>
            </w:r>
          </w:p>
        </w:tc>
        <w:tc>
          <w:tcPr>
            <w:tcW w:w="1077" w:type="dxa"/>
          </w:tcPr>
          <w:p w14:paraId="787C57E5" w14:textId="4E762D63"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0.00</w:t>
            </w:r>
          </w:p>
        </w:tc>
      </w:tr>
      <w:tr w:rsidR="005F0317" w:rsidRPr="00017722" w14:paraId="5777F143"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10006BF" w14:textId="77777777" w:rsidR="005F0317" w:rsidRPr="00017722" w:rsidRDefault="005F0317" w:rsidP="007632F4">
            <w:pPr>
              <w:pStyle w:val="Tablebody"/>
              <w:rPr>
                <w:rFonts w:cs="Open Sans"/>
                <w:szCs w:val="18"/>
                <w:lang w:val="en-GB"/>
              </w:rPr>
            </w:pPr>
            <w:r w:rsidRPr="00017722">
              <w:rPr>
                <w:rFonts w:cs="Open Sans"/>
                <w:szCs w:val="18"/>
              </w:rPr>
              <w:t>D15</w:t>
            </w:r>
          </w:p>
        </w:tc>
        <w:tc>
          <w:tcPr>
            <w:tcW w:w="6236" w:type="dxa"/>
          </w:tcPr>
          <w:p w14:paraId="390FA4C1"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lang w:val="en-US"/>
              </w:rPr>
              <w:t>Who is more likely to experience fear as a result of domestic violence?</w:t>
            </w:r>
            <w:r w:rsidRPr="00017722">
              <w:rPr>
                <w:rFonts w:ascii="Montserrat" w:hAnsi="Montserrat" w:cs="Montserrat"/>
                <w:szCs w:val="18"/>
                <w:lang w:val="en-US"/>
              </w:rPr>
              <w:t>~</w:t>
            </w:r>
          </w:p>
        </w:tc>
        <w:tc>
          <w:tcPr>
            <w:tcW w:w="1474" w:type="dxa"/>
          </w:tcPr>
          <w:p w14:paraId="28305203"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Young men</w:t>
            </w:r>
          </w:p>
        </w:tc>
        <w:tc>
          <w:tcPr>
            <w:tcW w:w="567" w:type="dxa"/>
          </w:tcPr>
          <w:p w14:paraId="60C70505" w14:textId="77777777"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213</w:t>
            </w:r>
          </w:p>
        </w:tc>
        <w:tc>
          <w:tcPr>
            <w:tcW w:w="1133" w:type="dxa"/>
          </w:tcPr>
          <w:p w14:paraId="1BE867E0" w14:textId="2A4AA494"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0.33</w:t>
            </w:r>
            <w:r w:rsidRPr="00017722">
              <w:rPr>
                <w:rFonts w:cs="Open Sans"/>
                <w:szCs w:val="18"/>
                <w:vertAlign w:val="superscript"/>
              </w:rPr>
              <w:t>a</w:t>
            </w:r>
          </w:p>
        </w:tc>
        <w:tc>
          <w:tcPr>
            <w:tcW w:w="1319" w:type="dxa"/>
          </w:tcPr>
          <w:p w14:paraId="31AEB7D0" w14:textId="2BAC5723"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45.18</w:t>
            </w:r>
          </w:p>
        </w:tc>
        <w:tc>
          <w:tcPr>
            <w:tcW w:w="1190" w:type="dxa"/>
          </w:tcPr>
          <w:p w14:paraId="0B2C4093" w14:textId="67D2211D"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54.16</w:t>
            </w:r>
          </w:p>
        </w:tc>
        <w:tc>
          <w:tcPr>
            <w:tcW w:w="1077" w:type="dxa"/>
          </w:tcPr>
          <w:p w14:paraId="529C766C" w14:textId="456C8D0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017722">
              <w:rPr>
                <w:rFonts w:cs="Open Sans"/>
                <w:szCs w:val="18"/>
              </w:rPr>
              <w:t>0.00</w:t>
            </w:r>
          </w:p>
        </w:tc>
      </w:tr>
      <w:tr w:rsidR="005F0317" w:rsidRPr="00017722" w14:paraId="08B26C6F" w14:textId="77777777" w:rsidTr="007632F4">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AA3C74A" w14:textId="1B3287E9" w:rsidR="005F0317" w:rsidRPr="00017722" w:rsidRDefault="005F0317" w:rsidP="007632F4">
            <w:pPr>
              <w:pStyle w:val="Tablebody"/>
              <w:rPr>
                <w:rFonts w:cs="Open Sans"/>
                <w:szCs w:val="18"/>
              </w:rPr>
            </w:pPr>
            <w:r w:rsidRPr="00017722">
              <w:rPr>
                <w:rFonts w:cs="Open Sans"/>
                <w:szCs w:val="18"/>
              </w:rPr>
              <w:t>D15</w:t>
            </w:r>
          </w:p>
        </w:tc>
        <w:tc>
          <w:tcPr>
            <w:tcW w:w="6236" w:type="dxa"/>
          </w:tcPr>
          <w:p w14:paraId="282140BE" w14:textId="7C94B794"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017722">
              <w:rPr>
                <w:rFonts w:cs="Open Sans"/>
                <w:szCs w:val="18"/>
                <w:lang w:val="en-US"/>
              </w:rPr>
              <w:t>Who is more likely to experience fear as a result of domestic violence?</w:t>
            </w:r>
            <w:r w:rsidRPr="00017722">
              <w:rPr>
                <w:rFonts w:ascii="Montserrat" w:hAnsi="Montserrat" w:cs="Montserrat"/>
                <w:szCs w:val="18"/>
                <w:lang w:val="en-US"/>
              </w:rPr>
              <w:t>~</w:t>
            </w:r>
          </w:p>
        </w:tc>
        <w:tc>
          <w:tcPr>
            <w:tcW w:w="1474" w:type="dxa"/>
          </w:tcPr>
          <w:p w14:paraId="1EBD9137" w14:textId="7053A2F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Young women</w:t>
            </w:r>
          </w:p>
        </w:tc>
        <w:tc>
          <w:tcPr>
            <w:tcW w:w="567" w:type="dxa"/>
          </w:tcPr>
          <w:p w14:paraId="6978BCCD" w14:textId="53A00E30"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173</w:t>
            </w:r>
          </w:p>
        </w:tc>
        <w:tc>
          <w:tcPr>
            <w:tcW w:w="1133" w:type="dxa"/>
          </w:tcPr>
          <w:p w14:paraId="57EFEBCC" w14:textId="3E4D184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2.35</w:t>
            </w:r>
            <w:r w:rsidRPr="00017722">
              <w:rPr>
                <w:rFonts w:cs="Open Sans"/>
                <w:szCs w:val="18"/>
                <w:vertAlign w:val="superscript"/>
              </w:rPr>
              <w:t>a</w:t>
            </w:r>
          </w:p>
        </w:tc>
        <w:tc>
          <w:tcPr>
            <w:tcW w:w="1319" w:type="dxa"/>
          </w:tcPr>
          <w:p w14:paraId="2A35DD75" w14:textId="2EA981FC"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42.53</w:t>
            </w:r>
          </w:p>
        </w:tc>
        <w:tc>
          <w:tcPr>
            <w:tcW w:w="1190" w:type="dxa"/>
          </w:tcPr>
          <w:p w14:paraId="6F7D9E01" w14:textId="37EC75BE"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55.12</w:t>
            </w:r>
          </w:p>
        </w:tc>
        <w:tc>
          <w:tcPr>
            <w:tcW w:w="1077" w:type="dxa"/>
          </w:tcPr>
          <w:p w14:paraId="412377A9" w14:textId="056DC1A9" w:rsidR="005F0317" w:rsidRPr="00017722" w:rsidRDefault="005F0317" w:rsidP="007632F4">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017722">
              <w:rPr>
                <w:rFonts w:cs="Open Sans"/>
                <w:szCs w:val="18"/>
              </w:rPr>
              <w:t>0.00</w:t>
            </w:r>
          </w:p>
        </w:tc>
      </w:tr>
    </w:tbl>
    <w:p w14:paraId="77A6AA3B" w14:textId="77777777" w:rsidR="005F0317" w:rsidRPr="00017722" w:rsidRDefault="005F0317" w:rsidP="004E69A2">
      <w:pPr>
        <w:pStyle w:val="datatablenote"/>
      </w:pPr>
      <w:r w:rsidRPr="00017722">
        <w:rPr>
          <w:b/>
        </w:rPr>
        <w:t>Note:</w:t>
      </w:r>
      <w:r w:rsidRPr="00017722">
        <w:t xml:space="preserve"> Percentages may not add to 100 as the “unanswered” category is not shown in the table.</w:t>
      </w:r>
    </w:p>
    <w:p w14:paraId="4FDD8627" w14:textId="77777777" w:rsidR="005F0317" w:rsidRPr="00017722" w:rsidRDefault="005F0317" w:rsidP="004E69A2">
      <w:pPr>
        <w:pStyle w:val="datatablenote"/>
      </w:pPr>
      <w:r w:rsidRPr="00017722">
        <w:rPr>
          <w:b/>
        </w:rPr>
        <w:t>a</w:t>
      </w:r>
      <w:r w:rsidRPr="00017722">
        <w:t xml:space="preserve"> This result should be interpreted with caution because it has a relative standard error &gt;25%.</w:t>
      </w:r>
    </w:p>
    <w:p w14:paraId="3B4650B5" w14:textId="77777777" w:rsidR="007632F4" w:rsidRDefault="005F0317" w:rsidP="007632F4">
      <w:pPr>
        <w:pStyle w:val="datatablenote"/>
      </w:pPr>
      <w:r w:rsidRPr="00017722">
        <w:rPr>
          <w:rFonts w:ascii="Montserrat" w:hAnsi="Montserrat" w:cs="Montserrat"/>
        </w:rPr>
        <w:lastRenderedPageBreak/>
        <w:t>~</w:t>
      </w:r>
      <w:r w:rsidRPr="00017722">
        <w:t xml:space="preserve"> Asked of one quarter of the sample.</w:t>
      </w:r>
      <w:bookmarkStart w:id="275" w:name="_Toc187402258"/>
    </w:p>
    <w:p w14:paraId="547C1D7E" w14:textId="08FBB473" w:rsidR="00F00395" w:rsidRPr="00F52515" w:rsidRDefault="00F00395" w:rsidP="007632F4">
      <w:pPr>
        <w:pStyle w:val="TableFigureHeadingTablesandfigures"/>
      </w:pPr>
      <w:r w:rsidRPr="008C29F3">
        <w:t xml:space="preserve">Table </w:t>
      </w:r>
      <w:r w:rsidR="004A7ED7">
        <w:fldChar w:fldCharType="begin"/>
      </w:r>
      <w:r w:rsidR="004A7ED7">
        <w:instrText xml:space="preserve"> STYLEREF 1 \s </w:instrText>
      </w:r>
      <w:r w:rsidR="004A7ED7">
        <w:fldChar w:fldCharType="separate"/>
      </w:r>
      <w:r w:rsidR="004A7ED7" w:rsidRPr="008C29F3">
        <w:t>15</w:t>
      </w:r>
      <w:r w:rsidR="004A7ED7">
        <w:fldChar w:fldCharType="end"/>
      </w:r>
      <w:r w:rsidR="003B15D6" w:rsidRPr="00F52515">
        <w:t>-</w:t>
      </w:r>
      <w:r w:rsidR="004A7ED7">
        <w:fldChar w:fldCharType="begin"/>
      </w:r>
      <w:r w:rsidR="004A7ED7">
        <w:instrText xml:space="preserve"> SEQ Table \* ARABIC \s 1 </w:instrText>
      </w:r>
      <w:r w:rsidR="004A7ED7">
        <w:fldChar w:fldCharType="separate"/>
      </w:r>
      <w:r w:rsidR="004A7ED7" w:rsidRPr="008C29F3">
        <w:t>3</w:t>
      </w:r>
      <w:r w:rsidR="004A7ED7">
        <w:fldChar w:fldCharType="end"/>
      </w:r>
      <w:r w:rsidRPr="008C29F3">
        <w:t xml:space="preserve">: </w:t>
      </w:r>
      <w:r w:rsidR="007134A4" w:rsidRPr="008C29F3">
        <w:tab/>
      </w:r>
      <w:r w:rsidRPr="008C29F3">
        <w:t>Additional knowledge items by gender, young men and women (not part of any scale), 2021</w:t>
      </w:r>
      <w:bookmarkEnd w:id="275"/>
    </w:p>
    <w:p w14:paraId="6C9EA692" w14:textId="0ADAF0F4" w:rsidR="00A27C1D" w:rsidRPr="00A27C1D" w:rsidRDefault="00A27C1D" w:rsidP="007632F4">
      <w:pPr>
        <w:pStyle w:val="Tablesubheading0"/>
      </w:pPr>
      <w:r>
        <w:t xml:space="preserve">Area of knowledge: </w:t>
      </w:r>
      <w:r w:rsidRPr="00F00395">
        <w:t>Knowledge of domestic violence support</w:t>
      </w:r>
    </w:p>
    <w:tbl>
      <w:tblPr>
        <w:tblStyle w:val="Table-SingleHeaderRow"/>
        <w:tblW w:w="14967" w:type="dxa"/>
        <w:tblLayout w:type="fixed"/>
        <w:tblLook w:val="00A0" w:firstRow="1" w:lastRow="0" w:firstColumn="1" w:lastColumn="0" w:noHBand="0" w:noVBand="0"/>
      </w:tblPr>
      <w:tblGrid>
        <w:gridCol w:w="737"/>
        <w:gridCol w:w="3685"/>
        <w:gridCol w:w="1474"/>
        <w:gridCol w:w="453"/>
        <w:gridCol w:w="1021"/>
        <w:gridCol w:w="1190"/>
        <w:gridCol w:w="1134"/>
        <w:gridCol w:w="1191"/>
        <w:gridCol w:w="1020"/>
        <w:gridCol w:w="964"/>
        <w:gridCol w:w="1020"/>
        <w:gridCol w:w="1078"/>
      </w:tblGrid>
      <w:tr w:rsidR="001B1190" w:rsidRPr="00F00395" w14:paraId="4B43FBDA"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46D5BADC" w14:textId="77777777" w:rsidR="00A27C1D" w:rsidRPr="00F00395" w:rsidRDefault="00A27C1D" w:rsidP="00962748">
            <w:pPr>
              <w:pStyle w:val="Tablebody"/>
              <w:rPr>
                <w:b w:val="0"/>
              </w:rPr>
            </w:pPr>
            <w:r w:rsidRPr="00F00395">
              <w:t>Code</w:t>
            </w:r>
          </w:p>
        </w:tc>
        <w:tc>
          <w:tcPr>
            <w:tcW w:w="3685" w:type="dxa"/>
          </w:tcPr>
          <w:p w14:paraId="106E6A0F"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Abbreviated item wording</w:t>
            </w:r>
          </w:p>
        </w:tc>
        <w:tc>
          <w:tcPr>
            <w:tcW w:w="1474" w:type="dxa"/>
          </w:tcPr>
          <w:p w14:paraId="76E776A5"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Gender</w:t>
            </w:r>
          </w:p>
        </w:tc>
        <w:tc>
          <w:tcPr>
            <w:tcW w:w="453" w:type="dxa"/>
          </w:tcPr>
          <w:p w14:paraId="28BF96CC"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rPr>
                <w:rFonts w:ascii="Open Sans SemiBold" w:hAnsi="Open Sans SemiBold" w:cs="Open Sans SemiBold"/>
                <w:i/>
                <w:iCs/>
                <w:lang w:val="en-US"/>
              </w:rPr>
              <w:t>N</w:t>
            </w:r>
          </w:p>
        </w:tc>
        <w:tc>
          <w:tcPr>
            <w:tcW w:w="1021" w:type="dxa"/>
          </w:tcPr>
          <w:p w14:paraId="5908D784"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Strongly agree</w:t>
            </w:r>
          </w:p>
        </w:tc>
        <w:tc>
          <w:tcPr>
            <w:tcW w:w="1190" w:type="dxa"/>
          </w:tcPr>
          <w:p w14:paraId="4340C0C3"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Somewhat agree</w:t>
            </w:r>
          </w:p>
        </w:tc>
        <w:tc>
          <w:tcPr>
            <w:tcW w:w="1134" w:type="dxa"/>
          </w:tcPr>
          <w:p w14:paraId="262FE291"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Neither agree nor disagree</w:t>
            </w:r>
          </w:p>
        </w:tc>
        <w:tc>
          <w:tcPr>
            <w:tcW w:w="1191" w:type="dxa"/>
          </w:tcPr>
          <w:p w14:paraId="16139378"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Somewhat disagree</w:t>
            </w:r>
          </w:p>
        </w:tc>
        <w:tc>
          <w:tcPr>
            <w:tcW w:w="1020" w:type="dxa"/>
          </w:tcPr>
          <w:p w14:paraId="080D1E51"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Strongly disagree</w:t>
            </w:r>
          </w:p>
        </w:tc>
        <w:tc>
          <w:tcPr>
            <w:tcW w:w="964" w:type="dxa"/>
          </w:tcPr>
          <w:p w14:paraId="7A50B3FB"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Unsure</w:t>
            </w:r>
          </w:p>
        </w:tc>
        <w:tc>
          <w:tcPr>
            <w:tcW w:w="1020" w:type="dxa"/>
          </w:tcPr>
          <w:p w14:paraId="0515AAFC"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Net agree</w:t>
            </w:r>
            <w:r w:rsidRPr="00F00395">
              <w:rPr>
                <w:vertAlign w:val="superscript"/>
              </w:rPr>
              <w:t>a</w:t>
            </w:r>
          </w:p>
        </w:tc>
        <w:tc>
          <w:tcPr>
            <w:tcW w:w="1078" w:type="dxa"/>
          </w:tcPr>
          <w:p w14:paraId="2B4D3055"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Net disagree</w:t>
            </w:r>
            <w:r w:rsidRPr="00F00395">
              <w:rPr>
                <w:vertAlign w:val="superscript"/>
              </w:rPr>
              <w:t>b</w:t>
            </w:r>
          </w:p>
        </w:tc>
      </w:tr>
      <w:tr w:rsidR="005F0317" w:rsidRPr="00F00395" w14:paraId="6EE6599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C99B132" w14:textId="77777777" w:rsidR="005F0317" w:rsidRPr="00F00395" w:rsidRDefault="005F0317" w:rsidP="00962748">
            <w:pPr>
              <w:pStyle w:val="Tablebody"/>
              <w:rPr>
                <w:rFonts w:cs="Open Sans"/>
                <w:szCs w:val="18"/>
              </w:rPr>
            </w:pPr>
            <w:r w:rsidRPr="00F00395">
              <w:rPr>
                <w:rFonts w:cs="Open Sans"/>
                <w:szCs w:val="18"/>
              </w:rPr>
              <w:t>D33</w:t>
            </w:r>
          </w:p>
        </w:tc>
        <w:tc>
          <w:tcPr>
            <w:tcW w:w="3685" w:type="dxa"/>
          </w:tcPr>
          <w:p w14:paraId="3F2FAFCB" w14:textId="17B45308"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Would know where to</w:t>
            </w:r>
            <w:r>
              <w:rPr>
                <w:rFonts w:cs="Open Sans"/>
                <w:szCs w:val="18"/>
              </w:rPr>
              <w:t xml:space="preserve"> </w:t>
            </w:r>
            <w:r w:rsidRPr="00F00395">
              <w:rPr>
                <w:rFonts w:cs="Open Sans"/>
                <w:szCs w:val="18"/>
              </w:rPr>
              <w:t>get outside advice</w:t>
            </w:r>
            <w:r w:rsidR="00553047">
              <w:rPr>
                <w:rFonts w:cs="Open Sans"/>
                <w:szCs w:val="18"/>
              </w:rPr>
              <w:t> </w:t>
            </w:r>
            <w:r w:rsidRPr="00F00395">
              <w:rPr>
                <w:rFonts w:cs="Open Sans"/>
                <w:szCs w:val="18"/>
              </w:rPr>
              <w:t>or</w:t>
            </w:r>
            <w:r>
              <w:rPr>
                <w:rFonts w:cs="Open Sans"/>
                <w:szCs w:val="18"/>
              </w:rPr>
              <w:t xml:space="preserve"> </w:t>
            </w:r>
            <w:r w:rsidRPr="00F00395">
              <w:rPr>
                <w:rFonts w:cs="Open Sans"/>
                <w:szCs w:val="18"/>
              </w:rPr>
              <w:t>support for someone</w:t>
            </w:r>
            <w:r>
              <w:rPr>
                <w:rFonts w:cs="Open Sans"/>
                <w:szCs w:val="18"/>
              </w:rPr>
              <w:t xml:space="preserve"> </w:t>
            </w:r>
            <w:r w:rsidRPr="00F00395">
              <w:rPr>
                <w:rFonts w:cs="Open Sans"/>
                <w:szCs w:val="18"/>
              </w:rPr>
              <w:t>about domestic</w:t>
            </w:r>
            <w:r w:rsidR="00553047">
              <w:rPr>
                <w:rFonts w:cs="Open Sans"/>
                <w:szCs w:val="18"/>
              </w:rPr>
              <w:t> </w:t>
            </w:r>
            <w:r w:rsidRPr="00F00395">
              <w:rPr>
                <w:rFonts w:cs="Open Sans"/>
                <w:szCs w:val="18"/>
              </w:rPr>
              <w:t>violence</w:t>
            </w:r>
            <w:r w:rsidRPr="00F00395">
              <w:rPr>
                <w:rFonts w:ascii="Montserrat" w:hAnsi="Montserrat" w:cs="Montserrat"/>
                <w:szCs w:val="18"/>
                <w:lang w:val="en-US"/>
              </w:rPr>
              <w:t>~</w:t>
            </w:r>
          </w:p>
        </w:tc>
        <w:tc>
          <w:tcPr>
            <w:tcW w:w="1474" w:type="dxa"/>
          </w:tcPr>
          <w:p w14:paraId="2377D66A" w14:textId="77777777"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men</w:t>
            </w:r>
          </w:p>
        </w:tc>
        <w:tc>
          <w:tcPr>
            <w:tcW w:w="453" w:type="dxa"/>
          </w:tcPr>
          <w:p w14:paraId="476967EA" w14:textId="77777777"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251</w:t>
            </w:r>
          </w:p>
        </w:tc>
        <w:tc>
          <w:tcPr>
            <w:tcW w:w="1021" w:type="dxa"/>
          </w:tcPr>
          <w:p w14:paraId="54B690A6" w14:textId="2320F4C1"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21.88</w:t>
            </w:r>
          </w:p>
        </w:tc>
        <w:tc>
          <w:tcPr>
            <w:tcW w:w="1190" w:type="dxa"/>
          </w:tcPr>
          <w:p w14:paraId="4EBC0B96" w14:textId="51CED43A"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37.73</w:t>
            </w:r>
          </w:p>
        </w:tc>
        <w:tc>
          <w:tcPr>
            <w:tcW w:w="1134" w:type="dxa"/>
          </w:tcPr>
          <w:p w14:paraId="0ED784D1" w14:textId="259834BD"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0.28</w:t>
            </w:r>
            <w:r w:rsidRPr="00F00395">
              <w:rPr>
                <w:rFonts w:cs="Open Sans"/>
                <w:sz w:val="16"/>
                <w:szCs w:val="16"/>
                <w:vertAlign w:val="superscript"/>
              </w:rPr>
              <w:t>c</w:t>
            </w:r>
          </w:p>
        </w:tc>
        <w:tc>
          <w:tcPr>
            <w:tcW w:w="1191" w:type="dxa"/>
          </w:tcPr>
          <w:p w14:paraId="40944C56" w14:textId="164CF16D"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29.35</w:t>
            </w:r>
          </w:p>
        </w:tc>
        <w:tc>
          <w:tcPr>
            <w:tcW w:w="1020" w:type="dxa"/>
          </w:tcPr>
          <w:p w14:paraId="26F56F7B" w14:textId="16CD8615"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9.65</w:t>
            </w:r>
          </w:p>
        </w:tc>
        <w:tc>
          <w:tcPr>
            <w:tcW w:w="964" w:type="dxa"/>
          </w:tcPr>
          <w:p w14:paraId="304629DC" w14:textId="538A44F4"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0.82</w:t>
            </w:r>
            <w:r w:rsidRPr="00F00395">
              <w:rPr>
                <w:rFonts w:cs="Open Sans"/>
                <w:szCs w:val="18"/>
                <w:vertAlign w:val="superscript"/>
              </w:rPr>
              <w:t>c</w:t>
            </w:r>
          </w:p>
        </w:tc>
        <w:tc>
          <w:tcPr>
            <w:tcW w:w="1020" w:type="dxa"/>
          </w:tcPr>
          <w:p w14:paraId="0FE5C2E6" w14:textId="552C9108"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59.61</w:t>
            </w:r>
          </w:p>
        </w:tc>
        <w:tc>
          <w:tcPr>
            <w:tcW w:w="1078" w:type="dxa"/>
          </w:tcPr>
          <w:p w14:paraId="54A23C0B" w14:textId="428A54CA"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39.00</w:t>
            </w:r>
          </w:p>
        </w:tc>
      </w:tr>
      <w:tr w:rsidR="00553047" w:rsidRPr="00F00395" w14:paraId="13E3F9B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9A8213D" w14:textId="30BA5039" w:rsidR="00553047" w:rsidRPr="00F00395" w:rsidRDefault="00553047" w:rsidP="00962748">
            <w:pPr>
              <w:pStyle w:val="Tablebody"/>
              <w:rPr>
                <w:rFonts w:cs="Open Sans"/>
                <w:szCs w:val="18"/>
              </w:rPr>
            </w:pPr>
            <w:r w:rsidRPr="00F00395">
              <w:rPr>
                <w:rFonts w:cs="Open Sans"/>
                <w:szCs w:val="18"/>
              </w:rPr>
              <w:t>D33</w:t>
            </w:r>
          </w:p>
        </w:tc>
        <w:tc>
          <w:tcPr>
            <w:tcW w:w="3685" w:type="dxa"/>
          </w:tcPr>
          <w:p w14:paraId="421017D9" w14:textId="2E136D24"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Would know where to</w:t>
            </w:r>
            <w:r>
              <w:rPr>
                <w:rFonts w:cs="Open Sans"/>
                <w:szCs w:val="18"/>
              </w:rPr>
              <w:t xml:space="preserve"> </w:t>
            </w:r>
            <w:r w:rsidRPr="00F00395">
              <w:rPr>
                <w:rFonts w:cs="Open Sans"/>
                <w:szCs w:val="18"/>
              </w:rPr>
              <w:t>get outside advice</w:t>
            </w:r>
            <w:r>
              <w:rPr>
                <w:rFonts w:cs="Open Sans"/>
                <w:szCs w:val="18"/>
              </w:rPr>
              <w:t> </w:t>
            </w:r>
            <w:r w:rsidRPr="00F00395">
              <w:rPr>
                <w:rFonts w:cs="Open Sans"/>
                <w:szCs w:val="18"/>
              </w:rPr>
              <w:t>or</w:t>
            </w:r>
            <w:r>
              <w:rPr>
                <w:rFonts w:cs="Open Sans"/>
                <w:szCs w:val="18"/>
              </w:rPr>
              <w:t xml:space="preserve"> </w:t>
            </w:r>
            <w:r w:rsidRPr="00F00395">
              <w:rPr>
                <w:rFonts w:cs="Open Sans"/>
                <w:szCs w:val="18"/>
              </w:rPr>
              <w:t>support for someone</w:t>
            </w:r>
            <w:r>
              <w:rPr>
                <w:rFonts w:cs="Open Sans"/>
                <w:szCs w:val="18"/>
              </w:rPr>
              <w:t xml:space="preserve"> </w:t>
            </w:r>
            <w:r w:rsidRPr="00F00395">
              <w:rPr>
                <w:rFonts w:cs="Open Sans"/>
                <w:szCs w:val="18"/>
              </w:rPr>
              <w:t>about domestic</w:t>
            </w:r>
            <w:r>
              <w:rPr>
                <w:rFonts w:cs="Open Sans"/>
                <w:szCs w:val="18"/>
              </w:rPr>
              <w:t> </w:t>
            </w:r>
            <w:r w:rsidRPr="00F00395">
              <w:rPr>
                <w:rFonts w:cs="Open Sans"/>
                <w:szCs w:val="18"/>
              </w:rPr>
              <w:t>violence</w:t>
            </w:r>
            <w:r w:rsidRPr="00F00395">
              <w:rPr>
                <w:rFonts w:ascii="Montserrat" w:hAnsi="Montserrat" w:cs="Montserrat"/>
                <w:szCs w:val="18"/>
                <w:lang w:val="en-US"/>
              </w:rPr>
              <w:t>~</w:t>
            </w:r>
          </w:p>
        </w:tc>
        <w:tc>
          <w:tcPr>
            <w:tcW w:w="1474" w:type="dxa"/>
          </w:tcPr>
          <w:p w14:paraId="7E6FAEE1" w14:textId="0A18AF99"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women</w:t>
            </w:r>
          </w:p>
        </w:tc>
        <w:tc>
          <w:tcPr>
            <w:tcW w:w="453" w:type="dxa"/>
          </w:tcPr>
          <w:p w14:paraId="1D94DFC8" w14:textId="70153A46"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190</w:t>
            </w:r>
          </w:p>
        </w:tc>
        <w:tc>
          <w:tcPr>
            <w:tcW w:w="1021" w:type="dxa"/>
          </w:tcPr>
          <w:p w14:paraId="7359C0D0" w14:textId="79698A62"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26.64</w:t>
            </w:r>
          </w:p>
        </w:tc>
        <w:tc>
          <w:tcPr>
            <w:tcW w:w="1190" w:type="dxa"/>
          </w:tcPr>
          <w:p w14:paraId="5546DE80" w14:textId="60EED4A6"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44.84</w:t>
            </w:r>
          </w:p>
        </w:tc>
        <w:tc>
          <w:tcPr>
            <w:tcW w:w="1134" w:type="dxa"/>
          </w:tcPr>
          <w:p w14:paraId="1AD2C6EB" w14:textId="4560D8AB"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0.78</w:t>
            </w:r>
            <w:r w:rsidRPr="00F00395">
              <w:rPr>
                <w:rFonts w:cs="Open Sans"/>
                <w:sz w:val="16"/>
                <w:szCs w:val="16"/>
                <w:vertAlign w:val="superscript"/>
              </w:rPr>
              <w:t>c</w:t>
            </w:r>
          </w:p>
        </w:tc>
        <w:tc>
          <w:tcPr>
            <w:tcW w:w="1191" w:type="dxa"/>
          </w:tcPr>
          <w:p w14:paraId="2325E6DC" w14:textId="2F64F555"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21.73</w:t>
            </w:r>
          </w:p>
        </w:tc>
        <w:tc>
          <w:tcPr>
            <w:tcW w:w="1020" w:type="dxa"/>
          </w:tcPr>
          <w:p w14:paraId="00165653" w14:textId="4F249638"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6.01</w:t>
            </w:r>
            <w:r w:rsidRPr="00F00395">
              <w:rPr>
                <w:rFonts w:cs="Open Sans"/>
                <w:szCs w:val="18"/>
                <w:vertAlign w:val="superscript"/>
              </w:rPr>
              <w:t>c</w:t>
            </w:r>
          </w:p>
        </w:tc>
        <w:tc>
          <w:tcPr>
            <w:tcW w:w="964" w:type="dxa"/>
          </w:tcPr>
          <w:p w14:paraId="73FA5DCE" w14:textId="49A3C21A"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0.00</w:t>
            </w:r>
          </w:p>
        </w:tc>
        <w:tc>
          <w:tcPr>
            <w:tcW w:w="1020" w:type="dxa"/>
          </w:tcPr>
          <w:p w14:paraId="66ED95C1" w14:textId="2A5A3E88"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71.48</w:t>
            </w:r>
          </w:p>
        </w:tc>
        <w:tc>
          <w:tcPr>
            <w:tcW w:w="1078" w:type="dxa"/>
          </w:tcPr>
          <w:p w14:paraId="43970692" w14:textId="631DAE23"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27.75</w:t>
            </w:r>
          </w:p>
        </w:tc>
      </w:tr>
    </w:tbl>
    <w:p w14:paraId="6516C11C" w14:textId="249D1A07" w:rsidR="00A27C1D" w:rsidRDefault="00A27C1D" w:rsidP="007632F4">
      <w:pPr>
        <w:pStyle w:val="Tablesubheading0"/>
      </w:pPr>
      <w:r w:rsidRPr="008C29F3">
        <w:rPr>
          <w:lang w:val="en-AU"/>
        </w:rPr>
        <w:t>Area of knowledge:</w:t>
      </w:r>
      <w:r w:rsidRPr="00A27C1D">
        <w:t xml:space="preserve"> </w:t>
      </w:r>
      <w:r w:rsidRPr="00F00395">
        <w:t>Stranger vs. acquaintance rape</w:t>
      </w:r>
    </w:p>
    <w:tbl>
      <w:tblPr>
        <w:tblStyle w:val="Table-SingleHeaderRow"/>
        <w:tblW w:w="14967" w:type="dxa"/>
        <w:tblLayout w:type="fixed"/>
        <w:tblLook w:val="00A0" w:firstRow="1" w:lastRow="0" w:firstColumn="1" w:lastColumn="0" w:noHBand="0" w:noVBand="0"/>
      </w:tblPr>
      <w:tblGrid>
        <w:gridCol w:w="737"/>
        <w:gridCol w:w="3685"/>
        <w:gridCol w:w="1474"/>
        <w:gridCol w:w="453"/>
        <w:gridCol w:w="1021"/>
        <w:gridCol w:w="1190"/>
        <w:gridCol w:w="1134"/>
        <w:gridCol w:w="1191"/>
        <w:gridCol w:w="1020"/>
        <w:gridCol w:w="964"/>
        <w:gridCol w:w="1020"/>
        <w:gridCol w:w="1078"/>
      </w:tblGrid>
      <w:tr w:rsidR="001B1190" w:rsidRPr="00F00395" w14:paraId="0C5F2294" w14:textId="77777777" w:rsidTr="00962748">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737" w:type="dxa"/>
          </w:tcPr>
          <w:p w14:paraId="465A042C" w14:textId="77777777" w:rsidR="00A27C1D" w:rsidRPr="00F00395" w:rsidRDefault="00A27C1D" w:rsidP="00962748">
            <w:pPr>
              <w:pStyle w:val="Tablebody"/>
              <w:rPr>
                <w:b w:val="0"/>
              </w:rPr>
            </w:pPr>
            <w:r w:rsidRPr="00F00395">
              <w:t>Code</w:t>
            </w:r>
          </w:p>
        </w:tc>
        <w:tc>
          <w:tcPr>
            <w:tcW w:w="3685" w:type="dxa"/>
          </w:tcPr>
          <w:p w14:paraId="065EE048"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Abbreviated item wording</w:t>
            </w:r>
          </w:p>
        </w:tc>
        <w:tc>
          <w:tcPr>
            <w:tcW w:w="1474" w:type="dxa"/>
          </w:tcPr>
          <w:p w14:paraId="00CEEAE6"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Gender</w:t>
            </w:r>
          </w:p>
        </w:tc>
        <w:tc>
          <w:tcPr>
            <w:tcW w:w="453" w:type="dxa"/>
          </w:tcPr>
          <w:p w14:paraId="1D162AA3"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rPr>
                <w:rFonts w:ascii="Open Sans SemiBold" w:hAnsi="Open Sans SemiBold" w:cs="Open Sans SemiBold"/>
                <w:i/>
                <w:iCs/>
                <w:lang w:val="en-US"/>
              </w:rPr>
              <w:t>N</w:t>
            </w:r>
          </w:p>
        </w:tc>
        <w:tc>
          <w:tcPr>
            <w:tcW w:w="1021" w:type="dxa"/>
          </w:tcPr>
          <w:p w14:paraId="766E61B7"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Strongly agree</w:t>
            </w:r>
          </w:p>
        </w:tc>
        <w:tc>
          <w:tcPr>
            <w:tcW w:w="1190" w:type="dxa"/>
          </w:tcPr>
          <w:p w14:paraId="03A79F29"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Somewhat agree</w:t>
            </w:r>
          </w:p>
        </w:tc>
        <w:tc>
          <w:tcPr>
            <w:tcW w:w="1134" w:type="dxa"/>
          </w:tcPr>
          <w:p w14:paraId="50919287"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Neither agree nor disagree</w:t>
            </w:r>
          </w:p>
        </w:tc>
        <w:tc>
          <w:tcPr>
            <w:tcW w:w="1191" w:type="dxa"/>
          </w:tcPr>
          <w:p w14:paraId="7BAF2C71"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Somewhat disagree</w:t>
            </w:r>
          </w:p>
        </w:tc>
        <w:tc>
          <w:tcPr>
            <w:tcW w:w="1020" w:type="dxa"/>
          </w:tcPr>
          <w:p w14:paraId="0A48DE5E"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Strongly disagree</w:t>
            </w:r>
          </w:p>
        </w:tc>
        <w:tc>
          <w:tcPr>
            <w:tcW w:w="964" w:type="dxa"/>
          </w:tcPr>
          <w:p w14:paraId="2887849B"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Unsure</w:t>
            </w:r>
          </w:p>
        </w:tc>
        <w:tc>
          <w:tcPr>
            <w:tcW w:w="1020" w:type="dxa"/>
          </w:tcPr>
          <w:p w14:paraId="71F6FA95"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Net agree</w:t>
            </w:r>
            <w:r w:rsidRPr="00F00395">
              <w:rPr>
                <w:vertAlign w:val="superscript"/>
              </w:rPr>
              <w:t>a</w:t>
            </w:r>
          </w:p>
        </w:tc>
        <w:tc>
          <w:tcPr>
            <w:tcW w:w="1078" w:type="dxa"/>
          </w:tcPr>
          <w:p w14:paraId="2AF822E3" w14:textId="77777777" w:rsidR="00A27C1D" w:rsidRPr="00F00395" w:rsidRDefault="00A27C1D"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F00395">
              <w:t>% Net disagree</w:t>
            </w:r>
            <w:r w:rsidRPr="00F00395">
              <w:rPr>
                <w:vertAlign w:val="superscript"/>
              </w:rPr>
              <w:t>b</w:t>
            </w:r>
          </w:p>
        </w:tc>
      </w:tr>
      <w:tr w:rsidR="005F0317" w:rsidRPr="00F00395" w14:paraId="4BE156B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BDAEF8B" w14:textId="77777777" w:rsidR="005F0317" w:rsidRPr="00F00395" w:rsidRDefault="005F0317" w:rsidP="00962748">
            <w:pPr>
              <w:pStyle w:val="Tablebody"/>
              <w:rPr>
                <w:rFonts w:cs="Open Sans"/>
                <w:szCs w:val="18"/>
              </w:rPr>
            </w:pPr>
            <w:r w:rsidRPr="00F00395">
              <w:rPr>
                <w:rFonts w:cs="Open Sans"/>
                <w:szCs w:val="18"/>
              </w:rPr>
              <w:t>S16</w:t>
            </w:r>
          </w:p>
        </w:tc>
        <w:tc>
          <w:tcPr>
            <w:tcW w:w="3685" w:type="dxa"/>
          </w:tcPr>
          <w:p w14:paraId="1924AC46" w14:textId="71B94D9B"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Women are more</w:t>
            </w:r>
            <w:r>
              <w:rPr>
                <w:rFonts w:cs="Open Sans"/>
                <w:szCs w:val="18"/>
              </w:rPr>
              <w:t xml:space="preserve"> </w:t>
            </w:r>
            <w:r w:rsidRPr="00F00395">
              <w:rPr>
                <w:rFonts w:cs="Open Sans"/>
                <w:szCs w:val="18"/>
              </w:rPr>
              <w:t>likely to be raped by</w:t>
            </w:r>
            <w:r>
              <w:rPr>
                <w:rFonts w:cs="Open Sans"/>
                <w:szCs w:val="18"/>
              </w:rPr>
              <w:t xml:space="preserve"> </w:t>
            </w:r>
            <w:r w:rsidRPr="00F00395">
              <w:rPr>
                <w:rFonts w:cs="Open Sans"/>
                <w:szCs w:val="18"/>
              </w:rPr>
              <w:t>someone they know</w:t>
            </w:r>
            <w:r>
              <w:rPr>
                <w:rFonts w:cs="Open Sans"/>
                <w:szCs w:val="18"/>
              </w:rPr>
              <w:t xml:space="preserve"> </w:t>
            </w:r>
            <w:r w:rsidRPr="00F00395">
              <w:rPr>
                <w:rFonts w:cs="Open Sans"/>
                <w:szCs w:val="18"/>
              </w:rPr>
              <w:t>than by a stranger</w:t>
            </w:r>
            <w:r w:rsidRPr="00F00395">
              <w:rPr>
                <w:rFonts w:ascii="Montserrat" w:hAnsi="Montserrat" w:cs="Montserrat"/>
                <w:szCs w:val="18"/>
                <w:lang w:val="en-US"/>
              </w:rPr>
              <w:t>~</w:t>
            </w:r>
          </w:p>
        </w:tc>
        <w:tc>
          <w:tcPr>
            <w:tcW w:w="1474" w:type="dxa"/>
          </w:tcPr>
          <w:p w14:paraId="2EF1A7D0" w14:textId="77777777"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men</w:t>
            </w:r>
          </w:p>
        </w:tc>
        <w:tc>
          <w:tcPr>
            <w:tcW w:w="453" w:type="dxa"/>
          </w:tcPr>
          <w:p w14:paraId="07BF9AC0" w14:textId="77777777"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213</w:t>
            </w:r>
          </w:p>
        </w:tc>
        <w:tc>
          <w:tcPr>
            <w:tcW w:w="1021" w:type="dxa"/>
          </w:tcPr>
          <w:p w14:paraId="12ED8E59" w14:textId="672B9EAF"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25.98</w:t>
            </w:r>
          </w:p>
        </w:tc>
        <w:tc>
          <w:tcPr>
            <w:tcW w:w="1190" w:type="dxa"/>
          </w:tcPr>
          <w:p w14:paraId="0099A227" w14:textId="6057A72D"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39.68</w:t>
            </w:r>
          </w:p>
        </w:tc>
        <w:tc>
          <w:tcPr>
            <w:tcW w:w="1134" w:type="dxa"/>
          </w:tcPr>
          <w:p w14:paraId="73F505AA" w14:textId="7A8424B2"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2.74</w:t>
            </w:r>
            <w:r w:rsidRPr="00F00395">
              <w:rPr>
                <w:rFonts w:cs="Open Sans"/>
                <w:sz w:val="16"/>
                <w:szCs w:val="16"/>
                <w:vertAlign w:val="superscript"/>
              </w:rPr>
              <w:t>c</w:t>
            </w:r>
          </w:p>
        </w:tc>
        <w:tc>
          <w:tcPr>
            <w:tcW w:w="1191" w:type="dxa"/>
          </w:tcPr>
          <w:p w14:paraId="58186DE4" w14:textId="5145EE54"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15.31</w:t>
            </w:r>
          </w:p>
        </w:tc>
        <w:tc>
          <w:tcPr>
            <w:tcW w:w="1020" w:type="dxa"/>
          </w:tcPr>
          <w:p w14:paraId="7B90A544" w14:textId="67B3CCB3"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5.69</w:t>
            </w:r>
            <w:r w:rsidRPr="00F00395">
              <w:rPr>
                <w:rFonts w:cs="Open Sans"/>
                <w:szCs w:val="18"/>
                <w:vertAlign w:val="superscript"/>
              </w:rPr>
              <w:t>c</w:t>
            </w:r>
          </w:p>
        </w:tc>
        <w:tc>
          <w:tcPr>
            <w:tcW w:w="964" w:type="dxa"/>
          </w:tcPr>
          <w:p w14:paraId="4B558784" w14:textId="7284802E"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9.62</w:t>
            </w:r>
          </w:p>
        </w:tc>
        <w:tc>
          <w:tcPr>
            <w:tcW w:w="1020" w:type="dxa"/>
          </w:tcPr>
          <w:p w14:paraId="522534C3" w14:textId="43C01699"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65.66*</w:t>
            </w:r>
          </w:p>
        </w:tc>
        <w:tc>
          <w:tcPr>
            <w:tcW w:w="1078" w:type="dxa"/>
          </w:tcPr>
          <w:p w14:paraId="7B677ADC" w14:textId="00C2432A" w:rsidR="005F0317" w:rsidRPr="00F00395" w:rsidRDefault="005F0317"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21.00</w:t>
            </w:r>
          </w:p>
        </w:tc>
      </w:tr>
      <w:tr w:rsidR="00553047" w:rsidRPr="00F00395" w14:paraId="10D4E15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70CFA13" w14:textId="03404161" w:rsidR="00553047" w:rsidRPr="00F00395" w:rsidRDefault="00553047" w:rsidP="00962748">
            <w:pPr>
              <w:pStyle w:val="Tablebody"/>
              <w:rPr>
                <w:rFonts w:cs="Open Sans"/>
                <w:szCs w:val="18"/>
              </w:rPr>
            </w:pPr>
            <w:r w:rsidRPr="00F00395">
              <w:rPr>
                <w:rFonts w:cs="Open Sans"/>
                <w:szCs w:val="18"/>
              </w:rPr>
              <w:t>S16</w:t>
            </w:r>
          </w:p>
        </w:tc>
        <w:tc>
          <w:tcPr>
            <w:tcW w:w="3685" w:type="dxa"/>
          </w:tcPr>
          <w:p w14:paraId="27E2912E" w14:textId="41C6EA20"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Women are more</w:t>
            </w:r>
            <w:r>
              <w:rPr>
                <w:rFonts w:cs="Open Sans"/>
                <w:szCs w:val="18"/>
              </w:rPr>
              <w:t xml:space="preserve"> </w:t>
            </w:r>
            <w:r w:rsidRPr="00F00395">
              <w:rPr>
                <w:rFonts w:cs="Open Sans"/>
                <w:szCs w:val="18"/>
              </w:rPr>
              <w:t>likely to be raped by</w:t>
            </w:r>
            <w:r>
              <w:rPr>
                <w:rFonts w:cs="Open Sans"/>
                <w:szCs w:val="18"/>
              </w:rPr>
              <w:t xml:space="preserve"> </w:t>
            </w:r>
            <w:r w:rsidRPr="00F00395">
              <w:rPr>
                <w:rFonts w:cs="Open Sans"/>
                <w:szCs w:val="18"/>
              </w:rPr>
              <w:t>someone they know</w:t>
            </w:r>
            <w:r>
              <w:rPr>
                <w:rFonts w:cs="Open Sans"/>
                <w:szCs w:val="18"/>
              </w:rPr>
              <w:t xml:space="preserve"> </w:t>
            </w:r>
            <w:r w:rsidRPr="00F00395">
              <w:rPr>
                <w:rFonts w:cs="Open Sans"/>
                <w:szCs w:val="18"/>
              </w:rPr>
              <w:t>than by a stranger</w:t>
            </w:r>
            <w:r w:rsidRPr="00F00395">
              <w:rPr>
                <w:rFonts w:ascii="Montserrat" w:hAnsi="Montserrat" w:cs="Montserrat"/>
                <w:szCs w:val="18"/>
                <w:lang w:val="en-US"/>
              </w:rPr>
              <w:t>~</w:t>
            </w:r>
          </w:p>
        </w:tc>
        <w:tc>
          <w:tcPr>
            <w:tcW w:w="1474" w:type="dxa"/>
          </w:tcPr>
          <w:p w14:paraId="39E8693A" w14:textId="07109F00"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women</w:t>
            </w:r>
          </w:p>
        </w:tc>
        <w:tc>
          <w:tcPr>
            <w:tcW w:w="453" w:type="dxa"/>
          </w:tcPr>
          <w:p w14:paraId="2419B5E8" w14:textId="23B08085"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173</w:t>
            </w:r>
          </w:p>
        </w:tc>
        <w:tc>
          <w:tcPr>
            <w:tcW w:w="1021" w:type="dxa"/>
          </w:tcPr>
          <w:p w14:paraId="096444F9" w14:textId="453F26AA"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36.96</w:t>
            </w:r>
          </w:p>
        </w:tc>
        <w:tc>
          <w:tcPr>
            <w:tcW w:w="1190" w:type="dxa"/>
          </w:tcPr>
          <w:p w14:paraId="66B6C711" w14:textId="22BB1204"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45.93</w:t>
            </w:r>
          </w:p>
        </w:tc>
        <w:tc>
          <w:tcPr>
            <w:tcW w:w="1134" w:type="dxa"/>
          </w:tcPr>
          <w:p w14:paraId="0CFFC360" w14:textId="7DAED726"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1.04</w:t>
            </w:r>
            <w:r w:rsidRPr="00F00395">
              <w:rPr>
                <w:rFonts w:cs="Open Sans"/>
                <w:sz w:val="16"/>
                <w:szCs w:val="16"/>
                <w:vertAlign w:val="superscript"/>
              </w:rPr>
              <w:t>c</w:t>
            </w:r>
          </w:p>
        </w:tc>
        <w:tc>
          <w:tcPr>
            <w:tcW w:w="1191" w:type="dxa"/>
          </w:tcPr>
          <w:p w14:paraId="4AF6F871" w14:textId="3780D9BF"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7.47</w:t>
            </w:r>
            <w:r w:rsidRPr="00F00395">
              <w:rPr>
                <w:rFonts w:cs="Open Sans"/>
                <w:szCs w:val="18"/>
                <w:vertAlign w:val="superscript"/>
              </w:rPr>
              <w:t>c</w:t>
            </w:r>
          </w:p>
        </w:tc>
        <w:tc>
          <w:tcPr>
            <w:tcW w:w="1020" w:type="dxa"/>
          </w:tcPr>
          <w:p w14:paraId="7FA5D439" w14:textId="652E417C"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5.98</w:t>
            </w:r>
            <w:r w:rsidRPr="00F00395">
              <w:rPr>
                <w:rFonts w:cs="Open Sans"/>
                <w:szCs w:val="18"/>
                <w:vertAlign w:val="superscript"/>
              </w:rPr>
              <w:t>c</w:t>
            </w:r>
          </w:p>
        </w:tc>
        <w:tc>
          <w:tcPr>
            <w:tcW w:w="964" w:type="dxa"/>
          </w:tcPr>
          <w:p w14:paraId="17CB925C" w14:textId="3A932EBA"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2.62</w:t>
            </w:r>
            <w:r w:rsidRPr="00F00395">
              <w:rPr>
                <w:rFonts w:cs="Open Sans"/>
                <w:szCs w:val="18"/>
                <w:vertAlign w:val="superscript"/>
              </w:rPr>
              <w:t>c</w:t>
            </w:r>
          </w:p>
        </w:tc>
        <w:tc>
          <w:tcPr>
            <w:tcW w:w="1020" w:type="dxa"/>
          </w:tcPr>
          <w:p w14:paraId="77BA8C70" w14:textId="3B747900"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lang w:val="en-US"/>
              </w:rPr>
              <w:t>82.89*</w:t>
            </w:r>
          </w:p>
        </w:tc>
        <w:tc>
          <w:tcPr>
            <w:tcW w:w="1078" w:type="dxa"/>
          </w:tcPr>
          <w:p w14:paraId="4AAAADA8" w14:textId="7E52D042" w:rsidR="00553047" w:rsidRPr="00F00395" w:rsidRDefault="0055304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13.45</w:t>
            </w:r>
          </w:p>
        </w:tc>
      </w:tr>
    </w:tbl>
    <w:p w14:paraId="50A87B7B" w14:textId="77777777" w:rsidR="00F00395" w:rsidRPr="00F00395" w:rsidRDefault="00F00395" w:rsidP="00C84EA3">
      <w:pPr>
        <w:pStyle w:val="datatablenote"/>
      </w:pPr>
      <w:r w:rsidRPr="00F00395">
        <w:rPr>
          <w:b/>
        </w:rPr>
        <w:t>Note:</w:t>
      </w:r>
      <w:r w:rsidRPr="00F00395">
        <w:t xml:space="preserve"> Numbers in bold reflect the significantly higher value in the comparison.</w:t>
      </w:r>
    </w:p>
    <w:p w14:paraId="6A9610FF" w14:textId="77777777" w:rsidR="00F00395" w:rsidRPr="00F00395" w:rsidRDefault="00F00395" w:rsidP="00C84EA3">
      <w:pPr>
        <w:pStyle w:val="datatablenote"/>
      </w:pPr>
      <w:r w:rsidRPr="00F00395">
        <w:t>Percentages may not add to 100 as the “unanswered” category is not shown in the table.</w:t>
      </w:r>
    </w:p>
    <w:p w14:paraId="1A16F562" w14:textId="77777777" w:rsidR="00F00395" w:rsidRPr="00F00395" w:rsidRDefault="00F00395" w:rsidP="00C84EA3">
      <w:pPr>
        <w:pStyle w:val="datatablenote"/>
      </w:pPr>
      <w:r w:rsidRPr="00F00395">
        <w:rPr>
          <w:b/>
        </w:rPr>
        <w:t>a</w:t>
      </w:r>
      <w:r w:rsidRPr="00F00395">
        <w:t xml:space="preserve"> “Net agree” refers to answering “agree” either “strongly” or “somewhat”.</w:t>
      </w:r>
    </w:p>
    <w:p w14:paraId="7DD075E8" w14:textId="77777777" w:rsidR="00F00395" w:rsidRPr="00F00395" w:rsidRDefault="00F00395" w:rsidP="00C84EA3">
      <w:pPr>
        <w:pStyle w:val="datatablenote"/>
      </w:pPr>
      <w:r w:rsidRPr="00F00395">
        <w:rPr>
          <w:b/>
        </w:rPr>
        <w:t>b</w:t>
      </w:r>
      <w:r w:rsidRPr="00F00395">
        <w:t xml:space="preserve"> “Net disagree” refers to answering “disagree” either “strongly” or “somewhat”.</w:t>
      </w:r>
    </w:p>
    <w:p w14:paraId="41484628" w14:textId="77777777" w:rsidR="00F00395" w:rsidRPr="00F00395" w:rsidRDefault="00F00395" w:rsidP="00C84EA3">
      <w:pPr>
        <w:pStyle w:val="datatablenote"/>
      </w:pPr>
      <w:r w:rsidRPr="00F00395">
        <w:rPr>
          <w:b/>
        </w:rPr>
        <w:t>c</w:t>
      </w:r>
      <w:r w:rsidRPr="00F00395">
        <w:t xml:space="preserve"> This result should be interpreted with caution because it has a relative standard error &gt;25%.</w:t>
      </w:r>
    </w:p>
    <w:p w14:paraId="641D34F1" w14:textId="5C3E0425" w:rsidR="00F00395" w:rsidRDefault="00F00395" w:rsidP="00C84EA3">
      <w:pPr>
        <w:pStyle w:val="datatablenote"/>
      </w:pPr>
      <w:r w:rsidRPr="00F00395">
        <w:rPr>
          <w:rFonts w:ascii="Montserrat" w:hAnsi="Montserrat" w:cs="Montserrat"/>
        </w:rPr>
        <w:t>~</w:t>
      </w:r>
      <w:r w:rsidRPr="00F00395">
        <w:t xml:space="preserve"> Asked of one quarter of the sample.</w:t>
      </w:r>
    </w:p>
    <w:p w14:paraId="4B0ABB26" w14:textId="77777777" w:rsidR="00C84EA3" w:rsidRPr="00C84EA3" w:rsidRDefault="00C84EA3" w:rsidP="00F5214A">
      <w:pPr>
        <w:pStyle w:val="TableheadingTablesandfigures"/>
      </w:pPr>
      <w:r w:rsidRPr="00C84EA3">
        <w:t>Table 15-4: Criminal offence understanding items by gender, young men and women (not part of any scale), 2021</w:t>
      </w:r>
    </w:p>
    <w:p w14:paraId="35C5E652" w14:textId="180676DD" w:rsidR="00A27C1D" w:rsidRPr="00A27C1D" w:rsidRDefault="00A27C1D" w:rsidP="00966261">
      <w:pPr>
        <w:pStyle w:val="Tablesubheading0"/>
      </w:pPr>
      <w:r w:rsidRPr="00F00395">
        <w:t>To the best of your knowledge, are the following behaviours criminal offences in Australia NOW?</w:t>
      </w:r>
    </w:p>
    <w:tbl>
      <w:tblPr>
        <w:tblStyle w:val="Table-SingleHeaderRow"/>
        <w:tblW w:w="0" w:type="auto"/>
        <w:tblLayout w:type="fixed"/>
        <w:tblLook w:val="00A0" w:firstRow="1" w:lastRow="0" w:firstColumn="1" w:lastColumn="0" w:noHBand="0" w:noVBand="0"/>
      </w:tblPr>
      <w:tblGrid>
        <w:gridCol w:w="737"/>
        <w:gridCol w:w="5102"/>
        <w:gridCol w:w="1483"/>
        <w:gridCol w:w="851"/>
        <w:gridCol w:w="1247"/>
        <w:gridCol w:w="1077"/>
        <w:gridCol w:w="1191"/>
      </w:tblGrid>
      <w:tr w:rsidR="00A27C1D" w:rsidRPr="00F00395" w14:paraId="35F1531D" w14:textId="77777777" w:rsidTr="00966261">
        <w:trPr>
          <w:cnfStyle w:val="100000000000" w:firstRow="1" w:lastRow="0" w:firstColumn="0" w:lastColumn="0" w:oddVBand="0" w:evenVBand="0" w:oddHBand="0" w:evenHBand="0" w:firstRowFirstColumn="0" w:firstRowLastColumn="0" w:lastRowFirstColumn="0" w:lastRowLastColumn="0"/>
          <w:trHeight w:val="14"/>
          <w:tblHeader/>
        </w:trPr>
        <w:tc>
          <w:tcPr>
            <w:cnfStyle w:val="001000000000" w:firstRow="0" w:lastRow="0" w:firstColumn="1" w:lastColumn="0" w:oddVBand="0" w:evenVBand="0" w:oddHBand="0" w:evenHBand="0" w:firstRowFirstColumn="0" w:firstRowLastColumn="0" w:lastRowFirstColumn="0" w:lastRowLastColumn="0"/>
            <w:tcW w:w="737" w:type="dxa"/>
          </w:tcPr>
          <w:p w14:paraId="23949DAD" w14:textId="77777777" w:rsidR="00A27C1D" w:rsidRPr="00F00395" w:rsidRDefault="00A27C1D" w:rsidP="00966261">
            <w:pPr>
              <w:pStyle w:val="Tablebody"/>
              <w:rPr>
                <w:b w:val="0"/>
                <w:lang w:val="en-GB"/>
              </w:rPr>
            </w:pPr>
            <w:r w:rsidRPr="00F00395">
              <w:t>Code</w:t>
            </w:r>
          </w:p>
        </w:tc>
        <w:tc>
          <w:tcPr>
            <w:tcW w:w="5102" w:type="dxa"/>
          </w:tcPr>
          <w:p w14:paraId="1771B1F1" w14:textId="77777777"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F00395">
              <w:t>Abbreviated item wording</w:t>
            </w:r>
          </w:p>
        </w:tc>
        <w:tc>
          <w:tcPr>
            <w:tcW w:w="1483" w:type="dxa"/>
          </w:tcPr>
          <w:p w14:paraId="7FC437F3" w14:textId="77777777"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F00395">
              <w:t>Gender</w:t>
            </w:r>
          </w:p>
        </w:tc>
        <w:tc>
          <w:tcPr>
            <w:tcW w:w="851" w:type="dxa"/>
          </w:tcPr>
          <w:p w14:paraId="25A35778" w14:textId="77777777"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F00395">
              <w:rPr>
                <w:rStyle w:val="Emphasis"/>
                <w:lang w:val="en-US"/>
              </w:rPr>
              <w:t>N</w:t>
            </w:r>
          </w:p>
        </w:tc>
        <w:tc>
          <w:tcPr>
            <w:tcW w:w="1247" w:type="dxa"/>
          </w:tcPr>
          <w:p w14:paraId="065F698B" w14:textId="77777777"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F00395">
              <w:t>% Yes</w:t>
            </w:r>
          </w:p>
        </w:tc>
        <w:tc>
          <w:tcPr>
            <w:tcW w:w="1077" w:type="dxa"/>
          </w:tcPr>
          <w:p w14:paraId="1560AFE6" w14:textId="330D97A8"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F00395">
              <w:t>% No</w:t>
            </w:r>
          </w:p>
        </w:tc>
        <w:tc>
          <w:tcPr>
            <w:tcW w:w="1191" w:type="dxa"/>
          </w:tcPr>
          <w:p w14:paraId="3948B916" w14:textId="2B7FC925" w:rsidR="00A27C1D" w:rsidRPr="00F00395" w:rsidRDefault="00A27C1D" w:rsidP="00966261">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F00395">
              <w:t>% Unsure</w:t>
            </w:r>
          </w:p>
        </w:tc>
      </w:tr>
      <w:tr w:rsidR="00553047" w:rsidRPr="00F00395" w14:paraId="767050E6" w14:textId="77777777" w:rsidTr="009662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D256CC7" w14:textId="77777777" w:rsidR="00553047" w:rsidRPr="00F00395" w:rsidRDefault="00553047" w:rsidP="00966261">
            <w:pPr>
              <w:pStyle w:val="Tablebody"/>
              <w:rPr>
                <w:rFonts w:cs="Open Sans"/>
                <w:szCs w:val="18"/>
                <w:lang w:val="en-GB"/>
              </w:rPr>
            </w:pPr>
            <w:r w:rsidRPr="00F00395">
              <w:rPr>
                <w:rFonts w:cs="Open Sans"/>
                <w:szCs w:val="18"/>
              </w:rPr>
              <w:t>S26</w:t>
            </w:r>
          </w:p>
        </w:tc>
        <w:tc>
          <w:tcPr>
            <w:tcW w:w="5102" w:type="dxa"/>
          </w:tcPr>
          <w:p w14:paraId="5FCAF0E6" w14:textId="77777777"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lang w:val="en-US"/>
              </w:rPr>
              <w:t>Is it a criminal offence for a man to have sex with his wife without her consent?</w:t>
            </w:r>
            <w:r w:rsidRPr="00F00395">
              <w:rPr>
                <w:rFonts w:ascii="Montserrat" w:hAnsi="Montserrat" w:cs="Montserrat"/>
                <w:szCs w:val="18"/>
                <w:lang w:val="en-US"/>
              </w:rPr>
              <w:t>~</w:t>
            </w:r>
          </w:p>
        </w:tc>
        <w:tc>
          <w:tcPr>
            <w:tcW w:w="1483" w:type="dxa"/>
          </w:tcPr>
          <w:p w14:paraId="078882E5" w14:textId="77777777"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Young men</w:t>
            </w:r>
          </w:p>
        </w:tc>
        <w:tc>
          <w:tcPr>
            <w:tcW w:w="851" w:type="dxa"/>
          </w:tcPr>
          <w:p w14:paraId="1B124EC8" w14:textId="77777777"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244</w:t>
            </w:r>
          </w:p>
        </w:tc>
        <w:tc>
          <w:tcPr>
            <w:tcW w:w="1247" w:type="dxa"/>
          </w:tcPr>
          <w:p w14:paraId="4523EEA1" w14:textId="207290E0"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85.59</w:t>
            </w:r>
          </w:p>
        </w:tc>
        <w:tc>
          <w:tcPr>
            <w:tcW w:w="1077" w:type="dxa"/>
          </w:tcPr>
          <w:p w14:paraId="556525A3" w14:textId="6D259994"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8.67</w:t>
            </w:r>
          </w:p>
        </w:tc>
        <w:tc>
          <w:tcPr>
            <w:tcW w:w="1191" w:type="dxa"/>
          </w:tcPr>
          <w:p w14:paraId="54CA7827" w14:textId="254CABCA"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5.74</w:t>
            </w:r>
            <w:r w:rsidRPr="00F00395">
              <w:rPr>
                <w:rFonts w:cs="Open Sans"/>
                <w:szCs w:val="18"/>
                <w:vertAlign w:val="superscript"/>
              </w:rPr>
              <w:t>a</w:t>
            </w:r>
          </w:p>
        </w:tc>
      </w:tr>
      <w:tr w:rsidR="00553047" w:rsidRPr="00F00395" w14:paraId="5C768824" w14:textId="77777777" w:rsidTr="009662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4817F8F" w14:textId="289F6FCA" w:rsidR="00553047" w:rsidRPr="00F00395" w:rsidRDefault="00553047" w:rsidP="00966261">
            <w:pPr>
              <w:pStyle w:val="Tablebody"/>
              <w:rPr>
                <w:rFonts w:cs="Open Sans"/>
                <w:szCs w:val="18"/>
              </w:rPr>
            </w:pPr>
            <w:r w:rsidRPr="00F00395">
              <w:rPr>
                <w:rFonts w:cs="Open Sans"/>
                <w:szCs w:val="18"/>
              </w:rPr>
              <w:lastRenderedPageBreak/>
              <w:t>S26</w:t>
            </w:r>
          </w:p>
        </w:tc>
        <w:tc>
          <w:tcPr>
            <w:tcW w:w="5102" w:type="dxa"/>
          </w:tcPr>
          <w:p w14:paraId="270781B8" w14:textId="15F4F2AC"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F00395">
              <w:rPr>
                <w:rFonts w:cs="Open Sans"/>
                <w:szCs w:val="18"/>
                <w:lang w:val="en-US"/>
              </w:rPr>
              <w:t>Is it a criminal offence for a man to have sex with his wife without her consent?</w:t>
            </w:r>
            <w:r w:rsidRPr="00F00395">
              <w:rPr>
                <w:rFonts w:ascii="Montserrat" w:hAnsi="Montserrat" w:cs="Montserrat"/>
                <w:szCs w:val="18"/>
                <w:lang w:val="en-US"/>
              </w:rPr>
              <w:t>~</w:t>
            </w:r>
          </w:p>
        </w:tc>
        <w:tc>
          <w:tcPr>
            <w:tcW w:w="1483" w:type="dxa"/>
          </w:tcPr>
          <w:p w14:paraId="6608318E" w14:textId="710E5EDD"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women</w:t>
            </w:r>
          </w:p>
        </w:tc>
        <w:tc>
          <w:tcPr>
            <w:tcW w:w="851" w:type="dxa"/>
          </w:tcPr>
          <w:p w14:paraId="6361F9E3" w14:textId="4F5A2ED5"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187</w:t>
            </w:r>
          </w:p>
        </w:tc>
        <w:tc>
          <w:tcPr>
            <w:tcW w:w="1247" w:type="dxa"/>
          </w:tcPr>
          <w:p w14:paraId="40BC697C" w14:textId="51C3869B"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81.97</w:t>
            </w:r>
          </w:p>
        </w:tc>
        <w:tc>
          <w:tcPr>
            <w:tcW w:w="1077" w:type="dxa"/>
          </w:tcPr>
          <w:p w14:paraId="172782BB" w14:textId="550FD15B"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11.50</w:t>
            </w:r>
          </w:p>
        </w:tc>
        <w:tc>
          <w:tcPr>
            <w:tcW w:w="1191" w:type="dxa"/>
          </w:tcPr>
          <w:p w14:paraId="61CEFAC0" w14:textId="5ADF8339"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6.53</w:t>
            </w:r>
            <w:r w:rsidRPr="00F00395">
              <w:rPr>
                <w:rFonts w:cs="Open Sans"/>
                <w:szCs w:val="18"/>
                <w:vertAlign w:val="superscript"/>
              </w:rPr>
              <w:t>a</w:t>
            </w:r>
          </w:p>
        </w:tc>
      </w:tr>
      <w:tr w:rsidR="00553047" w:rsidRPr="00F00395" w14:paraId="25BB424E" w14:textId="77777777" w:rsidTr="009662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FC1073C" w14:textId="77777777" w:rsidR="00553047" w:rsidRPr="00F00395" w:rsidRDefault="00553047" w:rsidP="00966261">
            <w:pPr>
              <w:pStyle w:val="Tablebody"/>
              <w:rPr>
                <w:rFonts w:cs="Open Sans"/>
                <w:szCs w:val="18"/>
                <w:lang w:val="en-GB"/>
              </w:rPr>
            </w:pPr>
            <w:r w:rsidRPr="00F00395">
              <w:rPr>
                <w:rFonts w:cs="Open Sans"/>
                <w:szCs w:val="18"/>
              </w:rPr>
              <w:t>S27</w:t>
            </w:r>
          </w:p>
        </w:tc>
        <w:tc>
          <w:tcPr>
            <w:tcW w:w="5102" w:type="dxa"/>
          </w:tcPr>
          <w:p w14:paraId="3B3F67F5" w14:textId="272DA7F3"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lang w:val="en-US"/>
              </w:rPr>
              <w:t>Is it a criminal offence to post or share a sexual picture of</w:t>
            </w:r>
            <w:r>
              <w:rPr>
                <w:rFonts w:cs="Open Sans"/>
                <w:szCs w:val="18"/>
                <w:lang w:val="en-US"/>
              </w:rPr>
              <w:t> </w:t>
            </w:r>
            <w:r w:rsidRPr="00F00395">
              <w:rPr>
                <w:rFonts w:cs="Open Sans"/>
                <w:szCs w:val="18"/>
                <w:lang w:val="en-US"/>
              </w:rPr>
              <w:t>an ex-partner on social media without their consent?</w:t>
            </w:r>
            <w:r w:rsidRPr="00F00395">
              <w:rPr>
                <w:rFonts w:ascii="Montserrat" w:hAnsi="Montserrat" w:cs="Montserrat"/>
                <w:szCs w:val="18"/>
                <w:lang w:val="en-US"/>
              </w:rPr>
              <w:t>~</w:t>
            </w:r>
          </w:p>
        </w:tc>
        <w:tc>
          <w:tcPr>
            <w:tcW w:w="1483" w:type="dxa"/>
          </w:tcPr>
          <w:p w14:paraId="0A83EFB5" w14:textId="77777777"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Young men</w:t>
            </w:r>
          </w:p>
        </w:tc>
        <w:tc>
          <w:tcPr>
            <w:tcW w:w="851" w:type="dxa"/>
          </w:tcPr>
          <w:p w14:paraId="028FB418" w14:textId="77777777"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244</w:t>
            </w:r>
          </w:p>
        </w:tc>
        <w:tc>
          <w:tcPr>
            <w:tcW w:w="1247" w:type="dxa"/>
          </w:tcPr>
          <w:p w14:paraId="443F25F9" w14:textId="0073435D"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F00395">
              <w:rPr>
                <w:rFonts w:cs="Open Sans"/>
                <w:szCs w:val="18"/>
              </w:rPr>
              <w:t>90.83</w:t>
            </w:r>
          </w:p>
        </w:tc>
        <w:tc>
          <w:tcPr>
            <w:tcW w:w="1077" w:type="dxa"/>
          </w:tcPr>
          <w:p w14:paraId="3E0ADD6D" w14:textId="34EEFB2F"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6.32</w:t>
            </w:r>
            <w:r w:rsidRPr="00F00395">
              <w:rPr>
                <w:rFonts w:cs="Open Sans"/>
                <w:szCs w:val="18"/>
                <w:vertAlign w:val="superscript"/>
              </w:rPr>
              <w:t>a</w:t>
            </w:r>
          </w:p>
        </w:tc>
        <w:tc>
          <w:tcPr>
            <w:tcW w:w="1191" w:type="dxa"/>
          </w:tcPr>
          <w:p w14:paraId="6A143ED4" w14:textId="4F27126A"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F00395">
              <w:rPr>
                <w:rFonts w:cs="Open Sans"/>
                <w:szCs w:val="18"/>
              </w:rPr>
              <w:t>2.85</w:t>
            </w:r>
            <w:r w:rsidRPr="00F00395">
              <w:rPr>
                <w:rFonts w:cs="Open Sans"/>
                <w:szCs w:val="18"/>
                <w:vertAlign w:val="superscript"/>
              </w:rPr>
              <w:t>a</w:t>
            </w:r>
          </w:p>
        </w:tc>
      </w:tr>
      <w:tr w:rsidR="00553047" w:rsidRPr="00F00395" w14:paraId="108704B0" w14:textId="77777777" w:rsidTr="00966261">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018CD9C" w14:textId="478F9383" w:rsidR="00553047" w:rsidRPr="00F00395" w:rsidRDefault="00553047" w:rsidP="00966261">
            <w:pPr>
              <w:pStyle w:val="Tablebody"/>
              <w:rPr>
                <w:rFonts w:cs="Open Sans"/>
                <w:szCs w:val="18"/>
              </w:rPr>
            </w:pPr>
            <w:r w:rsidRPr="00F00395">
              <w:rPr>
                <w:rFonts w:cs="Open Sans"/>
                <w:szCs w:val="18"/>
              </w:rPr>
              <w:t>S27</w:t>
            </w:r>
          </w:p>
        </w:tc>
        <w:tc>
          <w:tcPr>
            <w:tcW w:w="5102" w:type="dxa"/>
          </w:tcPr>
          <w:p w14:paraId="0294BE61" w14:textId="5A4C596D"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F00395">
              <w:rPr>
                <w:rFonts w:cs="Open Sans"/>
                <w:szCs w:val="18"/>
                <w:lang w:val="en-US"/>
              </w:rPr>
              <w:t>Is it a criminal offence to post or share a sexual picture of</w:t>
            </w:r>
            <w:r>
              <w:rPr>
                <w:rFonts w:cs="Open Sans"/>
                <w:szCs w:val="18"/>
                <w:lang w:val="en-US"/>
              </w:rPr>
              <w:t> </w:t>
            </w:r>
            <w:r w:rsidRPr="00F00395">
              <w:rPr>
                <w:rFonts w:cs="Open Sans"/>
                <w:szCs w:val="18"/>
                <w:lang w:val="en-US"/>
              </w:rPr>
              <w:t>an ex-partner on social media without their consent?</w:t>
            </w:r>
            <w:r w:rsidRPr="00F00395">
              <w:rPr>
                <w:rFonts w:ascii="Montserrat" w:hAnsi="Montserrat" w:cs="Montserrat"/>
                <w:szCs w:val="18"/>
                <w:lang w:val="en-US"/>
              </w:rPr>
              <w:t>~</w:t>
            </w:r>
          </w:p>
        </w:tc>
        <w:tc>
          <w:tcPr>
            <w:tcW w:w="1483" w:type="dxa"/>
          </w:tcPr>
          <w:p w14:paraId="1F584783" w14:textId="1E69E0B4"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Young women</w:t>
            </w:r>
          </w:p>
        </w:tc>
        <w:tc>
          <w:tcPr>
            <w:tcW w:w="851" w:type="dxa"/>
          </w:tcPr>
          <w:p w14:paraId="18BC2FE1" w14:textId="5EDE2D9C"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187</w:t>
            </w:r>
          </w:p>
        </w:tc>
        <w:tc>
          <w:tcPr>
            <w:tcW w:w="1247" w:type="dxa"/>
          </w:tcPr>
          <w:p w14:paraId="06859991" w14:textId="0C8899CF"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96.25</w:t>
            </w:r>
          </w:p>
        </w:tc>
        <w:tc>
          <w:tcPr>
            <w:tcW w:w="1077" w:type="dxa"/>
          </w:tcPr>
          <w:p w14:paraId="4E610673" w14:textId="6F814F65"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3.75</w:t>
            </w:r>
            <w:r w:rsidRPr="00F00395">
              <w:rPr>
                <w:rFonts w:cs="Open Sans"/>
                <w:szCs w:val="18"/>
                <w:vertAlign w:val="superscript"/>
              </w:rPr>
              <w:t>a</w:t>
            </w:r>
          </w:p>
        </w:tc>
        <w:tc>
          <w:tcPr>
            <w:tcW w:w="1191" w:type="dxa"/>
          </w:tcPr>
          <w:p w14:paraId="7B413B25" w14:textId="4ECFD48B" w:rsidR="00553047" w:rsidRPr="00F00395" w:rsidRDefault="00553047" w:rsidP="00966261">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F00395">
              <w:rPr>
                <w:rFonts w:cs="Open Sans"/>
                <w:szCs w:val="18"/>
              </w:rPr>
              <w:t>0.00</w:t>
            </w:r>
          </w:p>
        </w:tc>
      </w:tr>
    </w:tbl>
    <w:p w14:paraId="2E55F44A" w14:textId="77777777" w:rsidR="00F00395" w:rsidRPr="00F00395" w:rsidRDefault="00F00395" w:rsidP="00C84EA3">
      <w:pPr>
        <w:pStyle w:val="datatablenote"/>
      </w:pPr>
      <w:r w:rsidRPr="00F00395">
        <w:rPr>
          <w:b/>
        </w:rPr>
        <w:t>Note:</w:t>
      </w:r>
      <w:r w:rsidRPr="00F00395">
        <w:t xml:space="preserve"> Percentages may not add to 100 as the “unanswered” category is not shown in the table. There were no statistically significant differences between young men and </w:t>
      </w:r>
      <w:r w:rsidRPr="00F00395">
        <w:br/>
        <w:t>women on these items.</w:t>
      </w:r>
    </w:p>
    <w:p w14:paraId="3289830A" w14:textId="77777777" w:rsidR="00F00395" w:rsidRPr="00F00395" w:rsidRDefault="00F00395" w:rsidP="00C84EA3">
      <w:pPr>
        <w:pStyle w:val="datatablenote"/>
      </w:pPr>
      <w:r w:rsidRPr="00F00395">
        <w:rPr>
          <w:b/>
        </w:rPr>
        <w:t>a</w:t>
      </w:r>
      <w:r w:rsidRPr="00F00395">
        <w:t xml:space="preserve"> This result should be interpreted with caution because it has a relative standard error &gt;25%.</w:t>
      </w:r>
    </w:p>
    <w:p w14:paraId="6074ED66" w14:textId="77777777" w:rsidR="00F00395" w:rsidRPr="00F00395" w:rsidRDefault="00F00395" w:rsidP="00C84EA3">
      <w:pPr>
        <w:pStyle w:val="datatablenote"/>
      </w:pPr>
      <w:r w:rsidRPr="00F00395">
        <w:rPr>
          <w:rFonts w:ascii="Montserrat" w:hAnsi="Montserrat" w:cs="Montserrat"/>
        </w:rPr>
        <w:t>~</w:t>
      </w:r>
      <w:r w:rsidRPr="00F00395">
        <w:t xml:space="preserve"> Asked of one quarter of the sample.</w:t>
      </w:r>
    </w:p>
    <w:p w14:paraId="268F48AB" w14:textId="448FA768" w:rsidR="008B7814" w:rsidRDefault="008B7814" w:rsidP="00F5214A">
      <w:pPr>
        <w:pStyle w:val="TableheadingTablesandfigures"/>
      </w:pPr>
      <w:bookmarkStart w:id="276" w:name="_Toc187402259"/>
      <w:r>
        <w:t xml:space="preserve">Table </w:t>
      </w:r>
      <w:r w:rsidR="004A7ED7">
        <w:fldChar w:fldCharType="begin"/>
      </w:r>
      <w:r w:rsidR="004A7ED7">
        <w:instrText xml:space="preserve"> STYLEREF 1 \s </w:instrText>
      </w:r>
      <w:r w:rsidR="004A7ED7">
        <w:fldChar w:fldCharType="separate"/>
      </w:r>
      <w:r w:rsidR="004A7ED7">
        <w:rPr>
          <w:noProof/>
        </w:rPr>
        <w:t>15</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5</w:t>
      </w:r>
      <w:r w:rsidR="004A7ED7">
        <w:rPr>
          <w:noProof/>
        </w:rPr>
        <w:fldChar w:fldCharType="end"/>
      </w:r>
      <w:r w:rsidRPr="008B7814">
        <w:t xml:space="preserve">: </w:t>
      </w:r>
      <w:r w:rsidR="007134A4">
        <w:tab/>
      </w:r>
      <w:r w:rsidRPr="008B7814">
        <w:t>Awareness of violence against women as a problem in Australia and locally by gender, young men and women (not part of any scale), 2021</w:t>
      </w:r>
      <w:bookmarkEnd w:id="276"/>
    </w:p>
    <w:p w14:paraId="57F954B4" w14:textId="3CC124A2" w:rsidR="00875FA0" w:rsidRPr="00875FA0" w:rsidRDefault="00875FA0" w:rsidP="00966261">
      <w:pPr>
        <w:pStyle w:val="Tablesubheading0"/>
      </w:pPr>
      <w:r>
        <w:t xml:space="preserve">Area of knowledge: </w:t>
      </w:r>
      <w:r w:rsidRPr="008B7814">
        <w:t>Violence against women is a problem</w:t>
      </w:r>
    </w:p>
    <w:tbl>
      <w:tblPr>
        <w:tblStyle w:val="Table-SingleHeaderRow"/>
        <w:tblW w:w="14967" w:type="dxa"/>
        <w:tblLayout w:type="fixed"/>
        <w:tblLook w:val="00A0" w:firstRow="1" w:lastRow="0" w:firstColumn="1" w:lastColumn="0" w:noHBand="0" w:noVBand="0"/>
      </w:tblPr>
      <w:tblGrid>
        <w:gridCol w:w="737"/>
        <w:gridCol w:w="3685"/>
        <w:gridCol w:w="1474"/>
        <w:gridCol w:w="453"/>
        <w:gridCol w:w="1077"/>
        <w:gridCol w:w="1248"/>
        <w:gridCol w:w="1133"/>
        <w:gridCol w:w="1191"/>
        <w:gridCol w:w="1021"/>
        <w:gridCol w:w="907"/>
        <w:gridCol w:w="963"/>
        <w:gridCol w:w="1078"/>
      </w:tblGrid>
      <w:tr w:rsidR="00875FA0" w:rsidRPr="008B7814" w14:paraId="55AB18AF"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73845AA6" w14:textId="77777777" w:rsidR="00875FA0" w:rsidRPr="008B7814" w:rsidRDefault="00875FA0" w:rsidP="00962748">
            <w:pPr>
              <w:pStyle w:val="Tablebody"/>
              <w:rPr>
                <w:b w:val="0"/>
              </w:rPr>
            </w:pPr>
            <w:r w:rsidRPr="008B7814">
              <w:t>Code</w:t>
            </w:r>
          </w:p>
        </w:tc>
        <w:tc>
          <w:tcPr>
            <w:tcW w:w="3685" w:type="dxa"/>
          </w:tcPr>
          <w:p w14:paraId="37969761"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Abbreviated item wording</w:t>
            </w:r>
          </w:p>
        </w:tc>
        <w:tc>
          <w:tcPr>
            <w:tcW w:w="1474" w:type="dxa"/>
          </w:tcPr>
          <w:p w14:paraId="273A2E7E"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Gender</w:t>
            </w:r>
          </w:p>
        </w:tc>
        <w:tc>
          <w:tcPr>
            <w:tcW w:w="453" w:type="dxa"/>
          </w:tcPr>
          <w:p w14:paraId="7E1671D5"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8B7814">
              <w:rPr>
                <w:rStyle w:val="Emphasis"/>
                <w:lang w:val="en-US"/>
              </w:rPr>
              <w:t>N</w:t>
            </w:r>
          </w:p>
        </w:tc>
        <w:tc>
          <w:tcPr>
            <w:tcW w:w="1077" w:type="dxa"/>
          </w:tcPr>
          <w:p w14:paraId="3E1A0552"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Strongly agree</w:t>
            </w:r>
          </w:p>
        </w:tc>
        <w:tc>
          <w:tcPr>
            <w:tcW w:w="1248" w:type="dxa"/>
          </w:tcPr>
          <w:p w14:paraId="074AE7E5"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Somewhat agree</w:t>
            </w:r>
          </w:p>
        </w:tc>
        <w:tc>
          <w:tcPr>
            <w:tcW w:w="1133" w:type="dxa"/>
          </w:tcPr>
          <w:p w14:paraId="5FAEEC25"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Neither agree nor disagree</w:t>
            </w:r>
          </w:p>
        </w:tc>
        <w:tc>
          <w:tcPr>
            <w:tcW w:w="1191" w:type="dxa"/>
          </w:tcPr>
          <w:p w14:paraId="54A62ADF"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Somewhat disagree</w:t>
            </w:r>
          </w:p>
        </w:tc>
        <w:tc>
          <w:tcPr>
            <w:tcW w:w="1021" w:type="dxa"/>
          </w:tcPr>
          <w:p w14:paraId="05C78847"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Strongly disagree</w:t>
            </w:r>
          </w:p>
        </w:tc>
        <w:tc>
          <w:tcPr>
            <w:tcW w:w="907" w:type="dxa"/>
          </w:tcPr>
          <w:p w14:paraId="52C3C869"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Unsure</w:t>
            </w:r>
          </w:p>
        </w:tc>
        <w:tc>
          <w:tcPr>
            <w:tcW w:w="963" w:type="dxa"/>
          </w:tcPr>
          <w:p w14:paraId="3BEC3BF6"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Net agree</w:t>
            </w:r>
            <w:r w:rsidRPr="008B7814">
              <w:rPr>
                <w:vertAlign w:val="superscript"/>
              </w:rPr>
              <w:t>a</w:t>
            </w:r>
          </w:p>
        </w:tc>
        <w:tc>
          <w:tcPr>
            <w:tcW w:w="1078" w:type="dxa"/>
          </w:tcPr>
          <w:p w14:paraId="70C521B5" w14:textId="77777777" w:rsidR="00875FA0" w:rsidRPr="008B7814"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rPr>
            </w:pPr>
            <w:r w:rsidRPr="008B7814">
              <w:t>% Net disagree</w:t>
            </w:r>
            <w:r w:rsidRPr="008B7814">
              <w:rPr>
                <w:vertAlign w:val="superscript"/>
              </w:rPr>
              <w:t>b</w:t>
            </w:r>
          </w:p>
        </w:tc>
      </w:tr>
      <w:tr w:rsidR="00930C8A" w:rsidRPr="008B7814" w14:paraId="4CAAB51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3B25636" w14:textId="77777777" w:rsidR="00930C8A" w:rsidRPr="008B7814" w:rsidRDefault="00930C8A" w:rsidP="00962748">
            <w:pPr>
              <w:pStyle w:val="Tablebody"/>
              <w:rPr>
                <w:rFonts w:cs="Open Sans"/>
                <w:szCs w:val="18"/>
              </w:rPr>
            </w:pPr>
            <w:r w:rsidRPr="008B7814">
              <w:rPr>
                <w:rFonts w:cs="Open Sans"/>
                <w:szCs w:val="18"/>
              </w:rPr>
              <w:t>V1</w:t>
            </w:r>
          </w:p>
        </w:tc>
        <w:tc>
          <w:tcPr>
            <w:tcW w:w="3685" w:type="dxa"/>
          </w:tcPr>
          <w:p w14:paraId="2BA22C9C" w14:textId="254BDCA0"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Violence against women is a problem in</w:t>
            </w:r>
            <w:r w:rsidR="0028590E">
              <w:rPr>
                <w:rFonts w:cs="Open Sans"/>
                <w:szCs w:val="18"/>
              </w:rPr>
              <w:t> </w:t>
            </w:r>
            <w:r w:rsidRPr="008B7814">
              <w:rPr>
                <w:rFonts w:cs="Open Sans"/>
                <w:szCs w:val="18"/>
              </w:rPr>
              <w:t>Australia</w:t>
            </w:r>
            <w:r w:rsidRPr="008B7814">
              <w:rPr>
                <w:rFonts w:ascii="Montserrat" w:hAnsi="Montserrat" w:cs="Montserrat"/>
                <w:szCs w:val="18"/>
                <w:lang w:val="en-US"/>
              </w:rPr>
              <w:t>~</w:t>
            </w:r>
          </w:p>
        </w:tc>
        <w:tc>
          <w:tcPr>
            <w:tcW w:w="1474" w:type="dxa"/>
          </w:tcPr>
          <w:p w14:paraId="07963218" w14:textId="77777777"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Young men</w:t>
            </w:r>
          </w:p>
        </w:tc>
        <w:tc>
          <w:tcPr>
            <w:tcW w:w="453" w:type="dxa"/>
          </w:tcPr>
          <w:p w14:paraId="280C78E5" w14:textId="77777777"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268</w:t>
            </w:r>
          </w:p>
        </w:tc>
        <w:tc>
          <w:tcPr>
            <w:tcW w:w="1077" w:type="dxa"/>
          </w:tcPr>
          <w:p w14:paraId="26152833" w14:textId="3AF09107"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55.24*</w:t>
            </w:r>
          </w:p>
        </w:tc>
        <w:tc>
          <w:tcPr>
            <w:tcW w:w="1248" w:type="dxa"/>
          </w:tcPr>
          <w:p w14:paraId="53ED404D" w14:textId="0DA00648"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lang w:val="en-US"/>
              </w:rPr>
              <w:t>33.79*</w:t>
            </w:r>
          </w:p>
        </w:tc>
        <w:tc>
          <w:tcPr>
            <w:tcW w:w="1133" w:type="dxa"/>
          </w:tcPr>
          <w:p w14:paraId="6330B6DE" w14:textId="3FC9FD79"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1.00</w:t>
            </w:r>
            <w:r w:rsidRPr="008B7814">
              <w:rPr>
                <w:rFonts w:cs="Open Sans"/>
                <w:sz w:val="16"/>
                <w:szCs w:val="16"/>
                <w:vertAlign w:val="superscript"/>
              </w:rPr>
              <w:t>c</w:t>
            </w:r>
          </w:p>
        </w:tc>
        <w:tc>
          <w:tcPr>
            <w:tcW w:w="1191" w:type="dxa"/>
          </w:tcPr>
          <w:p w14:paraId="765B88C9" w14:textId="2D9ACC49"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5.55</w:t>
            </w:r>
            <w:r w:rsidRPr="008B7814">
              <w:rPr>
                <w:rFonts w:cs="Open Sans"/>
                <w:szCs w:val="18"/>
                <w:vertAlign w:val="superscript"/>
              </w:rPr>
              <w:t>c</w:t>
            </w:r>
          </w:p>
        </w:tc>
        <w:tc>
          <w:tcPr>
            <w:tcW w:w="1021" w:type="dxa"/>
          </w:tcPr>
          <w:p w14:paraId="567A8BAA" w14:textId="45852D3B"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1.24</w:t>
            </w:r>
            <w:r w:rsidRPr="008B7814">
              <w:rPr>
                <w:rFonts w:cs="Open Sans"/>
                <w:szCs w:val="18"/>
                <w:vertAlign w:val="superscript"/>
              </w:rPr>
              <w:t>c</w:t>
            </w:r>
          </w:p>
        </w:tc>
        <w:tc>
          <w:tcPr>
            <w:tcW w:w="907" w:type="dxa"/>
          </w:tcPr>
          <w:p w14:paraId="3DA518D4" w14:textId="24AF7800"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3.18</w:t>
            </w:r>
            <w:r w:rsidRPr="008B7814">
              <w:rPr>
                <w:rFonts w:cs="Open Sans"/>
                <w:szCs w:val="18"/>
                <w:vertAlign w:val="superscript"/>
              </w:rPr>
              <w:t>c</w:t>
            </w:r>
          </w:p>
        </w:tc>
        <w:tc>
          <w:tcPr>
            <w:tcW w:w="963" w:type="dxa"/>
          </w:tcPr>
          <w:p w14:paraId="4D2BAA57" w14:textId="0045BEE9"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89.03</w:t>
            </w:r>
          </w:p>
        </w:tc>
        <w:tc>
          <w:tcPr>
            <w:tcW w:w="1078" w:type="dxa"/>
          </w:tcPr>
          <w:p w14:paraId="74DC90C4" w14:textId="6ED66A9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6.80</w:t>
            </w:r>
            <w:r w:rsidRPr="008B7814">
              <w:rPr>
                <w:rFonts w:cs="Open Sans"/>
                <w:szCs w:val="18"/>
                <w:vertAlign w:val="superscript"/>
              </w:rPr>
              <w:t>c</w:t>
            </w:r>
          </w:p>
        </w:tc>
      </w:tr>
      <w:tr w:rsidR="00930C8A" w:rsidRPr="008B7814" w14:paraId="791FAEC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2377567" w14:textId="7331B4F0" w:rsidR="00930C8A" w:rsidRPr="008B7814" w:rsidRDefault="00930C8A" w:rsidP="00962748">
            <w:pPr>
              <w:pStyle w:val="Tablebody"/>
              <w:rPr>
                <w:rFonts w:cs="Open Sans"/>
                <w:szCs w:val="18"/>
              </w:rPr>
            </w:pPr>
            <w:r w:rsidRPr="008B7814">
              <w:rPr>
                <w:rFonts w:cs="Open Sans"/>
                <w:szCs w:val="18"/>
              </w:rPr>
              <w:t>V1</w:t>
            </w:r>
          </w:p>
        </w:tc>
        <w:tc>
          <w:tcPr>
            <w:tcW w:w="3685" w:type="dxa"/>
          </w:tcPr>
          <w:p w14:paraId="749FBB32" w14:textId="591D43B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Violence against women is a problem in</w:t>
            </w:r>
            <w:r w:rsidR="0028590E">
              <w:rPr>
                <w:rFonts w:cs="Open Sans"/>
                <w:szCs w:val="18"/>
              </w:rPr>
              <w:t> </w:t>
            </w:r>
            <w:r w:rsidRPr="008B7814">
              <w:rPr>
                <w:rFonts w:cs="Open Sans"/>
                <w:szCs w:val="18"/>
              </w:rPr>
              <w:t>Australia</w:t>
            </w:r>
            <w:r w:rsidRPr="008B7814">
              <w:rPr>
                <w:rFonts w:ascii="Montserrat" w:hAnsi="Montserrat" w:cs="Montserrat"/>
                <w:szCs w:val="18"/>
                <w:lang w:val="en-US"/>
              </w:rPr>
              <w:t>~</w:t>
            </w:r>
          </w:p>
        </w:tc>
        <w:tc>
          <w:tcPr>
            <w:tcW w:w="1474" w:type="dxa"/>
          </w:tcPr>
          <w:p w14:paraId="2EDD51A5" w14:textId="3546F57B"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Young women</w:t>
            </w:r>
          </w:p>
        </w:tc>
        <w:tc>
          <w:tcPr>
            <w:tcW w:w="453" w:type="dxa"/>
          </w:tcPr>
          <w:p w14:paraId="7B91F0BE" w14:textId="7E4439E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206</w:t>
            </w:r>
          </w:p>
        </w:tc>
        <w:tc>
          <w:tcPr>
            <w:tcW w:w="1077" w:type="dxa"/>
          </w:tcPr>
          <w:p w14:paraId="28CDA601" w14:textId="1A6F8641"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lang w:val="en-US"/>
              </w:rPr>
              <w:t>74.35*</w:t>
            </w:r>
          </w:p>
        </w:tc>
        <w:tc>
          <w:tcPr>
            <w:tcW w:w="1248" w:type="dxa"/>
          </w:tcPr>
          <w:p w14:paraId="74664D4D" w14:textId="437E2BF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8B7814">
              <w:rPr>
                <w:rFonts w:cs="Open Sans"/>
                <w:szCs w:val="18"/>
              </w:rPr>
              <w:t>18.13*</w:t>
            </w:r>
          </w:p>
        </w:tc>
        <w:tc>
          <w:tcPr>
            <w:tcW w:w="1133" w:type="dxa"/>
          </w:tcPr>
          <w:p w14:paraId="13B0741E" w14:textId="5A69F0C8"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1.22</w:t>
            </w:r>
            <w:r w:rsidRPr="008B7814">
              <w:rPr>
                <w:rFonts w:cs="Open Sans"/>
                <w:sz w:val="16"/>
                <w:szCs w:val="16"/>
                <w:vertAlign w:val="superscript"/>
              </w:rPr>
              <w:t>c</w:t>
            </w:r>
          </w:p>
        </w:tc>
        <w:tc>
          <w:tcPr>
            <w:tcW w:w="1191" w:type="dxa"/>
          </w:tcPr>
          <w:p w14:paraId="73636129" w14:textId="2D471621"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2.78</w:t>
            </w:r>
            <w:r w:rsidRPr="008B7814">
              <w:rPr>
                <w:rFonts w:cs="Open Sans"/>
                <w:szCs w:val="18"/>
                <w:vertAlign w:val="superscript"/>
              </w:rPr>
              <w:t>c</w:t>
            </w:r>
          </w:p>
        </w:tc>
        <w:tc>
          <w:tcPr>
            <w:tcW w:w="1021" w:type="dxa"/>
          </w:tcPr>
          <w:p w14:paraId="46935FED" w14:textId="1B28B1EE"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2.98</w:t>
            </w:r>
            <w:r w:rsidRPr="008B7814">
              <w:rPr>
                <w:rFonts w:cs="Open Sans"/>
                <w:szCs w:val="18"/>
                <w:vertAlign w:val="superscript"/>
              </w:rPr>
              <w:t>c</w:t>
            </w:r>
          </w:p>
        </w:tc>
        <w:tc>
          <w:tcPr>
            <w:tcW w:w="907" w:type="dxa"/>
          </w:tcPr>
          <w:p w14:paraId="1ED3CEA8" w14:textId="033EA4F2"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0.54</w:t>
            </w:r>
            <w:r w:rsidRPr="008B7814">
              <w:rPr>
                <w:rFonts w:cs="Open Sans"/>
                <w:szCs w:val="18"/>
                <w:vertAlign w:val="superscript"/>
              </w:rPr>
              <w:t>c</w:t>
            </w:r>
          </w:p>
        </w:tc>
        <w:tc>
          <w:tcPr>
            <w:tcW w:w="963" w:type="dxa"/>
          </w:tcPr>
          <w:p w14:paraId="3EABC86A" w14:textId="154A9535"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92.48</w:t>
            </w:r>
          </w:p>
        </w:tc>
        <w:tc>
          <w:tcPr>
            <w:tcW w:w="1078" w:type="dxa"/>
          </w:tcPr>
          <w:p w14:paraId="5F346BFD" w14:textId="694ADC0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5.76</w:t>
            </w:r>
            <w:r w:rsidRPr="008B7814">
              <w:rPr>
                <w:rFonts w:cs="Open Sans"/>
                <w:szCs w:val="18"/>
                <w:vertAlign w:val="superscript"/>
              </w:rPr>
              <w:t>c</w:t>
            </w:r>
          </w:p>
        </w:tc>
      </w:tr>
      <w:tr w:rsidR="00930C8A" w:rsidRPr="008B7814" w14:paraId="4275034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2778DF3" w14:textId="77777777" w:rsidR="00930C8A" w:rsidRPr="008B7814" w:rsidRDefault="00930C8A" w:rsidP="00962748">
            <w:pPr>
              <w:pStyle w:val="Tablebody"/>
              <w:rPr>
                <w:rFonts w:cs="Open Sans"/>
                <w:szCs w:val="18"/>
              </w:rPr>
            </w:pPr>
            <w:r w:rsidRPr="008B7814">
              <w:rPr>
                <w:rFonts w:cs="Open Sans"/>
                <w:szCs w:val="18"/>
              </w:rPr>
              <w:t>V2</w:t>
            </w:r>
          </w:p>
        </w:tc>
        <w:tc>
          <w:tcPr>
            <w:tcW w:w="3685" w:type="dxa"/>
          </w:tcPr>
          <w:p w14:paraId="5F8D6D9B" w14:textId="13A8FF80"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Violence against women is a problem in</w:t>
            </w:r>
            <w:r w:rsidR="0028590E">
              <w:rPr>
                <w:rFonts w:cs="Open Sans"/>
                <w:szCs w:val="18"/>
              </w:rPr>
              <w:t> </w:t>
            </w:r>
            <w:r w:rsidRPr="008B7814">
              <w:rPr>
                <w:rFonts w:cs="Open Sans"/>
                <w:szCs w:val="18"/>
              </w:rPr>
              <w:t>the suburb or town where you live</w:t>
            </w:r>
            <w:r w:rsidRPr="008B7814">
              <w:rPr>
                <w:rFonts w:ascii="Montserrat" w:hAnsi="Montserrat" w:cs="Montserrat"/>
                <w:szCs w:val="18"/>
                <w:lang w:val="en-US"/>
              </w:rPr>
              <w:t>~</w:t>
            </w:r>
          </w:p>
        </w:tc>
        <w:tc>
          <w:tcPr>
            <w:tcW w:w="1474" w:type="dxa"/>
          </w:tcPr>
          <w:p w14:paraId="4FB2B457" w14:textId="77777777"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Young men</w:t>
            </w:r>
          </w:p>
        </w:tc>
        <w:tc>
          <w:tcPr>
            <w:tcW w:w="453" w:type="dxa"/>
          </w:tcPr>
          <w:p w14:paraId="15BD5010" w14:textId="77777777"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268</w:t>
            </w:r>
          </w:p>
        </w:tc>
        <w:tc>
          <w:tcPr>
            <w:tcW w:w="1077" w:type="dxa"/>
          </w:tcPr>
          <w:p w14:paraId="36E060CF" w14:textId="40927C9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12.95</w:t>
            </w:r>
          </w:p>
        </w:tc>
        <w:tc>
          <w:tcPr>
            <w:tcW w:w="1248" w:type="dxa"/>
          </w:tcPr>
          <w:p w14:paraId="591B4034" w14:textId="78EF5B7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31.43</w:t>
            </w:r>
          </w:p>
        </w:tc>
        <w:tc>
          <w:tcPr>
            <w:tcW w:w="1133" w:type="dxa"/>
          </w:tcPr>
          <w:p w14:paraId="55E7F424" w14:textId="06A7BC71"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6.54</w:t>
            </w:r>
            <w:r w:rsidRPr="008B7814">
              <w:rPr>
                <w:rFonts w:cs="Open Sans"/>
                <w:sz w:val="16"/>
                <w:szCs w:val="16"/>
                <w:vertAlign w:val="superscript"/>
              </w:rPr>
              <w:t>c</w:t>
            </w:r>
          </w:p>
        </w:tc>
        <w:tc>
          <w:tcPr>
            <w:tcW w:w="1191" w:type="dxa"/>
          </w:tcPr>
          <w:p w14:paraId="64BA1DDE" w14:textId="7D7FC00E"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21.01</w:t>
            </w:r>
          </w:p>
        </w:tc>
        <w:tc>
          <w:tcPr>
            <w:tcW w:w="1021" w:type="dxa"/>
          </w:tcPr>
          <w:p w14:paraId="77D7CA4C" w14:textId="24BB2D4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10.39</w:t>
            </w:r>
          </w:p>
        </w:tc>
        <w:tc>
          <w:tcPr>
            <w:tcW w:w="907" w:type="dxa"/>
          </w:tcPr>
          <w:p w14:paraId="301010E6" w14:textId="34F5D350"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17.69</w:t>
            </w:r>
          </w:p>
        </w:tc>
        <w:tc>
          <w:tcPr>
            <w:tcW w:w="963" w:type="dxa"/>
          </w:tcPr>
          <w:p w14:paraId="05D3BE80" w14:textId="376B424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44.39*</w:t>
            </w:r>
          </w:p>
        </w:tc>
        <w:tc>
          <w:tcPr>
            <w:tcW w:w="1078" w:type="dxa"/>
          </w:tcPr>
          <w:p w14:paraId="5C7653AD" w14:textId="7755CD6E"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ascii="Open Sans SemiBold" w:hAnsi="Open Sans SemiBold" w:cs="Times New Roman"/>
                <w:sz w:val="24"/>
              </w:rPr>
            </w:pPr>
            <w:r w:rsidRPr="008B7814">
              <w:rPr>
                <w:rFonts w:cs="Open Sans"/>
                <w:szCs w:val="18"/>
              </w:rPr>
              <w:t>31.39</w:t>
            </w:r>
          </w:p>
        </w:tc>
      </w:tr>
      <w:tr w:rsidR="00930C8A" w:rsidRPr="008B7814" w14:paraId="5F0D634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6A77AE9" w14:textId="3B4E1C42" w:rsidR="00930C8A" w:rsidRPr="008B7814" w:rsidRDefault="00930C8A" w:rsidP="00962748">
            <w:pPr>
              <w:pStyle w:val="Tablebody"/>
              <w:rPr>
                <w:rFonts w:cs="Open Sans"/>
                <w:szCs w:val="18"/>
              </w:rPr>
            </w:pPr>
            <w:r w:rsidRPr="008B7814">
              <w:rPr>
                <w:rFonts w:cs="Open Sans"/>
                <w:szCs w:val="18"/>
              </w:rPr>
              <w:t>V2</w:t>
            </w:r>
          </w:p>
        </w:tc>
        <w:tc>
          <w:tcPr>
            <w:tcW w:w="3685" w:type="dxa"/>
          </w:tcPr>
          <w:p w14:paraId="0222FD50" w14:textId="28568304"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Violence against women is a problem in</w:t>
            </w:r>
            <w:r w:rsidR="0028590E">
              <w:rPr>
                <w:rFonts w:cs="Open Sans"/>
                <w:szCs w:val="18"/>
              </w:rPr>
              <w:t> </w:t>
            </w:r>
            <w:r w:rsidRPr="008B7814">
              <w:rPr>
                <w:rFonts w:cs="Open Sans"/>
                <w:szCs w:val="18"/>
              </w:rPr>
              <w:t>the suburb or town where you live</w:t>
            </w:r>
            <w:r w:rsidRPr="008B7814">
              <w:rPr>
                <w:rFonts w:ascii="Montserrat" w:hAnsi="Montserrat" w:cs="Montserrat"/>
                <w:szCs w:val="18"/>
                <w:lang w:val="en-US"/>
              </w:rPr>
              <w:t>~</w:t>
            </w:r>
          </w:p>
        </w:tc>
        <w:tc>
          <w:tcPr>
            <w:tcW w:w="1474" w:type="dxa"/>
          </w:tcPr>
          <w:p w14:paraId="135C902D" w14:textId="6D7D6B5F"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Young women</w:t>
            </w:r>
          </w:p>
        </w:tc>
        <w:tc>
          <w:tcPr>
            <w:tcW w:w="453" w:type="dxa"/>
          </w:tcPr>
          <w:p w14:paraId="6113C4F9" w14:textId="7F8D0695"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206</w:t>
            </w:r>
          </w:p>
        </w:tc>
        <w:tc>
          <w:tcPr>
            <w:tcW w:w="1077" w:type="dxa"/>
          </w:tcPr>
          <w:p w14:paraId="4E785EE5" w14:textId="604271B2"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21.97</w:t>
            </w:r>
          </w:p>
        </w:tc>
        <w:tc>
          <w:tcPr>
            <w:tcW w:w="1248" w:type="dxa"/>
          </w:tcPr>
          <w:p w14:paraId="7ADD5A3E" w14:textId="7010A555"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42.18</w:t>
            </w:r>
          </w:p>
        </w:tc>
        <w:tc>
          <w:tcPr>
            <w:tcW w:w="1133" w:type="dxa"/>
          </w:tcPr>
          <w:p w14:paraId="18DC01AC" w14:textId="49A3AEC1"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7.03</w:t>
            </w:r>
            <w:r w:rsidRPr="008B7814">
              <w:rPr>
                <w:rFonts w:cs="Open Sans"/>
                <w:sz w:val="16"/>
                <w:szCs w:val="16"/>
                <w:vertAlign w:val="superscript"/>
              </w:rPr>
              <w:t>c</w:t>
            </w:r>
          </w:p>
        </w:tc>
        <w:tc>
          <w:tcPr>
            <w:tcW w:w="1191" w:type="dxa"/>
          </w:tcPr>
          <w:p w14:paraId="4B38F4C8" w14:textId="27740C23"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15.74</w:t>
            </w:r>
          </w:p>
        </w:tc>
        <w:tc>
          <w:tcPr>
            <w:tcW w:w="1021" w:type="dxa"/>
          </w:tcPr>
          <w:p w14:paraId="63137991" w14:textId="2A027561"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5.24</w:t>
            </w:r>
            <w:r w:rsidRPr="008B7814">
              <w:rPr>
                <w:rFonts w:cs="Open Sans"/>
                <w:szCs w:val="18"/>
                <w:vertAlign w:val="superscript"/>
              </w:rPr>
              <w:t>c</w:t>
            </w:r>
          </w:p>
        </w:tc>
        <w:tc>
          <w:tcPr>
            <w:tcW w:w="907" w:type="dxa"/>
          </w:tcPr>
          <w:p w14:paraId="7D2B9281" w14:textId="3B5DDBD6"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7.84</w:t>
            </w:r>
          </w:p>
        </w:tc>
        <w:tc>
          <w:tcPr>
            <w:tcW w:w="963" w:type="dxa"/>
          </w:tcPr>
          <w:p w14:paraId="0BA04F1C" w14:textId="1AC7732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lang w:val="en-US"/>
              </w:rPr>
              <w:t>64.15*</w:t>
            </w:r>
          </w:p>
        </w:tc>
        <w:tc>
          <w:tcPr>
            <w:tcW w:w="1078" w:type="dxa"/>
          </w:tcPr>
          <w:p w14:paraId="20079C8C" w14:textId="7099E49A" w:rsidR="00930C8A" w:rsidRPr="008B7814" w:rsidRDefault="00930C8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8B7814">
              <w:rPr>
                <w:rFonts w:cs="Open Sans"/>
                <w:szCs w:val="18"/>
              </w:rPr>
              <w:t>20.98</w:t>
            </w:r>
          </w:p>
        </w:tc>
      </w:tr>
    </w:tbl>
    <w:p w14:paraId="0A28F98C" w14:textId="77777777" w:rsidR="008B7814" w:rsidRPr="008B7814" w:rsidRDefault="008B7814" w:rsidP="00C84EA3">
      <w:pPr>
        <w:pStyle w:val="datatablenote"/>
      </w:pPr>
      <w:r w:rsidRPr="008B7814">
        <w:rPr>
          <w:b/>
        </w:rPr>
        <w:t>Note:</w:t>
      </w:r>
      <w:r w:rsidRPr="008B7814">
        <w:t xml:space="preserve"> Numbers in bold reflect the significantly higher value in the comparison.</w:t>
      </w:r>
    </w:p>
    <w:p w14:paraId="60FA1EEA" w14:textId="77777777" w:rsidR="008B7814" w:rsidRPr="008B7814" w:rsidRDefault="008B7814" w:rsidP="00C84EA3">
      <w:pPr>
        <w:pStyle w:val="datatablenote"/>
      </w:pPr>
      <w:r w:rsidRPr="008B7814">
        <w:t>Percentages may not add to 100 as the “unanswered” category is not shown in the table.</w:t>
      </w:r>
    </w:p>
    <w:p w14:paraId="7680D38B" w14:textId="77777777" w:rsidR="008B7814" w:rsidRPr="008B7814" w:rsidRDefault="008B7814" w:rsidP="00C84EA3">
      <w:pPr>
        <w:pStyle w:val="datatablenote"/>
      </w:pPr>
      <w:r w:rsidRPr="008B7814">
        <w:rPr>
          <w:b/>
        </w:rPr>
        <w:t>a</w:t>
      </w:r>
      <w:r w:rsidRPr="008B7814">
        <w:t xml:space="preserve"> “Net agree” refers to answering “agree” either “strongly” or “somewhat”.</w:t>
      </w:r>
    </w:p>
    <w:p w14:paraId="474061D9" w14:textId="77777777" w:rsidR="008B7814" w:rsidRPr="008B7814" w:rsidRDefault="008B7814" w:rsidP="00C84EA3">
      <w:pPr>
        <w:pStyle w:val="datatablenote"/>
      </w:pPr>
      <w:r w:rsidRPr="008B7814">
        <w:rPr>
          <w:b/>
        </w:rPr>
        <w:t>b</w:t>
      </w:r>
      <w:r w:rsidRPr="008B7814">
        <w:t xml:space="preserve"> “Net disagree” refers to answering “disagree” either “strongly” or “somewhat”.</w:t>
      </w:r>
    </w:p>
    <w:p w14:paraId="0BF6A078" w14:textId="77777777" w:rsidR="008B7814" w:rsidRPr="008B7814" w:rsidRDefault="008B7814" w:rsidP="00C84EA3">
      <w:pPr>
        <w:pStyle w:val="datatablenote"/>
      </w:pPr>
      <w:r w:rsidRPr="008B7814">
        <w:rPr>
          <w:b/>
        </w:rPr>
        <w:t>c</w:t>
      </w:r>
      <w:r w:rsidRPr="008B7814">
        <w:t xml:space="preserve"> This result should be interpreted with caution because it has a relative standard error &gt;25%.</w:t>
      </w:r>
    </w:p>
    <w:p w14:paraId="0F76DEE2" w14:textId="77777777" w:rsidR="008B7814" w:rsidRPr="008B7814" w:rsidRDefault="008B7814" w:rsidP="00C84EA3">
      <w:pPr>
        <w:pStyle w:val="datatablenote"/>
      </w:pPr>
      <w:r w:rsidRPr="008B7814">
        <w:t>* Statistically significant difference between young men and young women.</w:t>
      </w:r>
    </w:p>
    <w:p w14:paraId="5E513BEC" w14:textId="77777777" w:rsidR="008B7814" w:rsidRPr="008B7814" w:rsidRDefault="008B7814" w:rsidP="00C84EA3">
      <w:pPr>
        <w:pStyle w:val="datatablenote"/>
      </w:pPr>
      <w:r w:rsidRPr="008B7814">
        <w:rPr>
          <w:rFonts w:ascii="Montserrat" w:hAnsi="Montserrat" w:cs="Montserrat"/>
        </w:rPr>
        <w:t>~</w:t>
      </w:r>
      <w:r w:rsidRPr="008B7814">
        <w:t xml:space="preserve"> Asked of one quarter of the sample.</w:t>
      </w:r>
    </w:p>
    <w:p w14:paraId="76769A28" w14:textId="5FACFC0C" w:rsidR="0062651F" w:rsidRDefault="0062651F" w:rsidP="00F5214A">
      <w:pPr>
        <w:pStyle w:val="TableheadingTablesandfigures"/>
      </w:pPr>
      <w:bookmarkStart w:id="277" w:name="_Toc187402260"/>
      <w:r>
        <w:lastRenderedPageBreak/>
        <w:t xml:space="preserve">Table </w:t>
      </w:r>
      <w:r w:rsidR="004A7ED7">
        <w:fldChar w:fldCharType="begin"/>
      </w:r>
      <w:r w:rsidR="004A7ED7">
        <w:instrText xml:space="preserve"> STYLEREF 1 \s </w:instrText>
      </w:r>
      <w:r w:rsidR="004A7ED7">
        <w:fldChar w:fldCharType="separate"/>
      </w:r>
      <w:r w:rsidR="004A7ED7">
        <w:rPr>
          <w:noProof/>
        </w:rPr>
        <w:t>15</w:t>
      </w:r>
      <w:r w:rsidR="004A7ED7">
        <w:rPr>
          <w:noProof/>
        </w:rPr>
        <w:fldChar w:fldCharType="end"/>
      </w:r>
      <w:r w:rsidR="003B15D6">
        <w:t>-</w:t>
      </w:r>
      <w:r w:rsidR="004A7ED7">
        <w:fldChar w:fldCharType="begin"/>
      </w:r>
      <w:r w:rsidR="004A7ED7">
        <w:instrText xml:space="preserve"> SEQ Table \* ARABIC \s 1 </w:instrText>
      </w:r>
      <w:r w:rsidR="004A7ED7">
        <w:fldChar w:fldCharType="separate"/>
      </w:r>
      <w:r w:rsidR="004A7ED7">
        <w:rPr>
          <w:noProof/>
        </w:rPr>
        <w:t>6</w:t>
      </w:r>
      <w:r w:rsidR="004A7ED7">
        <w:rPr>
          <w:noProof/>
        </w:rPr>
        <w:fldChar w:fldCharType="end"/>
      </w:r>
      <w:r w:rsidRPr="0062651F">
        <w:t xml:space="preserve">: </w:t>
      </w:r>
      <w:r w:rsidR="007134A4">
        <w:tab/>
      </w:r>
      <w:r w:rsidRPr="0062651F">
        <w:t>Attitudes towards Gender Inequality Scale (AGIS) items by gender, young men and women, 2021</w:t>
      </w:r>
      <w:bookmarkEnd w:id="277"/>
    </w:p>
    <w:p w14:paraId="7E9BA42C" w14:textId="3EB4F9F3" w:rsidR="00875FA0" w:rsidRPr="00875FA0" w:rsidRDefault="00875FA0" w:rsidP="00966261">
      <w:pPr>
        <w:pStyle w:val="Tablesubheading0"/>
      </w:pPr>
      <w:r>
        <w:t>Subscale:</w:t>
      </w:r>
      <w:r w:rsidRPr="00875FA0">
        <w:t xml:space="preserve"> </w:t>
      </w:r>
      <w:r w:rsidRPr="0062651F">
        <w:t>Deny Gender Inequality</w:t>
      </w:r>
    </w:p>
    <w:tbl>
      <w:tblPr>
        <w:tblStyle w:val="Table-SingleHeaderRow"/>
        <w:tblW w:w="0" w:type="auto"/>
        <w:tblLayout w:type="fixed"/>
        <w:tblLook w:val="00A0" w:firstRow="1" w:lastRow="0" w:firstColumn="1" w:lastColumn="0" w:noHBand="0" w:noVBand="0"/>
      </w:tblPr>
      <w:tblGrid>
        <w:gridCol w:w="737"/>
        <w:gridCol w:w="3458"/>
        <w:gridCol w:w="1474"/>
        <w:gridCol w:w="567"/>
        <w:gridCol w:w="1191"/>
        <w:gridCol w:w="1304"/>
        <w:gridCol w:w="1299"/>
        <w:gridCol w:w="1110"/>
        <w:gridCol w:w="1361"/>
        <w:gridCol w:w="1304"/>
        <w:gridCol w:w="1134"/>
      </w:tblGrid>
      <w:tr w:rsidR="00875FA0" w:rsidRPr="0062651F" w14:paraId="7AD73142"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3D09DD3B" w14:textId="77777777" w:rsidR="00875FA0" w:rsidRPr="0062651F" w:rsidRDefault="00875FA0" w:rsidP="00962748">
            <w:pPr>
              <w:pStyle w:val="Tablebody"/>
              <w:rPr>
                <w:b w:val="0"/>
                <w:lang w:val="en-GB"/>
              </w:rPr>
            </w:pPr>
            <w:r w:rsidRPr="0062651F">
              <w:t>Code</w:t>
            </w:r>
          </w:p>
        </w:tc>
        <w:tc>
          <w:tcPr>
            <w:tcW w:w="3458" w:type="dxa"/>
          </w:tcPr>
          <w:p w14:paraId="3E790224"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Abbreviated item wording</w:t>
            </w:r>
          </w:p>
        </w:tc>
        <w:tc>
          <w:tcPr>
            <w:tcW w:w="1474" w:type="dxa"/>
          </w:tcPr>
          <w:p w14:paraId="4353F386"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Gender</w:t>
            </w:r>
          </w:p>
        </w:tc>
        <w:tc>
          <w:tcPr>
            <w:tcW w:w="567" w:type="dxa"/>
          </w:tcPr>
          <w:p w14:paraId="06B22A5C"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2651F">
              <w:rPr>
                <w:rStyle w:val="Emphasis"/>
                <w:lang w:val="en-US"/>
              </w:rPr>
              <w:t>N</w:t>
            </w:r>
          </w:p>
        </w:tc>
        <w:tc>
          <w:tcPr>
            <w:tcW w:w="1191" w:type="dxa"/>
          </w:tcPr>
          <w:p w14:paraId="7C0FB441"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agree</w:t>
            </w:r>
          </w:p>
        </w:tc>
        <w:tc>
          <w:tcPr>
            <w:tcW w:w="1304" w:type="dxa"/>
          </w:tcPr>
          <w:p w14:paraId="01832198"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agree</w:t>
            </w:r>
          </w:p>
        </w:tc>
        <w:tc>
          <w:tcPr>
            <w:tcW w:w="1299" w:type="dxa"/>
          </w:tcPr>
          <w:p w14:paraId="1EAC80FD"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disagree</w:t>
            </w:r>
          </w:p>
        </w:tc>
        <w:tc>
          <w:tcPr>
            <w:tcW w:w="1110" w:type="dxa"/>
          </w:tcPr>
          <w:p w14:paraId="5ADD294D"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disagree</w:t>
            </w:r>
          </w:p>
        </w:tc>
        <w:tc>
          <w:tcPr>
            <w:tcW w:w="1361" w:type="dxa"/>
          </w:tcPr>
          <w:p w14:paraId="71864793"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Undecided</w:t>
            </w:r>
          </w:p>
        </w:tc>
        <w:tc>
          <w:tcPr>
            <w:tcW w:w="1304" w:type="dxa"/>
          </w:tcPr>
          <w:p w14:paraId="4774B768"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agree</w:t>
            </w:r>
            <w:r w:rsidRPr="0062651F">
              <w:rPr>
                <w:vertAlign w:val="superscript"/>
              </w:rPr>
              <w:t>a</w:t>
            </w:r>
          </w:p>
        </w:tc>
        <w:tc>
          <w:tcPr>
            <w:tcW w:w="1134" w:type="dxa"/>
          </w:tcPr>
          <w:p w14:paraId="63ACE4ED"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disagree</w:t>
            </w:r>
            <w:r w:rsidRPr="0062651F">
              <w:rPr>
                <w:vertAlign w:val="superscript"/>
              </w:rPr>
              <w:t>b</w:t>
            </w:r>
          </w:p>
        </w:tc>
      </w:tr>
      <w:tr w:rsidR="00576B5D" w:rsidRPr="0062651F" w14:paraId="133A887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A3F395F" w14:textId="77777777" w:rsidR="00576B5D" w:rsidRPr="0062651F" w:rsidRDefault="00576B5D" w:rsidP="00962748">
            <w:pPr>
              <w:pStyle w:val="Tablebody"/>
              <w:rPr>
                <w:rFonts w:cs="Open Sans"/>
                <w:szCs w:val="18"/>
                <w:lang w:val="en-GB"/>
              </w:rPr>
            </w:pPr>
            <w:r w:rsidRPr="0062651F">
              <w:rPr>
                <w:rFonts w:cs="Open Sans"/>
                <w:szCs w:val="18"/>
              </w:rPr>
              <w:t>G1</w:t>
            </w:r>
          </w:p>
        </w:tc>
        <w:tc>
          <w:tcPr>
            <w:tcW w:w="3458" w:type="dxa"/>
          </w:tcPr>
          <w:p w14:paraId="2688C356"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Many women exaggerate how unequally women are treated in Australia^</w:t>
            </w:r>
          </w:p>
        </w:tc>
        <w:tc>
          <w:tcPr>
            <w:tcW w:w="1474" w:type="dxa"/>
          </w:tcPr>
          <w:p w14:paraId="67BA7B34"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7815663C"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62D984C4" w14:textId="3B4BBAF1"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10.16*</w:t>
            </w:r>
          </w:p>
        </w:tc>
        <w:tc>
          <w:tcPr>
            <w:tcW w:w="1304" w:type="dxa"/>
          </w:tcPr>
          <w:p w14:paraId="6EC41D65" w14:textId="7B6C0555"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37.65*</w:t>
            </w:r>
          </w:p>
        </w:tc>
        <w:tc>
          <w:tcPr>
            <w:tcW w:w="1299" w:type="dxa"/>
          </w:tcPr>
          <w:p w14:paraId="05BD632E" w14:textId="487B8EE5"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25.71</w:t>
            </w:r>
          </w:p>
        </w:tc>
        <w:tc>
          <w:tcPr>
            <w:tcW w:w="1110" w:type="dxa"/>
          </w:tcPr>
          <w:p w14:paraId="0C6360E7" w14:textId="4115028B"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19.34*</w:t>
            </w:r>
          </w:p>
        </w:tc>
        <w:tc>
          <w:tcPr>
            <w:tcW w:w="1361" w:type="dxa"/>
          </w:tcPr>
          <w:p w14:paraId="3B5AE8CB" w14:textId="5704D21D"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6.50*</w:t>
            </w:r>
          </w:p>
        </w:tc>
        <w:tc>
          <w:tcPr>
            <w:tcW w:w="1304" w:type="dxa"/>
          </w:tcPr>
          <w:p w14:paraId="3354A119" w14:textId="1BDF4C4D"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47.81*</w:t>
            </w:r>
          </w:p>
        </w:tc>
        <w:tc>
          <w:tcPr>
            <w:tcW w:w="1134" w:type="dxa"/>
          </w:tcPr>
          <w:p w14:paraId="4F3083BB" w14:textId="5BF6887F"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45.04*</w:t>
            </w:r>
          </w:p>
        </w:tc>
      </w:tr>
      <w:tr w:rsidR="00576B5D" w:rsidRPr="0062651F" w14:paraId="5651A6F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1EEE821" w14:textId="6A5BAC19" w:rsidR="00576B5D" w:rsidRPr="0062651F" w:rsidRDefault="00576B5D" w:rsidP="00962748">
            <w:pPr>
              <w:pStyle w:val="Tablebody"/>
              <w:rPr>
                <w:rFonts w:cs="Open Sans"/>
                <w:szCs w:val="18"/>
              </w:rPr>
            </w:pPr>
            <w:r w:rsidRPr="0062651F">
              <w:rPr>
                <w:rFonts w:cs="Open Sans"/>
                <w:szCs w:val="18"/>
              </w:rPr>
              <w:t>G1</w:t>
            </w:r>
          </w:p>
        </w:tc>
        <w:tc>
          <w:tcPr>
            <w:tcW w:w="3458" w:type="dxa"/>
          </w:tcPr>
          <w:p w14:paraId="254C236A" w14:textId="334BC6E1"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Many women exaggerate how unequally women are treated in Australia^</w:t>
            </w:r>
          </w:p>
        </w:tc>
        <w:tc>
          <w:tcPr>
            <w:tcW w:w="1474" w:type="dxa"/>
          </w:tcPr>
          <w:p w14:paraId="74F762C9" w14:textId="7D19777B"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5195AB96" w14:textId="5509B06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75E468FD" w14:textId="6FC15008"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4.47*</w:t>
            </w:r>
          </w:p>
        </w:tc>
        <w:tc>
          <w:tcPr>
            <w:tcW w:w="1304" w:type="dxa"/>
          </w:tcPr>
          <w:p w14:paraId="569CA766" w14:textId="66284355"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20.96*</w:t>
            </w:r>
          </w:p>
        </w:tc>
        <w:tc>
          <w:tcPr>
            <w:tcW w:w="1299" w:type="dxa"/>
          </w:tcPr>
          <w:p w14:paraId="52CEC6B3" w14:textId="31ABFA9B"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26.63</w:t>
            </w:r>
          </w:p>
        </w:tc>
        <w:tc>
          <w:tcPr>
            <w:tcW w:w="1110" w:type="dxa"/>
          </w:tcPr>
          <w:p w14:paraId="61A9A847" w14:textId="2DB9E746"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46.72*</w:t>
            </w:r>
          </w:p>
        </w:tc>
        <w:tc>
          <w:tcPr>
            <w:tcW w:w="1361" w:type="dxa"/>
          </w:tcPr>
          <w:p w14:paraId="44A9912C" w14:textId="4FEA2F89"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1.23*</w:t>
            </w:r>
            <w:r w:rsidRPr="0062651F">
              <w:rPr>
                <w:rFonts w:cs="Open Sans"/>
                <w:szCs w:val="18"/>
                <w:vertAlign w:val="superscript"/>
              </w:rPr>
              <w:t xml:space="preserve"> c</w:t>
            </w:r>
          </w:p>
        </w:tc>
        <w:tc>
          <w:tcPr>
            <w:tcW w:w="1304" w:type="dxa"/>
          </w:tcPr>
          <w:p w14:paraId="3833159C" w14:textId="662E8311"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25.42*</w:t>
            </w:r>
          </w:p>
        </w:tc>
        <w:tc>
          <w:tcPr>
            <w:tcW w:w="1134" w:type="dxa"/>
          </w:tcPr>
          <w:p w14:paraId="1AD0C63C" w14:textId="21671D63"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73.35*</w:t>
            </w:r>
          </w:p>
        </w:tc>
      </w:tr>
      <w:tr w:rsidR="00576B5D" w:rsidRPr="0062651F" w14:paraId="5B04481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967FADF" w14:textId="77777777" w:rsidR="00576B5D" w:rsidRPr="0062651F" w:rsidRDefault="00576B5D" w:rsidP="00962748">
            <w:pPr>
              <w:pStyle w:val="Tablebody"/>
              <w:rPr>
                <w:rFonts w:cs="Open Sans"/>
                <w:szCs w:val="18"/>
                <w:lang w:val="en-GB"/>
              </w:rPr>
            </w:pPr>
            <w:r w:rsidRPr="0062651F">
              <w:rPr>
                <w:rFonts w:cs="Open Sans"/>
                <w:szCs w:val="18"/>
              </w:rPr>
              <w:t>G2</w:t>
            </w:r>
          </w:p>
        </w:tc>
        <w:tc>
          <w:tcPr>
            <w:tcW w:w="3458" w:type="dxa"/>
          </w:tcPr>
          <w:p w14:paraId="750FE10D"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Many women mistakenly interpret innocent remarks or acts as being sexist</w:t>
            </w:r>
          </w:p>
        </w:tc>
        <w:tc>
          <w:tcPr>
            <w:tcW w:w="1474" w:type="dxa"/>
          </w:tcPr>
          <w:p w14:paraId="7D3997B8"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257E728B"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4CCF819B" w14:textId="212284C5"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9.99*</w:t>
            </w:r>
          </w:p>
        </w:tc>
        <w:tc>
          <w:tcPr>
            <w:tcW w:w="1304" w:type="dxa"/>
          </w:tcPr>
          <w:p w14:paraId="13578495" w14:textId="15207A30"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35.60*</w:t>
            </w:r>
          </w:p>
        </w:tc>
        <w:tc>
          <w:tcPr>
            <w:tcW w:w="1299" w:type="dxa"/>
          </w:tcPr>
          <w:p w14:paraId="72AD73FE" w14:textId="11766F0F"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32.68</w:t>
            </w:r>
          </w:p>
        </w:tc>
        <w:tc>
          <w:tcPr>
            <w:tcW w:w="1110" w:type="dxa"/>
          </w:tcPr>
          <w:p w14:paraId="773628A6" w14:textId="195C7A79"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15.48*</w:t>
            </w:r>
          </w:p>
        </w:tc>
        <w:tc>
          <w:tcPr>
            <w:tcW w:w="1361" w:type="dxa"/>
          </w:tcPr>
          <w:p w14:paraId="035E556C" w14:textId="33EE6D3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6.07</w:t>
            </w:r>
          </w:p>
        </w:tc>
        <w:tc>
          <w:tcPr>
            <w:tcW w:w="1304" w:type="dxa"/>
          </w:tcPr>
          <w:p w14:paraId="71BC3D88" w14:textId="2BB8036C"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45.59*</w:t>
            </w:r>
          </w:p>
        </w:tc>
        <w:tc>
          <w:tcPr>
            <w:tcW w:w="1134" w:type="dxa"/>
          </w:tcPr>
          <w:p w14:paraId="2F18871E" w14:textId="7657591F"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48.16*</w:t>
            </w:r>
          </w:p>
        </w:tc>
      </w:tr>
      <w:tr w:rsidR="00576B5D" w:rsidRPr="0062651F" w14:paraId="1094EBF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1E32D3F" w14:textId="1F85F26B" w:rsidR="00576B5D" w:rsidRPr="0062651F" w:rsidRDefault="00576B5D" w:rsidP="00962748">
            <w:pPr>
              <w:pStyle w:val="Tablebody"/>
              <w:rPr>
                <w:rFonts w:cs="Open Sans"/>
                <w:szCs w:val="18"/>
              </w:rPr>
            </w:pPr>
            <w:r w:rsidRPr="0062651F">
              <w:rPr>
                <w:rFonts w:cs="Open Sans"/>
                <w:szCs w:val="18"/>
              </w:rPr>
              <w:t>G2</w:t>
            </w:r>
          </w:p>
        </w:tc>
        <w:tc>
          <w:tcPr>
            <w:tcW w:w="3458" w:type="dxa"/>
          </w:tcPr>
          <w:p w14:paraId="734B97A9" w14:textId="07B7806C"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Many women mistakenly interpret innocent remarks or acts as being sexist</w:t>
            </w:r>
          </w:p>
        </w:tc>
        <w:tc>
          <w:tcPr>
            <w:tcW w:w="1474" w:type="dxa"/>
          </w:tcPr>
          <w:p w14:paraId="36061D11" w14:textId="25C673B9"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2395D398" w14:textId="4952346F"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45E32D75" w14:textId="71B250F3"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3.43*</w:t>
            </w:r>
          </w:p>
        </w:tc>
        <w:tc>
          <w:tcPr>
            <w:tcW w:w="1304" w:type="dxa"/>
          </w:tcPr>
          <w:p w14:paraId="3753C708" w14:textId="60D8772E"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22.08*</w:t>
            </w:r>
          </w:p>
        </w:tc>
        <w:tc>
          <w:tcPr>
            <w:tcW w:w="1299" w:type="dxa"/>
          </w:tcPr>
          <w:p w14:paraId="24075C78" w14:textId="6B61181E"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32.29</w:t>
            </w:r>
          </w:p>
        </w:tc>
        <w:tc>
          <w:tcPr>
            <w:tcW w:w="1110" w:type="dxa"/>
          </w:tcPr>
          <w:p w14:paraId="497323E9" w14:textId="06E73322"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38.65*</w:t>
            </w:r>
          </w:p>
        </w:tc>
        <w:tc>
          <w:tcPr>
            <w:tcW w:w="1361" w:type="dxa"/>
          </w:tcPr>
          <w:p w14:paraId="613583F3" w14:textId="6EA1591E"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3.27</w:t>
            </w:r>
          </w:p>
        </w:tc>
        <w:tc>
          <w:tcPr>
            <w:tcW w:w="1304" w:type="dxa"/>
          </w:tcPr>
          <w:p w14:paraId="5D13E71A" w14:textId="3EE4D5D3"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25.51*</w:t>
            </w:r>
          </w:p>
        </w:tc>
        <w:tc>
          <w:tcPr>
            <w:tcW w:w="1134" w:type="dxa"/>
          </w:tcPr>
          <w:p w14:paraId="5F95CAE0" w14:textId="6BEBD84A"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70.95*</w:t>
            </w:r>
          </w:p>
        </w:tc>
      </w:tr>
      <w:tr w:rsidR="00576B5D" w:rsidRPr="0062651F" w14:paraId="7988B3C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8FADFBE" w14:textId="77777777" w:rsidR="00576B5D" w:rsidRPr="0062651F" w:rsidRDefault="00576B5D" w:rsidP="00962748">
            <w:pPr>
              <w:pStyle w:val="Tablebody"/>
              <w:rPr>
                <w:rFonts w:cs="Open Sans"/>
                <w:szCs w:val="18"/>
                <w:lang w:val="en-GB"/>
              </w:rPr>
            </w:pPr>
            <w:r w:rsidRPr="0062651F">
              <w:rPr>
                <w:rFonts w:cs="Open Sans"/>
                <w:szCs w:val="18"/>
              </w:rPr>
              <w:t>G3</w:t>
            </w:r>
          </w:p>
        </w:tc>
        <w:tc>
          <w:tcPr>
            <w:tcW w:w="3458" w:type="dxa"/>
          </w:tcPr>
          <w:p w14:paraId="7B666106"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Many women don’t fully appreciate all that men do for them^</w:t>
            </w:r>
          </w:p>
        </w:tc>
        <w:tc>
          <w:tcPr>
            <w:tcW w:w="1474" w:type="dxa"/>
          </w:tcPr>
          <w:p w14:paraId="21A51DB1"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5670C22D" w14:textId="77777777"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377016FF" w14:textId="2723D6F3"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9.01*</w:t>
            </w:r>
          </w:p>
        </w:tc>
        <w:tc>
          <w:tcPr>
            <w:tcW w:w="1304" w:type="dxa"/>
          </w:tcPr>
          <w:p w14:paraId="401AA936" w14:textId="122DA561"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22.15*</w:t>
            </w:r>
          </w:p>
        </w:tc>
        <w:tc>
          <w:tcPr>
            <w:tcW w:w="1299" w:type="dxa"/>
          </w:tcPr>
          <w:p w14:paraId="27D4BC72" w14:textId="2F4ECB70"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33.85</w:t>
            </w:r>
          </w:p>
        </w:tc>
        <w:tc>
          <w:tcPr>
            <w:tcW w:w="1110" w:type="dxa"/>
          </w:tcPr>
          <w:p w14:paraId="7C94FD31" w14:textId="0CC48A1F"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26.17*</w:t>
            </w:r>
          </w:p>
        </w:tc>
        <w:tc>
          <w:tcPr>
            <w:tcW w:w="1361" w:type="dxa"/>
          </w:tcPr>
          <w:p w14:paraId="07534B90" w14:textId="2C47A5BC"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8.49*</w:t>
            </w:r>
          </w:p>
        </w:tc>
        <w:tc>
          <w:tcPr>
            <w:tcW w:w="1304" w:type="dxa"/>
          </w:tcPr>
          <w:p w14:paraId="4091C932" w14:textId="6AA0B3C4"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31.16*</w:t>
            </w:r>
          </w:p>
        </w:tc>
        <w:tc>
          <w:tcPr>
            <w:tcW w:w="1134" w:type="dxa"/>
          </w:tcPr>
          <w:p w14:paraId="3E0FA70F" w14:textId="1572C67E"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60.03*</w:t>
            </w:r>
          </w:p>
        </w:tc>
      </w:tr>
      <w:tr w:rsidR="00576B5D" w:rsidRPr="0062651F" w14:paraId="60FDFE2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2ECD557" w14:textId="6377BB0C" w:rsidR="00576B5D" w:rsidRPr="0062651F" w:rsidRDefault="00576B5D" w:rsidP="00962748">
            <w:pPr>
              <w:pStyle w:val="Tablebody"/>
              <w:rPr>
                <w:rFonts w:cs="Open Sans"/>
                <w:szCs w:val="18"/>
              </w:rPr>
            </w:pPr>
            <w:r w:rsidRPr="0062651F">
              <w:rPr>
                <w:rFonts w:cs="Open Sans"/>
                <w:szCs w:val="18"/>
              </w:rPr>
              <w:t>G3</w:t>
            </w:r>
          </w:p>
        </w:tc>
        <w:tc>
          <w:tcPr>
            <w:tcW w:w="3458" w:type="dxa"/>
          </w:tcPr>
          <w:p w14:paraId="12C13D7B" w14:textId="6A8568BE"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Many women don’t fully appreciate all that men do for them^</w:t>
            </w:r>
          </w:p>
        </w:tc>
        <w:tc>
          <w:tcPr>
            <w:tcW w:w="1474" w:type="dxa"/>
          </w:tcPr>
          <w:p w14:paraId="1A60471E" w14:textId="1B102940"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7A94FC8C" w14:textId="560B4920"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40A97EF8" w14:textId="0A013868"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2.97*</w:t>
            </w:r>
            <w:r w:rsidRPr="0062651F">
              <w:rPr>
                <w:rFonts w:cs="Open Sans"/>
                <w:szCs w:val="18"/>
                <w:vertAlign w:val="superscript"/>
              </w:rPr>
              <w:t xml:space="preserve"> c</w:t>
            </w:r>
          </w:p>
        </w:tc>
        <w:tc>
          <w:tcPr>
            <w:tcW w:w="1304" w:type="dxa"/>
          </w:tcPr>
          <w:p w14:paraId="4178D087" w14:textId="6BDD90D8"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10.87*</w:t>
            </w:r>
          </w:p>
        </w:tc>
        <w:tc>
          <w:tcPr>
            <w:tcW w:w="1299" w:type="dxa"/>
          </w:tcPr>
          <w:p w14:paraId="52E49C1D" w14:textId="2E0AAEF9"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30.29</w:t>
            </w:r>
          </w:p>
        </w:tc>
        <w:tc>
          <w:tcPr>
            <w:tcW w:w="1110" w:type="dxa"/>
          </w:tcPr>
          <w:p w14:paraId="2745F2E8" w14:textId="6AE74DB6"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52.99*</w:t>
            </w:r>
          </w:p>
        </w:tc>
        <w:tc>
          <w:tcPr>
            <w:tcW w:w="1361" w:type="dxa"/>
          </w:tcPr>
          <w:p w14:paraId="4184771D" w14:textId="469D355B"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2.87*</w:t>
            </w:r>
            <w:r w:rsidRPr="0062651F">
              <w:rPr>
                <w:rFonts w:cs="Open Sans"/>
                <w:szCs w:val="18"/>
                <w:vertAlign w:val="superscript"/>
              </w:rPr>
              <w:t xml:space="preserve"> c</w:t>
            </w:r>
          </w:p>
        </w:tc>
        <w:tc>
          <w:tcPr>
            <w:tcW w:w="1304" w:type="dxa"/>
          </w:tcPr>
          <w:p w14:paraId="11DA5C4B" w14:textId="1814AFD0"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13.85*</w:t>
            </w:r>
          </w:p>
        </w:tc>
        <w:tc>
          <w:tcPr>
            <w:tcW w:w="1134" w:type="dxa"/>
          </w:tcPr>
          <w:p w14:paraId="01136B0A" w14:textId="6CA98A8A" w:rsidR="00576B5D" w:rsidRPr="0062651F" w:rsidRDefault="00576B5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83.28*</w:t>
            </w:r>
          </w:p>
        </w:tc>
      </w:tr>
    </w:tbl>
    <w:p w14:paraId="60BF3EB9" w14:textId="2B660E3B" w:rsidR="00875FA0" w:rsidRDefault="00875FA0" w:rsidP="00966261">
      <w:pPr>
        <w:pStyle w:val="Tablesubheading0"/>
      </w:pPr>
      <w:r>
        <w:t>Subscale:</w:t>
      </w:r>
      <w:r w:rsidRPr="00875FA0">
        <w:t xml:space="preserve"> </w:t>
      </w:r>
      <w:r w:rsidRPr="0062651F">
        <w:t>Limit Autonomy</w:t>
      </w:r>
    </w:p>
    <w:tbl>
      <w:tblPr>
        <w:tblStyle w:val="Table-SingleHeaderRow"/>
        <w:tblW w:w="0" w:type="auto"/>
        <w:tblLayout w:type="fixed"/>
        <w:tblLook w:val="00A0" w:firstRow="1" w:lastRow="0" w:firstColumn="1" w:lastColumn="0" w:noHBand="0" w:noVBand="0"/>
      </w:tblPr>
      <w:tblGrid>
        <w:gridCol w:w="737"/>
        <w:gridCol w:w="3458"/>
        <w:gridCol w:w="1474"/>
        <w:gridCol w:w="567"/>
        <w:gridCol w:w="1191"/>
        <w:gridCol w:w="1304"/>
        <w:gridCol w:w="1299"/>
        <w:gridCol w:w="1110"/>
        <w:gridCol w:w="1361"/>
        <w:gridCol w:w="1304"/>
        <w:gridCol w:w="1134"/>
      </w:tblGrid>
      <w:tr w:rsidR="00875FA0" w:rsidRPr="0062651F" w14:paraId="1B37CF22"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1A182EA0" w14:textId="77777777" w:rsidR="00875FA0" w:rsidRPr="0062651F" w:rsidRDefault="00875FA0" w:rsidP="00962748">
            <w:pPr>
              <w:pStyle w:val="Tablebody"/>
              <w:rPr>
                <w:b w:val="0"/>
                <w:lang w:val="en-GB"/>
              </w:rPr>
            </w:pPr>
            <w:r w:rsidRPr="0062651F">
              <w:t>Code</w:t>
            </w:r>
          </w:p>
        </w:tc>
        <w:tc>
          <w:tcPr>
            <w:tcW w:w="3458" w:type="dxa"/>
          </w:tcPr>
          <w:p w14:paraId="2CC17B21"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Abbreviated item wording</w:t>
            </w:r>
          </w:p>
        </w:tc>
        <w:tc>
          <w:tcPr>
            <w:tcW w:w="1474" w:type="dxa"/>
          </w:tcPr>
          <w:p w14:paraId="159D7403"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Gender</w:t>
            </w:r>
          </w:p>
        </w:tc>
        <w:tc>
          <w:tcPr>
            <w:tcW w:w="567" w:type="dxa"/>
          </w:tcPr>
          <w:p w14:paraId="54785475"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2651F">
              <w:rPr>
                <w:rStyle w:val="Emphasis"/>
                <w:lang w:val="en-US"/>
              </w:rPr>
              <w:t>N</w:t>
            </w:r>
          </w:p>
        </w:tc>
        <w:tc>
          <w:tcPr>
            <w:tcW w:w="1191" w:type="dxa"/>
          </w:tcPr>
          <w:p w14:paraId="274CDD47"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agree</w:t>
            </w:r>
          </w:p>
        </w:tc>
        <w:tc>
          <w:tcPr>
            <w:tcW w:w="1304" w:type="dxa"/>
          </w:tcPr>
          <w:p w14:paraId="4AD1BF4A"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agree</w:t>
            </w:r>
          </w:p>
        </w:tc>
        <w:tc>
          <w:tcPr>
            <w:tcW w:w="1299" w:type="dxa"/>
          </w:tcPr>
          <w:p w14:paraId="6BA45332"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disagree</w:t>
            </w:r>
          </w:p>
        </w:tc>
        <w:tc>
          <w:tcPr>
            <w:tcW w:w="1110" w:type="dxa"/>
          </w:tcPr>
          <w:p w14:paraId="1A1892C9"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disagree</w:t>
            </w:r>
          </w:p>
        </w:tc>
        <w:tc>
          <w:tcPr>
            <w:tcW w:w="1361" w:type="dxa"/>
          </w:tcPr>
          <w:p w14:paraId="3BC3F8F8"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Undecided</w:t>
            </w:r>
          </w:p>
        </w:tc>
        <w:tc>
          <w:tcPr>
            <w:tcW w:w="1304" w:type="dxa"/>
          </w:tcPr>
          <w:p w14:paraId="683314AA"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agree</w:t>
            </w:r>
            <w:r w:rsidRPr="0062651F">
              <w:rPr>
                <w:vertAlign w:val="superscript"/>
              </w:rPr>
              <w:t>a</w:t>
            </w:r>
          </w:p>
        </w:tc>
        <w:tc>
          <w:tcPr>
            <w:tcW w:w="1134" w:type="dxa"/>
          </w:tcPr>
          <w:p w14:paraId="0AAC9E0B"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disagree</w:t>
            </w:r>
            <w:r w:rsidRPr="0062651F">
              <w:rPr>
                <w:vertAlign w:val="superscript"/>
              </w:rPr>
              <w:t>b</w:t>
            </w:r>
          </w:p>
        </w:tc>
      </w:tr>
      <w:tr w:rsidR="00300CE3" w:rsidRPr="0062651F" w14:paraId="1E292F5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7DCE64E" w14:textId="77777777" w:rsidR="00300CE3" w:rsidRPr="0062651F" w:rsidRDefault="00300CE3" w:rsidP="00962748">
            <w:pPr>
              <w:pStyle w:val="Tablebody"/>
              <w:rPr>
                <w:rFonts w:cs="Open Sans"/>
                <w:szCs w:val="18"/>
                <w:lang w:val="en-GB"/>
              </w:rPr>
            </w:pPr>
            <w:r w:rsidRPr="0062651F">
              <w:rPr>
                <w:rFonts w:cs="Open Sans"/>
                <w:szCs w:val="18"/>
              </w:rPr>
              <w:t>G12</w:t>
            </w:r>
          </w:p>
        </w:tc>
        <w:tc>
          <w:tcPr>
            <w:tcW w:w="3458" w:type="dxa"/>
          </w:tcPr>
          <w:p w14:paraId="207C1C39" w14:textId="77777777" w:rsidR="00300CE3" w:rsidRPr="000508F8"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GB"/>
              </w:rPr>
            </w:pPr>
            <w:r w:rsidRPr="000508F8">
              <w:rPr>
                <w:rFonts w:cs="Open Sans"/>
                <w:spacing w:val="-4"/>
                <w:szCs w:val="18"/>
                <w:lang w:val="en-US"/>
              </w:rPr>
              <w:t>Men should take control in relationships and be the head of the household</w:t>
            </w:r>
          </w:p>
        </w:tc>
        <w:tc>
          <w:tcPr>
            <w:tcW w:w="1474" w:type="dxa"/>
          </w:tcPr>
          <w:p w14:paraId="54538109" w14:textId="7777777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228A174E" w14:textId="7777777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4D6B945D" w14:textId="55348850"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4.28</w:t>
            </w:r>
          </w:p>
        </w:tc>
        <w:tc>
          <w:tcPr>
            <w:tcW w:w="1304" w:type="dxa"/>
          </w:tcPr>
          <w:p w14:paraId="0D577CFC" w14:textId="3652FF19"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13.30*</w:t>
            </w:r>
          </w:p>
        </w:tc>
        <w:tc>
          <w:tcPr>
            <w:tcW w:w="1299" w:type="dxa"/>
          </w:tcPr>
          <w:p w14:paraId="0EB969D0" w14:textId="224D3E60"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23.96*</w:t>
            </w:r>
          </w:p>
        </w:tc>
        <w:tc>
          <w:tcPr>
            <w:tcW w:w="1110" w:type="dxa"/>
          </w:tcPr>
          <w:p w14:paraId="450B927F" w14:textId="3289A462"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53.76*</w:t>
            </w:r>
          </w:p>
        </w:tc>
        <w:tc>
          <w:tcPr>
            <w:tcW w:w="1361" w:type="dxa"/>
          </w:tcPr>
          <w:p w14:paraId="5FBC2B1D" w14:textId="5F9EC468"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4.62</w:t>
            </w:r>
          </w:p>
        </w:tc>
        <w:tc>
          <w:tcPr>
            <w:tcW w:w="1304" w:type="dxa"/>
          </w:tcPr>
          <w:p w14:paraId="293D61CF" w14:textId="7471A2A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17.58*</w:t>
            </w:r>
          </w:p>
        </w:tc>
        <w:tc>
          <w:tcPr>
            <w:tcW w:w="1134" w:type="dxa"/>
          </w:tcPr>
          <w:p w14:paraId="0951B213" w14:textId="0338F454"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77.71*</w:t>
            </w:r>
          </w:p>
        </w:tc>
      </w:tr>
      <w:tr w:rsidR="00300CE3" w:rsidRPr="0062651F" w14:paraId="5F62C01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A0F3C97" w14:textId="44D74B12" w:rsidR="00300CE3" w:rsidRPr="0062651F" w:rsidRDefault="00300CE3" w:rsidP="00962748">
            <w:pPr>
              <w:pStyle w:val="Tablebody"/>
              <w:rPr>
                <w:rFonts w:cs="Open Sans"/>
                <w:szCs w:val="18"/>
              </w:rPr>
            </w:pPr>
            <w:r w:rsidRPr="0062651F">
              <w:rPr>
                <w:rFonts w:cs="Open Sans"/>
                <w:szCs w:val="18"/>
              </w:rPr>
              <w:t>G12</w:t>
            </w:r>
          </w:p>
        </w:tc>
        <w:tc>
          <w:tcPr>
            <w:tcW w:w="3458" w:type="dxa"/>
          </w:tcPr>
          <w:p w14:paraId="259424C1" w14:textId="75095999" w:rsidR="00300CE3" w:rsidRPr="000508F8"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pacing w:val="-4"/>
                <w:szCs w:val="18"/>
                <w:lang w:val="en-US"/>
              </w:rPr>
            </w:pPr>
            <w:r w:rsidRPr="000508F8">
              <w:rPr>
                <w:rFonts w:cs="Open Sans"/>
                <w:spacing w:val="-4"/>
                <w:szCs w:val="18"/>
                <w:lang w:val="en-US"/>
              </w:rPr>
              <w:t>Men should take control in relationships and be the head of the household</w:t>
            </w:r>
          </w:p>
        </w:tc>
        <w:tc>
          <w:tcPr>
            <w:tcW w:w="1474" w:type="dxa"/>
          </w:tcPr>
          <w:p w14:paraId="3F52C6EC" w14:textId="02BF4BDB"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65A61829" w14:textId="7FCDBB0A"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2FF9C13A" w14:textId="128D6E7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0.97</w:t>
            </w:r>
            <w:r w:rsidRPr="0062651F">
              <w:rPr>
                <w:rFonts w:cs="Open Sans"/>
                <w:szCs w:val="18"/>
                <w:vertAlign w:val="superscript"/>
              </w:rPr>
              <w:t>c</w:t>
            </w:r>
          </w:p>
        </w:tc>
        <w:tc>
          <w:tcPr>
            <w:tcW w:w="1304" w:type="dxa"/>
          </w:tcPr>
          <w:p w14:paraId="1B7689DE" w14:textId="56D39123"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5.76*</w:t>
            </w:r>
          </w:p>
        </w:tc>
        <w:tc>
          <w:tcPr>
            <w:tcW w:w="1299" w:type="dxa"/>
          </w:tcPr>
          <w:p w14:paraId="2D93BB2D" w14:textId="0D73D79D"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11.18*</w:t>
            </w:r>
          </w:p>
        </w:tc>
        <w:tc>
          <w:tcPr>
            <w:tcW w:w="1110" w:type="dxa"/>
          </w:tcPr>
          <w:p w14:paraId="178089A9" w14:textId="30236B1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80.61*</w:t>
            </w:r>
          </w:p>
        </w:tc>
        <w:tc>
          <w:tcPr>
            <w:tcW w:w="1361" w:type="dxa"/>
          </w:tcPr>
          <w:p w14:paraId="392DE9D8" w14:textId="59D02F04"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1.32</w:t>
            </w:r>
            <w:r w:rsidRPr="0062651F">
              <w:rPr>
                <w:rFonts w:cs="Open Sans"/>
                <w:szCs w:val="18"/>
                <w:vertAlign w:val="superscript"/>
              </w:rPr>
              <w:t>c</w:t>
            </w:r>
          </w:p>
        </w:tc>
        <w:tc>
          <w:tcPr>
            <w:tcW w:w="1304" w:type="dxa"/>
          </w:tcPr>
          <w:p w14:paraId="3170C7F4" w14:textId="22A8883E"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6.73*</w:t>
            </w:r>
          </w:p>
        </w:tc>
        <w:tc>
          <w:tcPr>
            <w:tcW w:w="1134" w:type="dxa"/>
          </w:tcPr>
          <w:p w14:paraId="4EB3B63A" w14:textId="367F798E"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91.78*</w:t>
            </w:r>
          </w:p>
        </w:tc>
      </w:tr>
      <w:tr w:rsidR="00300CE3" w:rsidRPr="0062651F" w14:paraId="56941EA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F2D7F5E" w14:textId="77777777" w:rsidR="00300CE3" w:rsidRPr="0062651F" w:rsidRDefault="00300CE3" w:rsidP="00962748">
            <w:pPr>
              <w:pStyle w:val="Tablebody"/>
              <w:rPr>
                <w:rFonts w:cs="Open Sans"/>
                <w:szCs w:val="18"/>
                <w:lang w:val="en-GB"/>
              </w:rPr>
            </w:pPr>
            <w:r w:rsidRPr="0062651F">
              <w:rPr>
                <w:rFonts w:cs="Open Sans"/>
                <w:szCs w:val="18"/>
              </w:rPr>
              <w:t>G13</w:t>
            </w:r>
          </w:p>
        </w:tc>
        <w:tc>
          <w:tcPr>
            <w:tcW w:w="3458" w:type="dxa"/>
          </w:tcPr>
          <w:p w14:paraId="7F7BFF6D" w14:textId="16EA041D"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Women prefer a man to be in charge of the relationship</w:t>
            </w:r>
          </w:p>
        </w:tc>
        <w:tc>
          <w:tcPr>
            <w:tcW w:w="1474" w:type="dxa"/>
          </w:tcPr>
          <w:p w14:paraId="53030756" w14:textId="7777777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363D4922" w14:textId="77777777"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62AE70D4" w14:textId="795E97F3"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3.78</w:t>
            </w:r>
          </w:p>
        </w:tc>
        <w:tc>
          <w:tcPr>
            <w:tcW w:w="1304" w:type="dxa"/>
          </w:tcPr>
          <w:p w14:paraId="72486201" w14:textId="15B318B8"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30.16*</w:t>
            </w:r>
          </w:p>
        </w:tc>
        <w:tc>
          <w:tcPr>
            <w:tcW w:w="1299" w:type="dxa"/>
          </w:tcPr>
          <w:p w14:paraId="2C6BA476" w14:textId="55077852"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27.16</w:t>
            </w:r>
          </w:p>
        </w:tc>
        <w:tc>
          <w:tcPr>
            <w:tcW w:w="1110" w:type="dxa"/>
          </w:tcPr>
          <w:p w14:paraId="2EC862CD" w14:textId="3107DBD4"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28.66*</w:t>
            </w:r>
          </w:p>
        </w:tc>
        <w:tc>
          <w:tcPr>
            <w:tcW w:w="1361" w:type="dxa"/>
          </w:tcPr>
          <w:p w14:paraId="3B78A889" w14:textId="0AA3074C"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10.01*</w:t>
            </w:r>
          </w:p>
        </w:tc>
        <w:tc>
          <w:tcPr>
            <w:tcW w:w="1304" w:type="dxa"/>
          </w:tcPr>
          <w:p w14:paraId="095CEC9D" w14:textId="4D63F4CB"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33.94*</w:t>
            </w:r>
          </w:p>
        </w:tc>
        <w:tc>
          <w:tcPr>
            <w:tcW w:w="1134" w:type="dxa"/>
          </w:tcPr>
          <w:p w14:paraId="60812C7A" w14:textId="5444D8C0"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55.82*</w:t>
            </w:r>
          </w:p>
        </w:tc>
      </w:tr>
      <w:tr w:rsidR="00300CE3" w:rsidRPr="0062651F" w14:paraId="3A5837F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59BF334" w14:textId="32933E2E" w:rsidR="00300CE3" w:rsidRPr="0062651F" w:rsidRDefault="00300CE3" w:rsidP="00962748">
            <w:pPr>
              <w:pStyle w:val="Tablebody"/>
              <w:rPr>
                <w:rFonts w:cs="Open Sans"/>
                <w:szCs w:val="18"/>
              </w:rPr>
            </w:pPr>
            <w:r w:rsidRPr="0062651F">
              <w:rPr>
                <w:rFonts w:cs="Open Sans"/>
                <w:szCs w:val="18"/>
              </w:rPr>
              <w:t>G13</w:t>
            </w:r>
          </w:p>
        </w:tc>
        <w:tc>
          <w:tcPr>
            <w:tcW w:w="3458" w:type="dxa"/>
          </w:tcPr>
          <w:p w14:paraId="1ACDD135" w14:textId="2F50C078"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Women prefer a man to be in charge of the relationship</w:t>
            </w:r>
          </w:p>
        </w:tc>
        <w:tc>
          <w:tcPr>
            <w:tcW w:w="1474" w:type="dxa"/>
          </w:tcPr>
          <w:p w14:paraId="64DFA463" w14:textId="47F48699"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72B24467" w14:textId="0ADC6E9B"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3BF70679" w14:textId="458BEDAD"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1.34</w:t>
            </w:r>
            <w:r w:rsidRPr="0062651F">
              <w:rPr>
                <w:rFonts w:cs="Open Sans"/>
                <w:szCs w:val="18"/>
                <w:vertAlign w:val="superscript"/>
              </w:rPr>
              <w:t>c</w:t>
            </w:r>
          </w:p>
        </w:tc>
        <w:tc>
          <w:tcPr>
            <w:tcW w:w="1304" w:type="dxa"/>
          </w:tcPr>
          <w:p w14:paraId="0EC02EE5" w14:textId="2429D69F"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16.45*</w:t>
            </w:r>
          </w:p>
        </w:tc>
        <w:tc>
          <w:tcPr>
            <w:tcW w:w="1299" w:type="dxa"/>
          </w:tcPr>
          <w:p w14:paraId="7DD3BFFC" w14:textId="741B6441"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29.38</w:t>
            </w:r>
          </w:p>
        </w:tc>
        <w:tc>
          <w:tcPr>
            <w:tcW w:w="1110" w:type="dxa"/>
          </w:tcPr>
          <w:p w14:paraId="3F791A9C" w14:textId="59E2114A"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49.93*</w:t>
            </w:r>
          </w:p>
        </w:tc>
        <w:tc>
          <w:tcPr>
            <w:tcW w:w="1361" w:type="dxa"/>
          </w:tcPr>
          <w:p w14:paraId="23FEBA73" w14:textId="50BE3181"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2.73*</w:t>
            </w:r>
          </w:p>
        </w:tc>
        <w:tc>
          <w:tcPr>
            <w:tcW w:w="1304" w:type="dxa"/>
          </w:tcPr>
          <w:p w14:paraId="7E439734" w14:textId="2B7DF1BD"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17.79*</w:t>
            </w:r>
          </w:p>
        </w:tc>
        <w:tc>
          <w:tcPr>
            <w:tcW w:w="1134" w:type="dxa"/>
          </w:tcPr>
          <w:p w14:paraId="020CA666" w14:textId="19AFAB44" w:rsidR="00300CE3" w:rsidRPr="0062651F" w:rsidRDefault="00300CE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79.31*</w:t>
            </w:r>
          </w:p>
        </w:tc>
      </w:tr>
    </w:tbl>
    <w:p w14:paraId="38598D11" w14:textId="1374CD78" w:rsidR="00875FA0" w:rsidRDefault="00875FA0" w:rsidP="00966261">
      <w:pPr>
        <w:pStyle w:val="Tablesubheading0"/>
      </w:pPr>
      <w:r>
        <w:lastRenderedPageBreak/>
        <w:t>Subscale:</w:t>
      </w:r>
      <w:r w:rsidRPr="00875FA0">
        <w:t xml:space="preserve"> </w:t>
      </w:r>
      <w:r w:rsidRPr="0062651F">
        <w:t>Normalise Sexism</w:t>
      </w:r>
    </w:p>
    <w:tbl>
      <w:tblPr>
        <w:tblStyle w:val="Table-SingleHeaderRow"/>
        <w:tblW w:w="0" w:type="auto"/>
        <w:tblLayout w:type="fixed"/>
        <w:tblLook w:val="00A0" w:firstRow="1" w:lastRow="0" w:firstColumn="1" w:lastColumn="0" w:noHBand="0" w:noVBand="0"/>
      </w:tblPr>
      <w:tblGrid>
        <w:gridCol w:w="737"/>
        <w:gridCol w:w="3458"/>
        <w:gridCol w:w="1474"/>
        <w:gridCol w:w="567"/>
        <w:gridCol w:w="1191"/>
        <w:gridCol w:w="1304"/>
        <w:gridCol w:w="1299"/>
        <w:gridCol w:w="1110"/>
        <w:gridCol w:w="1361"/>
        <w:gridCol w:w="1304"/>
        <w:gridCol w:w="1134"/>
      </w:tblGrid>
      <w:tr w:rsidR="00875FA0" w:rsidRPr="0062651F" w14:paraId="5DF8E55D"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1C8E63E4" w14:textId="77777777" w:rsidR="00875FA0" w:rsidRPr="0062651F" w:rsidRDefault="00875FA0" w:rsidP="00962748">
            <w:pPr>
              <w:pStyle w:val="Tablebody"/>
              <w:rPr>
                <w:b w:val="0"/>
                <w:lang w:val="en-GB"/>
              </w:rPr>
            </w:pPr>
            <w:r w:rsidRPr="0062651F">
              <w:t>Code</w:t>
            </w:r>
          </w:p>
        </w:tc>
        <w:tc>
          <w:tcPr>
            <w:tcW w:w="3458" w:type="dxa"/>
          </w:tcPr>
          <w:p w14:paraId="1D9ADAED"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Abbreviated item wording</w:t>
            </w:r>
          </w:p>
        </w:tc>
        <w:tc>
          <w:tcPr>
            <w:tcW w:w="1474" w:type="dxa"/>
          </w:tcPr>
          <w:p w14:paraId="58CD794F"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Gender</w:t>
            </w:r>
          </w:p>
        </w:tc>
        <w:tc>
          <w:tcPr>
            <w:tcW w:w="567" w:type="dxa"/>
          </w:tcPr>
          <w:p w14:paraId="5DB3A2EA"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2651F">
              <w:rPr>
                <w:rStyle w:val="Emphasis"/>
                <w:lang w:val="en-US"/>
              </w:rPr>
              <w:t>N</w:t>
            </w:r>
          </w:p>
        </w:tc>
        <w:tc>
          <w:tcPr>
            <w:tcW w:w="1191" w:type="dxa"/>
          </w:tcPr>
          <w:p w14:paraId="4F7DD555"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agree</w:t>
            </w:r>
          </w:p>
        </w:tc>
        <w:tc>
          <w:tcPr>
            <w:tcW w:w="1304" w:type="dxa"/>
          </w:tcPr>
          <w:p w14:paraId="296DEE0E"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agree</w:t>
            </w:r>
          </w:p>
        </w:tc>
        <w:tc>
          <w:tcPr>
            <w:tcW w:w="1299" w:type="dxa"/>
          </w:tcPr>
          <w:p w14:paraId="79525032"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disagree</w:t>
            </w:r>
          </w:p>
        </w:tc>
        <w:tc>
          <w:tcPr>
            <w:tcW w:w="1110" w:type="dxa"/>
          </w:tcPr>
          <w:p w14:paraId="65DB8872"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disagree</w:t>
            </w:r>
          </w:p>
        </w:tc>
        <w:tc>
          <w:tcPr>
            <w:tcW w:w="1361" w:type="dxa"/>
          </w:tcPr>
          <w:p w14:paraId="320E680A"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Undecided</w:t>
            </w:r>
          </w:p>
        </w:tc>
        <w:tc>
          <w:tcPr>
            <w:tcW w:w="1304" w:type="dxa"/>
          </w:tcPr>
          <w:p w14:paraId="6DBA0D50"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agree</w:t>
            </w:r>
            <w:r w:rsidRPr="0062651F">
              <w:rPr>
                <w:vertAlign w:val="superscript"/>
              </w:rPr>
              <w:t>a</w:t>
            </w:r>
          </w:p>
        </w:tc>
        <w:tc>
          <w:tcPr>
            <w:tcW w:w="1134" w:type="dxa"/>
          </w:tcPr>
          <w:p w14:paraId="159DB36C" w14:textId="77777777" w:rsidR="00875FA0" w:rsidRPr="0062651F" w:rsidRDefault="00875FA0"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disagree</w:t>
            </w:r>
            <w:r w:rsidRPr="0062651F">
              <w:rPr>
                <w:vertAlign w:val="superscript"/>
              </w:rPr>
              <w:t>b</w:t>
            </w:r>
          </w:p>
        </w:tc>
      </w:tr>
      <w:tr w:rsidR="000508F8" w:rsidRPr="0062651F" w14:paraId="16618208" w14:textId="77777777" w:rsidTr="00962748">
        <w:trPr>
          <w:trHeight w:val="989"/>
        </w:trPr>
        <w:tc>
          <w:tcPr>
            <w:cnfStyle w:val="001000000000" w:firstRow="0" w:lastRow="0" w:firstColumn="1" w:lastColumn="0" w:oddVBand="0" w:evenVBand="0" w:oddHBand="0" w:evenHBand="0" w:firstRowFirstColumn="0" w:firstRowLastColumn="0" w:lastRowFirstColumn="0" w:lastRowLastColumn="0"/>
            <w:tcW w:w="737" w:type="dxa"/>
          </w:tcPr>
          <w:p w14:paraId="7EECF142" w14:textId="03850942" w:rsidR="000508F8" w:rsidRPr="0062651F" w:rsidRDefault="000508F8" w:rsidP="00962748">
            <w:pPr>
              <w:pStyle w:val="Tablebody"/>
              <w:rPr>
                <w:rFonts w:cs="Open Sans"/>
                <w:szCs w:val="18"/>
                <w:lang w:val="en-GB"/>
              </w:rPr>
            </w:pPr>
            <w:r w:rsidRPr="0062651F">
              <w:rPr>
                <w:rFonts w:cs="Open Sans"/>
                <w:szCs w:val="18"/>
              </w:rPr>
              <w:t>G10</w:t>
            </w:r>
          </w:p>
        </w:tc>
        <w:tc>
          <w:tcPr>
            <w:tcW w:w="3458" w:type="dxa"/>
          </w:tcPr>
          <w:p w14:paraId="62F0626B" w14:textId="74CB29C9"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Discrimination against women is</w:t>
            </w:r>
            <w:r>
              <w:rPr>
                <w:rFonts w:cs="Open Sans"/>
                <w:szCs w:val="18"/>
                <w:lang w:val="en-US"/>
              </w:rPr>
              <w:t> </w:t>
            </w:r>
            <w:r w:rsidRPr="0062651F">
              <w:rPr>
                <w:rFonts w:cs="Open Sans"/>
                <w:szCs w:val="18"/>
                <w:lang w:val="en-US"/>
              </w:rPr>
              <w:t>no</w:t>
            </w:r>
            <w:r>
              <w:rPr>
                <w:rFonts w:cs="Open Sans"/>
                <w:szCs w:val="18"/>
                <w:lang w:val="en-US"/>
              </w:rPr>
              <w:t> </w:t>
            </w:r>
            <w:r w:rsidRPr="0062651F">
              <w:rPr>
                <w:rFonts w:cs="Open Sans"/>
                <w:szCs w:val="18"/>
                <w:lang w:val="en-US"/>
              </w:rPr>
              <w:t>longer a problem in the workplace in Australia</w:t>
            </w:r>
            <w:r w:rsidRPr="0062651F">
              <w:rPr>
                <w:rFonts w:ascii="Montserrat" w:hAnsi="Montserrat" w:cs="Montserrat"/>
                <w:szCs w:val="18"/>
                <w:lang w:val="en-US"/>
              </w:rPr>
              <w:t>~</w:t>
            </w:r>
          </w:p>
        </w:tc>
        <w:tc>
          <w:tcPr>
            <w:tcW w:w="1474" w:type="dxa"/>
          </w:tcPr>
          <w:p w14:paraId="3AFC7D03" w14:textId="7F0CBD5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0354A347"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299</w:t>
            </w:r>
          </w:p>
        </w:tc>
        <w:tc>
          <w:tcPr>
            <w:tcW w:w="1191" w:type="dxa"/>
          </w:tcPr>
          <w:p w14:paraId="1DBD1BF8" w14:textId="417D103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1.73</w:t>
            </w:r>
            <w:r w:rsidRPr="0062651F">
              <w:rPr>
                <w:rFonts w:cs="Open Sans"/>
                <w:szCs w:val="18"/>
                <w:vertAlign w:val="superscript"/>
              </w:rPr>
              <w:t>c</w:t>
            </w:r>
          </w:p>
        </w:tc>
        <w:tc>
          <w:tcPr>
            <w:tcW w:w="1304" w:type="dxa"/>
          </w:tcPr>
          <w:p w14:paraId="0370956C" w14:textId="3960333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8.15</w:t>
            </w:r>
          </w:p>
        </w:tc>
        <w:tc>
          <w:tcPr>
            <w:tcW w:w="1299" w:type="dxa"/>
          </w:tcPr>
          <w:p w14:paraId="3CE85426" w14:textId="47B8793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35.47*</w:t>
            </w:r>
          </w:p>
        </w:tc>
        <w:tc>
          <w:tcPr>
            <w:tcW w:w="1110" w:type="dxa"/>
          </w:tcPr>
          <w:p w14:paraId="352307ED" w14:textId="20E5820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52.80*</w:t>
            </w:r>
          </w:p>
        </w:tc>
        <w:tc>
          <w:tcPr>
            <w:tcW w:w="1361" w:type="dxa"/>
          </w:tcPr>
          <w:p w14:paraId="75A3E338" w14:textId="492ED5CF"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1.85</w:t>
            </w:r>
            <w:r w:rsidRPr="0062651F">
              <w:rPr>
                <w:rFonts w:cs="Open Sans"/>
                <w:szCs w:val="18"/>
                <w:vertAlign w:val="superscript"/>
              </w:rPr>
              <w:t>c</w:t>
            </w:r>
          </w:p>
        </w:tc>
        <w:tc>
          <w:tcPr>
            <w:tcW w:w="1304" w:type="dxa"/>
          </w:tcPr>
          <w:p w14:paraId="5967CB92" w14:textId="29E3D90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9.88</w:t>
            </w:r>
          </w:p>
        </w:tc>
        <w:tc>
          <w:tcPr>
            <w:tcW w:w="1134" w:type="dxa"/>
          </w:tcPr>
          <w:p w14:paraId="65E8285E" w14:textId="4491E85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88.27</w:t>
            </w:r>
          </w:p>
        </w:tc>
      </w:tr>
      <w:tr w:rsidR="000508F8" w:rsidRPr="0062651F" w14:paraId="52017534" w14:textId="77777777" w:rsidTr="00962748">
        <w:trPr>
          <w:trHeight w:val="989"/>
        </w:trPr>
        <w:tc>
          <w:tcPr>
            <w:cnfStyle w:val="001000000000" w:firstRow="0" w:lastRow="0" w:firstColumn="1" w:lastColumn="0" w:oddVBand="0" w:evenVBand="0" w:oddHBand="0" w:evenHBand="0" w:firstRowFirstColumn="0" w:firstRowLastColumn="0" w:lastRowFirstColumn="0" w:lastRowLastColumn="0"/>
            <w:tcW w:w="737" w:type="dxa"/>
          </w:tcPr>
          <w:p w14:paraId="34681571" w14:textId="067DB9C5" w:rsidR="000508F8" w:rsidRPr="0062651F" w:rsidRDefault="000508F8" w:rsidP="00962748">
            <w:pPr>
              <w:pStyle w:val="Tablebody"/>
              <w:rPr>
                <w:rFonts w:cs="Open Sans"/>
                <w:szCs w:val="18"/>
              </w:rPr>
            </w:pPr>
            <w:r w:rsidRPr="0062651F">
              <w:rPr>
                <w:rFonts w:cs="Open Sans"/>
                <w:szCs w:val="18"/>
              </w:rPr>
              <w:t>G10</w:t>
            </w:r>
          </w:p>
        </w:tc>
        <w:tc>
          <w:tcPr>
            <w:tcW w:w="3458" w:type="dxa"/>
          </w:tcPr>
          <w:p w14:paraId="180B4FAB" w14:textId="181E253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Discrimination against women is</w:t>
            </w:r>
            <w:r>
              <w:rPr>
                <w:rFonts w:cs="Open Sans"/>
                <w:szCs w:val="18"/>
                <w:lang w:val="en-US"/>
              </w:rPr>
              <w:t> </w:t>
            </w:r>
            <w:r w:rsidRPr="0062651F">
              <w:rPr>
                <w:rFonts w:cs="Open Sans"/>
                <w:szCs w:val="18"/>
                <w:lang w:val="en-US"/>
              </w:rPr>
              <w:t>no</w:t>
            </w:r>
            <w:r>
              <w:rPr>
                <w:rFonts w:cs="Open Sans"/>
                <w:szCs w:val="18"/>
                <w:lang w:val="en-US"/>
              </w:rPr>
              <w:t> </w:t>
            </w:r>
            <w:r w:rsidRPr="0062651F">
              <w:rPr>
                <w:rFonts w:cs="Open Sans"/>
                <w:szCs w:val="18"/>
                <w:lang w:val="en-US"/>
              </w:rPr>
              <w:t>longer a problem in the workplace in Australia</w:t>
            </w:r>
            <w:r w:rsidRPr="0062651F">
              <w:rPr>
                <w:rFonts w:ascii="Montserrat" w:hAnsi="Montserrat" w:cs="Montserrat"/>
                <w:szCs w:val="18"/>
                <w:lang w:val="en-US"/>
              </w:rPr>
              <w:t>~</w:t>
            </w:r>
          </w:p>
        </w:tc>
        <w:tc>
          <w:tcPr>
            <w:tcW w:w="1474" w:type="dxa"/>
          </w:tcPr>
          <w:p w14:paraId="04FC0EC5" w14:textId="3FD8500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54CF3F28" w14:textId="6883581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235</w:t>
            </w:r>
          </w:p>
        </w:tc>
        <w:tc>
          <w:tcPr>
            <w:tcW w:w="1191" w:type="dxa"/>
          </w:tcPr>
          <w:p w14:paraId="2DB6C616" w14:textId="11D736A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0.51</w:t>
            </w:r>
            <w:r w:rsidRPr="0062651F">
              <w:rPr>
                <w:rFonts w:cs="Open Sans"/>
                <w:szCs w:val="18"/>
                <w:vertAlign w:val="superscript"/>
              </w:rPr>
              <w:t>c</w:t>
            </w:r>
          </w:p>
        </w:tc>
        <w:tc>
          <w:tcPr>
            <w:tcW w:w="1304" w:type="dxa"/>
          </w:tcPr>
          <w:p w14:paraId="57DA0AB0" w14:textId="0857BB3F"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4.85</w:t>
            </w:r>
            <w:r w:rsidRPr="0062651F">
              <w:rPr>
                <w:rFonts w:cs="Open Sans"/>
                <w:szCs w:val="18"/>
                <w:vertAlign w:val="superscript"/>
              </w:rPr>
              <w:t>c</w:t>
            </w:r>
          </w:p>
        </w:tc>
        <w:tc>
          <w:tcPr>
            <w:tcW w:w="1299" w:type="dxa"/>
          </w:tcPr>
          <w:p w14:paraId="62D8F3D4" w14:textId="28B723E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17.47*</w:t>
            </w:r>
          </w:p>
        </w:tc>
        <w:tc>
          <w:tcPr>
            <w:tcW w:w="1110" w:type="dxa"/>
          </w:tcPr>
          <w:p w14:paraId="380EE974" w14:textId="14E9EBE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76.35*</w:t>
            </w:r>
          </w:p>
        </w:tc>
        <w:tc>
          <w:tcPr>
            <w:tcW w:w="1361" w:type="dxa"/>
          </w:tcPr>
          <w:p w14:paraId="2F1ECE06" w14:textId="6D0AD3B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0.82</w:t>
            </w:r>
            <w:r w:rsidRPr="0062651F">
              <w:rPr>
                <w:rFonts w:cs="Open Sans"/>
                <w:szCs w:val="18"/>
                <w:vertAlign w:val="superscript"/>
              </w:rPr>
              <w:t>c</w:t>
            </w:r>
          </w:p>
        </w:tc>
        <w:tc>
          <w:tcPr>
            <w:tcW w:w="1304" w:type="dxa"/>
          </w:tcPr>
          <w:p w14:paraId="4BD28F93" w14:textId="5369813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5.36</w:t>
            </w:r>
            <w:r w:rsidRPr="0062651F">
              <w:rPr>
                <w:rFonts w:cs="Open Sans"/>
                <w:szCs w:val="18"/>
                <w:vertAlign w:val="superscript"/>
              </w:rPr>
              <w:t>c</w:t>
            </w:r>
          </w:p>
        </w:tc>
        <w:tc>
          <w:tcPr>
            <w:tcW w:w="1134" w:type="dxa"/>
          </w:tcPr>
          <w:p w14:paraId="67DADA9C" w14:textId="118F754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93.82</w:t>
            </w:r>
          </w:p>
        </w:tc>
      </w:tr>
      <w:tr w:rsidR="000508F8" w:rsidRPr="0062651F" w14:paraId="7B2CA08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27FC856" w14:textId="77777777" w:rsidR="000508F8" w:rsidRPr="0062651F" w:rsidRDefault="000508F8" w:rsidP="00962748">
            <w:pPr>
              <w:pStyle w:val="Tablebody"/>
              <w:rPr>
                <w:rFonts w:cs="Open Sans"/>
                <w:szCs w:val="18"/>
                <w:lang w:val="en-GB"/>
              </w:rPr>
            </w:pPr>
            <w:r w:rsidRPr="0062651F">
              <w:rPr>
                <w:rFonts w:cs="Open Sans"/>
                <w:szCs w:val="18"/>
              </w:rPr>
              <w:t>G16</w:t>
            </w:r>
          </w:p>
        </w:tc>
        <w:tc>
          <w:tcPr>
            <w:tcW w:w="3458" w:type="dxa"/>
          </w:tcPr>
          <w:p w14:paraId="0B35696E"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I think there's no harm in men making sexist jokes about women when they are among their male friends</w:t>
            </w:r>
            <w:r w:rsidRPr="0062651F">
              <w:rPr>
                <w:rFonts w:ascii="Montserrat" w:hAnsi="Montserrat" w:cs="Montserrat"/>
                <w:szCs w:val="18"/>
                <w:lang w:val="en-US"/>
              </w:rPr>
              <w:t>~</w:t>
            </w:r>
          </w:p>
        </w:tc>
        <w:tc>
          <w:tcPr>
            <w:tcW w:w="1474" w:type="dxa"/>
          </w:tcPr>
          <w:p w14:paraId="1B1A60CD"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5E006905"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299</w:t>
            </w:r>
          </w:p>
        </w:tc>
        <w:tc>
          <w:tcPr>
            <w:tcW w:w="1191" w:type="dxa"/>
          </w:tcPr>
          <w:p w14:paraId="6828133E" w14:textId="2235919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3.39</w:t>
            </w:r>
            <w:r w:rsidRPr="0062651F">
              <w:rPr>
                <w:rFonts w:cs="Open Sans"/>
                <w:szCs w:val="18"/>
                <w:vertAlign w:val="superscript"/>
              </w:rPr>
              <w:t>c</w:t>
            </w:r>
          </w:p>
        </w:tc>
        <w:tc>
          <w:tcPr>
            <w:tcW w:w="1304" w:type="dxa"/>
          </w:tcPr>
          <w:p w14:paraId="48C78041" w14:textId="4AF5F25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14.98*</w:t>
            </w:r>
          </w:p>
        </w:tc>
        <w:tc>
          <w:tcPr>
            <w:tcW w:w="1299" w:type="dxa"/>
          </w:tcPr>
          <w:p w14:paraId="3C421EE8" w14:textId="520F63BF"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33.01*</w:t>
            </w:r>
          </w:p>
        </w:tc>
        <w:tc>
          <w:tcPr>
            <w:tcW w:w="1110" w:type="dxa"/>
          </w:tcPr>
          <w:p w14:paraId="0D96D9CF" w14:textId="662B616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43.45*</w:t>
            </w:r>
          </w:p>
        </w:tc>
        <w:tc>
          <w:tcPr>
            <w:tcW w:w="1361" w:type="dxa"/>
          </w:tcPr>
          <w:p w14:paraId="69F500E3" w14:textId="0782FE5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4.61</w:t>
            </w:r>
            <w:r w:rsidRPr="0062651F">
              <w:rPr>
                <w:rFonts w:cs="Open Sans"/>
                <w:szCs w:val="18"/>
                <w:vertAlign w:val="superscript"/>
              </w:rPr>
              <w:t>c</w:t>
            </w:r>
          </w:p>
        </w:tc>
        <w:tc>
          <w:tcPr>
            <w:tcW w:w="1304" w:type="dxa"/>
          </w:tcPr>
          <w:p w14:paraId="0389DB56" w14:textId="1BB90A6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18.37*</w:t>
            </w:r>
          </w:p>
        </w:tc>
        <w:tc>
          <w:tcPr>
            <w:tcW w:w="1134" w:type="dxa"/>
          </w:tcPr>
          <w:p w14:paraId="354A36FF" w14:textId="6540ECFF"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76.46*</w:t>
            </w:r>
          </w:p>
        </w:tc>
      </w:tr>
      <w:tr w:rsidR="000508F8" w:rsidRPr="0062651F" w14:paraId="4C10E84B"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F811006" w14:textId="2F882946" w:rsidR="000508F8" w:rsidRPr="0062651F" w:rsidRDefault="000508F8" w:rsidP="00962748">
            <w:pPr>
              <w:pStyle w:val="Tablebody"/>
              <w:rPr>
                <w:rFonts w:cs="Open Sans"/>
                <w:szCs w:val="18"/>
              </w:rPr>
            </w:pPr>
            <w:r w:rsidRPr="0062651F">
              <w:rPr>
                <w:rFonts w:cs="Open Sans"/>
                <w:szCs w:val="18"/>
              </w:rPr>
              <w:t>G16</w:t>
            </w:r>
          </w:p>
        </w:tc>
        <w:tc>
          <w:tcPr>
            <w:tcW w:w="3458" w:type="dxa"/>
          </w:tcPr>
          <w:p w14:paraId="055072A7" w14:textId="19CC91B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I think there's no harm in men making sexist jokes about women when they are among their male friends</w:t>
            </w:r>
            <w:r w:rsidRPr="0062651F">
              <w:rPr>
                <w:rFonts w:ascii="Montserrat" w:hAnsi="Montserrat" w:cs="Montserrat"/>
                <w:szCs w:val="18"/>
                <w:lang w:val="en-US"/>
              </w:rPr>
              <w:t>~</w:t>
            </w:r>
          </w:p>
        </w:tc>
        <w:tc>
          <w:tcPr>
            <w:tcW w:w="1474" w:type="dxa"/>
          </w:tcPr>
          <w:p w14:paraId="7A4B142E" w14:textId="57FE43B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2D522CA9" w14:textId="5077919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235</w:t>
            </w:r>
          </w:p>
        </w:tc>
        <w:tc>
          <w:tcPr>
            <w:tcW w:w="1191" w:type="dxa"/>
          </w:tcPr>
          <w:p w14:paraId="4488244A" w14:textId="1619928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0.00</w:t>
            </w:r>
          </w:p>
        </w:tc>
        <w:tc>
          <w:tcPr>
            <w:tcW w:w="1304" w:type="dxa"/>
          </w:tcPr>
          <w:p w14:paraId="35E4FD01" w14:textId="6E17B0E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4.43*</w:t>
            </w:r>
            <w:r w:rsidRPr="0062651F">
              <w:rPr>
                <w:rFonts w:cs="Open Sans"/>
                <w:szCs w:val="18"/>
                <w:vertAlign w:val="superscript"/>
              </w:rPr>
              <w:t xml:space="preserve"> c</w:t>
            </w:r>
          </w:p>
        </w:tc>
        <w:tc>
          <w:tcPr>
            <w:tcW w:w="1299" w:type="dxa"/>
          </w:tcPr>
          <w:p w14:paraId="2CCAEC33" w14:textId="1DEAF9B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13.40*</w:t>
            </w:r>
          </w:p>
        </w:tc>
        <w:tc>
          <w:tcPr>
            <w:tcW w:w="1110" w:type="dxa"/>
          </w:tcPr>
          <w:p w14:paraId="7FD43C63" w14:textId="5A7AD34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81.21*</w:t>
            </w:r>
          </w:p>
        </w:tc>
        <w:tc>
          <w:tcPr>
            <w:tcW w:w="1361" w:type="dxa"/>
          </w:tcPr>
          <w:p w14:paraId="0C1D9655" w14:textId="3508E11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0.96</w:t>
            </w:r>
            <w:r w:rsidRPr="0062651F">
              <w:rPr>
                <w:rFonts w:cs="Open Sans"/>
                <w:szCs w:val="18"/>
                <w:vertAlign w:val="superscript"/>
              </w:rPr>
              <w:t>c</w:t>
            </w:r>
          </w:p>
        </w:tc>
        <w:tc>
          <w:tcPr>
            <w:tcW w:w="1304" w:type="dxa"/>
          </w:tcPr>
          <w:p w14:paraId="661CF1CD" w14:textId="30AF874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lang w:val="en-US"/>
              </w:rPr>
              <w:t>4.43*</w:t>
            </w:r>
            <w:r w:rsidRPr="0062651F">
              <w:rPr>
                <w:rFonts w:cs="Open Sans"/>
                <w:szCs w:val="18"/>
                <w:vertAlign w:val="superscript"/>
              </w:rPr>
              <w:t xml:space="preserve"> c</w:t>
            </w:r>
          </w:p>
        </w:tc>
        <w:tc>
          <w:tcPr>
            <w:tcW w:w="1134" w:type="dxa"/>
          </w:tcPr>
          <w:p w14:paraId="7F7524C7" w14:textId="58E5351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94.61*</w:t>
            </w:r>
          </w:p>
        </w:tc>
      </w:tr>
      <w:tr w:rsidR="000508F8" w:rsidRPr="0062651F" w14:paraId="6E01F61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78F036E" w14:textId="77777777" w:rsidR="000508F8" w:rsidRPr="0062651F" w:rsidRDefault="000508F8" w:rsidP="00962748">
            <w:pPr>
              <w:pStyle w:val="Tablebody"/>
              <w:rPr>
                <w:rFonts w:cs="Open Sans"/>
                <w:szCs w:val="18"/>
                <w:lang w:val="en-GB"/>
              </w:rPr>
            </w:pPr>
            <w:r w:rsidRPr="0062651F">
              <w:rPr>
                <w:rFonts w:cs="Open Sans"/>
                <w:szCs w:val="18"/>
              </w:rPr>
              <w:t>G17</w:t>
            </w:r>
          </w:p>
        </w:tc>
        <w:tc>
          <w:tcPr>
            <w:tcW w:w="3458" w:type="dxa"/>
          </w:tcPr>
          <w:p w14:paraId="0483556D"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I think it’s OK for men to joke with their male friends about being violent towards women</w:t>
            </w:r>
            <w:r w:rsidRPr="0062651F">
              <w:rPr>
                <w:rFonts w:ascii="Montserrat" w:hAnsi="Montserrat" w:cs="Montserrat"/>
                <w:szCs w:val="18"/>
                <w:lang w:val="en-US"/>
              </w:rPr>
              <w:t>~</w:t>
            </w:r>
          </w:p>
        </w:tc>
        <w:tc>
          <w:tcPr>
            <w:tcW w:w="1474" w:type="dxa"/>
          </w:tcPr>
          <w:p w14:paraId="3D70EE7F"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307A44F2"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441</w:t>
            </w:r>
          </w:p>
        </w:tc>
        <w:tc>
          <w:tcPr>
            <w:tcW w:w="1191" w:type="dxa"/>
          </w:tcPr>
          <w:p w14:paraId="548021EF" w14:textId="7C1E469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0.39</w:t>
            </w:r>
            <w:r w:rsidRPr="0062651F">
              <w:rPr>
                <w:rFonts w:cs="Open Sans"/>
                <w:szCs w:val="18"/>
                <w:vertAlign w:val="superscript"/>
              </w:rPr>
              <w:t>c</w:t>
            </w:r>
          </w:p>
        </w:tc>
        <w:tc>
          <w:tcPr>
            <w:tcW w:w="1304" w:type="dxa"/>
          </w:tcPr>
          <w:p w14:paraId="46460813" w14:textId="760AB0B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4.31</w:t>
            </w:r>
            <w:r w:rsidRPr="0062651F">
              <w:rPr>
                <w:rFonts w:cs="Open Sans"/>
                <w:szCs w:val="18"/>
                <w:vertAlign w:val="superscript"/>
              </w:rPr>
              <w:t>c</w:t>
            </w:r>
          </w:p>
        </w:tc>
        <w:tc>
          <w:tcPr>
            <w:tcW w:w="1299" w:type="dxa"/>
          </w:tcPr>
          <w:p w14:paraId="1D8C186E" w14:textId="226028E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11.55*</w:t>
            </w:r>
          </w:p>
        </w:tc>
        <w:tc>
          <w:tcPr>
            <w:tcW w:w="1110" w:type="dxa"/>
          </w:tcPr>
          <w:p w14:paraId="54F50800" w14:textId="51FD129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82.94*</w:t>
            </w:r>
          </w:p>
        </w:tc>
        <w:tc>
          <w:tcPr>
            <w:tcW w:w="1361" w:type="dxa"/>
          </w:tcPr>
          <w:p w14:paraId="6DD15ED0" w14:textId="1FB9670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0.81</w:t>
            </w:r>
            <w:r w:rsidRPr="0062651F">
              <w:rPr>
                <w:rFonts w:cs="Open Sans"/>
                <w:szCs w:val="18"/>
                <w:vertAlign w:val="superscript"/>
              </w:rPr>
              <w:t>c</w:t>
            </w:r>
          </w:p>
        </w:tc>
        <w:tc>
          <w:tcPr>
            <w:tcW w:w="1304" w:type="dxa"/>
          </w:tcPr>
          <w:p w14:paraId="7532CB9A" w14:textId="73B0D3B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4.69</w:t>
            </w:r>
            <w:r w:rsidRPr="0062651F">
              <w:rPr>
                <w:rFonts w:cs="Open Sans"/>
                <w:szCs w:val="18"/>
                <w:vertAlign w:val="superscript"/>
              </w:rPr>
              <w:t>c</w:t>
            </w:r>
          </w:p>
        </w:tc>
        <w:tc>
          <w:tcPr>
            <w:tcW w:w="1134" w:type="dxa"/>
          </w:tcPr>
          <w:p w14:paraId="49C6E312" w14:textId="28D3DA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94.49</w:t>
            </w:r>
          </w:p>
        </w:tc>
      </w:tr>
      <w:tr w:rsidR="000508F8" w:rsidRPr="0062651F" w14:paraId="01A254D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4208B60B" w14:textId="54D7A0B5" w:rsidR="000508F8" w:rsidRPr="0062651F" w:rsidRDefault="000508F8" w:rsidP="00962748">
            <w:pPr>
              <w:pStyle w:val="Tablebody"/>
              <w:rPr>
                <w:rFonts w:cs="Open Sans"/>
                <w:szCs w:val="18"/>
              </w:rPr>
            </w:pPr>
            <w:r w:rsidRPr="0062651F">
              <w:rPr>
                <w:rFonts w:cs="Open Sans"/>
                <w:szCs w:val="18"/>
              </w:rPr>
              <w:t>G17</w:t>
            </w:r>
          </w:p>
        </w:tc>
        <w:tc>
          <w:tcPr>
            <w:tcW w:w="3458" w:type="dxa"/>
          </w:tcPr>
          <w:p w14:paraId="633C8A94" w14:textId="5D8F8AB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I think it’s OK for men to joke with their male friends about being violent towards women</w:t>
            </w:r>
            <w:r w:rsidRPr="0062651F">
              <w:rPr>
                <w:rFonts w:ascii="Montserrat" w:hAnsi="Montserrat" w:cs="Montserrat"/>
                <w:szCs w:val="18"/>
                <w:lang w:val="en-US"/>
              </w:rPr>
              <w:t>~</w:t>
            </w:r>
          </w:p>
        </w:tc>
        <w:tc>
          <w:tcPr>
            <w:tcW w:w="1474" w:type="dxa"/>
          </w:tcPr>
          <w:p w14:paraId="249D2DA7" w14:textId="66C8694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3CED29FF" w14:textId="317B1BB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363</w:t>
            </w:r>
          </w:p>
        </w:tc>
        <w:tc>
          <w:tcPr>
            <w:tcW w:w="1191" w:type="dxa"/>
          </w:tcPr>
          <w:p w14:paraId="7170FCAB" w14:textId="5AE1FB7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0.47</w:t>
            </w:r>
            <w:r w:rsidRPr="0062651F">
              <w:rPr>
                <w:rFonts w:cs="Open Sans"/>
                <w:szCs w:val="18"/>
                <w:vertAlign w:val="superscript"/>
              </w:rPr>
              <w:t>c</w:t>
            </w:r>
          </w:p>
        </w:tc>
        <w:tc>
          <w:tcPr>
            <w:tcW w:w="1304" w:type="dxa"/>
          </w:tcPr>
          <w:p w14:paraId="169A0E94" w14:textId="2A77E2F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0.99</w:t>
            </w:r>
            <w:r w:rsidRPr="0062651F">
              <w:rPr>
                <w:rFonts w:cs="Open Sans"/>
                <w:szCs w:val="18"/>
                <w:vertAlign w:val="superscript"/>
              </w:rPr>
              <w:t>c</w:t>
            </w:r>
          </w:p>
        </w:tc>
        <w:tc>
          <w:tcPr>
            <w:tcW w:w="1299" w:type="dxa"/>
          </w:tcPr>
          <w:p w14:paraId="2F2E1151" w14:textId="544BBB9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3.62*</w:t>
            </w:r>
            <w:r w:rsidRPr="0062651F">
              <w:rPr>
                <w:rFonts w:cs="Open Sans"/>
                <w:szCs w:val="18"/>
                <w:vertAlign w:val="superscript"/>
              </w:rPr>
              <w:t xml:space="preserve"> c</w:t>
            </w:r>
          </w:p>
        </w:tc>
        <w:tc>
          <w:tcPr>
            <w:tcW w:w="1110" w:type="dxa"/>
          </w:tcPr>
          <w:p w14:paraId="155B2A31" w14:textId="78681B6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94.59*</w:t>
            </w:r>
          </w:p>
        </w:tc>
        <w:tc>
          <w:tcPr>
            <w:tcW w:w="1361" w:type="dxa"/>
          </w:tcPr>
          <w:p w14:paraId="656E6481" w14:textId="4CEFCA7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0.00</w:t>
            </w:r>
          </w:p>
        </w:tc>
        <w:tc>
          <w:tcPr>
            <w:tcW w:w="1304" w:type="dxa"/>
          </w:tcPr>
          <w:p w14:paraId="5712865F" w14:textId="2637B3F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1.46</w:t>
            </w:r>
            <w:r w:rsidRPr="0062651F">
              <w:rPr>
                <w:rFonts w:cs="Open Sans"/>
                <w:szCs w:val="18"/>
                <w:vertAlign w:val="superscript"/>
              </w:rPr>
              <w:t>c</w:t>
            </w:r>
          </w:p>
        </w:tc>
        <w:tc>
          <w:tcPr>
            <w:tcW w:w="1134" w:type="dxa"/>
          </w:tcPr>
          <w:p w14:paraId="7CB9DEB9" w14:textId="41FFD80F"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98.20</w:t>
            </w:r>
          </w:p>
        </w:tc>
      </w:tr>
    </w:tbl>
    <w:p w14:paraId="37C69DA4" w14:textId="3FDFB966" w:rsidR="00875FA0" w:rsidRDefault="00875FA0" w:rsidP="00966261">
      <w:pPr>
        <w:pStyle w:val="Tablesubheading0"/>
      </w:pPr>
      <w:r>
        <w:t>Subscale:</w:t>
      </w:r>
      <w:r w:rsidRPr="00875FA0">
        <w:t xml:space="preserve"> </w:t>
      </w:r>
      <w:r w:rsidRPr="00531840">
        <w:t>Reinforce Gender Roles</w:t>
      </w:r>
    </w:p>
    <w:tbl>
      <w:tblPr>
        <w:tblStyle w:val="Table-SingleHeaderRow"/>
        <w:tblW w:w="0" w:type="auto"/>
        <w:tblLayout w:type="fixed"/>
        <w:tblLook w:val="00A0" w:firstRow="1" w:lastRow="0" w:firstColumn="1" w:lastColumn="0" w:noHBand="0" w:noVBand="0"/>
      </w:tblPr>
      <w:tblGrid>
        <w:gridCol w:w="737"/>
        <w:gridCol w:w="3458"/>
        <w:gridCol w:w="1474"/>
        <w:gridCol w:w="567"/>
        <w:gridCol w:w="1191"/>
        <w:gridCol w:w="1304"/>
        <w:gridCol w:w="1299"/>
        <w:gridCol w:w="1110"/>
        <w:gridCol w:w="1361"/>
        <w:gridCol w:w="1304"/>
        <w:gridCol w:w="1134"/>
      </w:tblGrid>
      <w:tr w:rsidR="00E857EF" w:rsidRPr="0062651F" w14:paraId="60F6EB55" w14:textId="77777777" w:rsidTr="00962748">
        <w:trPr>
          <w:cnfStyle w:val="100000000000" w:firstRow="1" w:lastRow="0" w:firstColumn="0" w:lastColumn="0" w:oddVBand="0" w:evenVBand="0" w:oddHBand="0" w:evenHBand="0" w:firstRowFirstColumn="0" w:firstRowLastColumn="0" w:lastRowFirstColumn="0" w:lastRowLastColumn="0"/>
          <w:trHeight w:val="884"/>
          <w:tblHeader/>
        </w:trPr>
        <w:tc>
          <w:tcPr>
            <w:cnfStyle w:val="001000000000" w:firstRow="0" w:lastRow="0" w:firstColumn="1" w:lastColumn="0" w:oddVBand="0" w:evenVBand="0" w:oddHBand="0" w:evenHBand="0" w:firstRowFirstColumn="0" w:firstRowLastColumn="0" w:lastRowFirstColumn="0" w:lastRowLastColumn="0"/>
            <w:tcW w:w="737" w:type="dxa"/>
          </w:tcPr>
          <w:p w14:paraId="20F3C145" w14:textId="77777777" w:rsidR="00E857EF" w:rsidRPr="0062651F" w:rsidRDefault="00E857EF" w:rsidP="00962748">
            <w:pPr>
              <w:pStyle w:val="Tablebody"/>
              <w:rPr>
                <w:b w:val="0"/>
                <w:lang w:val="en-GB"/>
              </w:rPr>
            </w:pPr>
            <w:r w:rsidRPr="0062651F">
              <w:t>Code</w:t>
            </w:r>
          </w:p>
        </w:tc>
        <w:tc>
          <w:tcPr>
            <w:tcW w:w="3458" w:type="dxa"/>
          </w:tcPr>
          <w:p w14:paraId="424A2D76"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Abbreviated item wording</w:t>
            </w:r>
          </w:p>
        </w:tc>
        <w:tc>
          <w:tcPr>
            <w:tcW w:w="1474" w:type="dxa"/>
          </w:tcPr>
          <w:p w14:paraId="32BEE6F4"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Gender</w:t>
            </w:r>
          </w:p>
        </w:tc>
        <w:tc>
          <w:tcPr>
            <w:tcW w:w="567" w:type="dxa"/>
          </w:tcPr>
          <w:p w14:paraId="60AEE55F"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2651F">
              <w:rPr>
                <w:rStyle w:val="Emphasis"/>
                <w:lang w:val="en-US"/>
              </w:rPr>
              <w:t>N</w:t>
            </w:r>
          </w:p>
        </w:tc>
        <w:tc>
          <w:tcPr>
            <w:tcW w:w="1191" w:type="dxa"/>
          </w:tcPr>
          <w:p w14:paraId="30A25956"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agree</w:t>
            </w:r>
          </w:p>
        </w:tc>
        <w:tc>
          <w:tcPr>
            <w:tcW w:w="1304" w:type="dxa"/>
          </w:tcPr>
          <w:p w14:paraId="5F49FA54"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agree</w:t>
            </w:r>
          </w:p>
        </w:tc>
        <w:tc>
          <w:tcPr>
            <w:tcW w:w="1299" w:type="dxa"/>
          </w:tcPr>
          <w:p w14:paraId="34154A4C"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disagree</w:t>
            </w:r>
          </w:p>
        </w:tc>
        <w:tc>
          <w:tcPr>
            <w:tcW w:w="1110" w:type="dxa"/>
          </w:tcPr>
          <w:p w14:paraId="2FD02106"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disagree</w:t>
            </w:r>
          </w:p>
        </w:tc>
        <w:tc>
          <w:tcPr>
            <w:tcW w:w="1361" w:type="dxa"/>
          </w:tcPr>
          <w:p w14:paraId="5E8FADBB"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Undecided</w:t>
            </w:r>
          </w:p>
        </w:tc>
        <w:tc>
          <w:tcPr>
            <w:tcW w:w="1304" w:type="dxa"/>
          </w:tcPr>
          <w:p w14:paraId="4908D4DF"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agree</w:t>
            </w:r>
            <w:r w:rsidRPr="0062651F">
              <w:rPr>
                <w:vertAlign w:val="superscript"/>
              </w:rPr>
              <w:t>a</w:t>
            </w:r>
          </w:p>
        </w:tc>
        <w:tc>
          <w:tcPr>
            <w:tcW w:w="1134" w:type="dxa"/>
          </w:tcPr>
          <w:p w14:paraId="72DB451A"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disagree</w:t>
            </w:r>
            <w:r w:rsidRPr="0062651F">
              <w:rPr>
                <w:vertAlign w:val="superscript"/>
              </w:rPr>
              <w:t>b</w:t>
            </w:r>
          </w:p>
        </w:tc>
      </w:tr>
      <w:tr w:rsidR="000508F8" w:rsidRPr="0062651F" w14:paraId="063CDB1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FA815A2" w14:textId="77777777" w:rsidR="000508F8" w:rsidRPr="0062651F" w:rsidRDefault="000508F8" w:rsidP="00962748">
            <w:pPr>
              <w:pStyle w:val="Tablebody"/>
              <w:rPr>
                <w:rFonts w:cs="Open Sans"/>
                <w:szCs w:val="18"/>
                <w:lang w:val="en-GB"/>
              </w:rPr>
            </w:pPr>
            <w:r w:rsidRPr="0062651F">
              <w:rPr>
                <w:rFonts w:cs="Open Sans"/>
                <w:szCs w:val="18"/>
              </w:rPr>
              <w:t>G7</w:t>
            </w:r>
          </w:p>
        </w:tc>
        <w:tc>
          <w:tcPr>
            <w:tcW w:w="3458" w:type="dxa"/>
          </w:tcPr>
          <w:p w14:paraId="5E52A943" w14:textId="42F55D6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I think it is embarrassing for a man to</w:t>
            </w:r>
            <w:r>
              <w:rPr>
                <w:rFonts w:cs="Open Sans"/>
                <w:szCs w:val="18"/>
                <w:lang w:val="en-US"/>
              </w:rPr>
              <w:t> </w:t>
            </w:r>
            <w:r w:rsidRPr="0062651F">
              <w:rPr>
                <w:rFonts w:cs="Open Sans"/>
                <w:szCs w:val="18"/>
                <w:lang w:val="en-US"/>
              </w:rPr>
              <w:t>have a job that is usually held by</w:t>
            </w:r>
            <w:r>
              <w:rPr>
                <w:rFonts w:cs="Open Sans"/>
                <w:szCs w:val="18"/>
                <w:lang w:val="en-US"/>
              </w:rPr>
              <w:t> </w:t>
            </w:r>
            <w:r w:rsidRPr="0062651F">
              <w:rPr>
                <w:rFonts w:cs="Open Sans"/>
                <w:szCs w:val="18"/>
                <w:lang w:val="en-US"/>
              </w:rPr>
              <w:t>a</w:t>
            </w:r>
            <w:r>
              <w:rPr>
                <w:rFonts w:cs="Open Sans"/>
                <w:szCs w:val="18"/>
                <w:lang w:val="en-US"/>
              </w:rPr>
              <w:t> </w:t>
            </w:r>
            <w:r w:rsidRPr="0062651F">
              <w:rPr>
                <w:rFonts w:cs="Open Sans"/>
                <w:szCs w:val="18"/>
                <w:lang w:val="en-US"/>
              </w:rPr>
              <w:t>woman</w:t>
            </w:r>
          </w:p>
        </w:tc>
        <w:tc>
          <w:tcPr>
            <w:tcW w:w="1474" w:type="dxa"/>
          </w:tcPr>
          <w:p w14:paraId="24345F23"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0832757E"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23A064E9" w14:textId="249AA9B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0.90</w:t>
            </w:r>
            <w:r w:rsidRPr="0062651F">
              <w:rPr>
                <w:rFonts w:cs="Open Sans"/>
                <w:szCs w:val="18"/>
                <w:vertAlign w:val="superscript"/>
              </w:rPr>
              <w:t>c</w:t>
            </w:r>
          </w:p>
        </w:tc>
        <w:tc>
          <w:tcPr>
            <w:tcW w:w="1304" w:type="dxa"/>
          </w:tcPr>
          <w:p w14:paraId="0FD0102E" w14:textId="5A11FFD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3.40</w:t>
            </w:r>
          </w:p>
        </w:tc>
        <w:tc>
          <w:tcPr>
            <w:tcW w:w="1299" w:type="dxa"/>
          </w:tcPr>
          <w:p w14:paraId="52C04AA6" w14:textId="74BB660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16.04*</w:t>
            </w:r>
          </w:p>
        </w:tc>
        <w:tc>
          <w:tcPr>
            <w:tcW w:w="1110" w:type="dxa"/>
          </w:tcPr>
          <w:p w14:paraId="3724676F" w14:textId="2F66376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77.72*</w:t>
            </w:r>
          </w:p>
        </w:tc>
        <w:tc>
          <w:tcPr>
            <w:tcW w:w="1361" w:type="dxa"/>
          </w:tcPr>
          <w:p w14:paraId="577842F5" w14:textId="275C87F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1.86</w:t>
            </w:r>
          </w:p>
        </w:tc>
        <w:tc>
          <w:tcPr>
            <w:tcW w:w="1304" w:type="dxa"/>
          </w:tcPr>
          <w:p w14:paraId="0E3B150C" w14:textId="3C236A5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4.30</w:t>
            </w:r>
          </w:p>
        </w:tc>
        <w:tc>
          <w:tcPr>
            <w:tcW w:w="1134" w:type="dxa"/>
          </w:tcPr>
          <w:p w14:paraId="0B242F72" w14:textId="5C7DD4F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93.77</w:t>
            </w:r>
          </w:p>
        </w:tc>
      </w:tr>
      <w:tr w:rsidR="000508F8" w:rsidRPr="0062651F" w14:paraId="318964C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E61FD9F" w14:textId="28D28F70" w:rsidR="000508F8" w:rsidRPr="0062651F" w:rsidRDefault="000508F8" w:rsidP="00962748">
            <w:pPr>
              <w:pStyle w:val="Tablebody"/>
              <w:rPr>
                <w:rFonts w:cs="Open Sans"/>
                <w:szCs w:val="18"/>
              </w:rPr>
            </w:pPr>
            <w:r w:rsidRPr="0062651F">
              <w:rPr>
                <w:rFonts w:cs="Open Sans"/>
                <w:szCs w:val="18"/>
              </w:rPr>
              <w:t>G7</w:t>
            </w:r>
          </w:p>
        </w:tc>
        <w:tc>
          <w:tcPr>
            <w:tcW w:w="3458" w:type="dxa"/>
          </w:tcPr>
          <w:p w14:paraId="504B8238" w14:textId="78EA60F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I think it is embarrassing for a man to</w:t>
            </w:r>
            <w:r>
              <w:rPr>
                <w:rFonts w:cs="Open Sans"/>
                <w:szCs w:val="18"/>
                <w:lang w:val="en-US"/>
              </w:rPr>
              <w:t> </w:t>
            </w:r>
            <w:r w:rsidRPr="0062651F">
              <w:rPr>
                <w:rFonts w:cs="Open Sans"/>
                <w:szCs w:val="18"/>
                <w:lang w:val="en-US"/>
              </w:rPr>
              <w:t>have a job that is usually held by</w:t>
            </w:r>
            <w:r>
              <w:rPr>
                <w:rFonts w:cs="Open Sans"/>
                <w:szCs w:val="18"/>
                <w:lang w:val="en-US"/>
              </w:rPr>
              <w:t> </w:t>
            </w:r>
            <w:r w:rsidRPr="0062651F">
              <w:rPr>
                <w:rFonts w:cs="Open Sans"/>
                <w:szCs w:val="18"/>
                <w:lang w:val="en-US"/>
              </w:rPr>
              <w:t>a</w:t>
            </w:r>
            <w:r>
              <w:rPr>
                <w:rFonts w:cs="Open Sans"/>
                <w:szCs w:val="18"/>
                <w:lang w:val="en-US"/>
              </w:rPr>
              <w:t> </w:t>
            </w:r>
            <w:r w:rsidRPr="0062651F">
              <w:rPr>
                <w:rFonts w:cs="Open Sans"/>
                <w:szCs w:val="18"/>
                <w:lang w:val="en-US"/>
              </w:rPr>
              <w:t>woman</w:t>
            </w:r>
          </w:p>
        </w:tc>
        <w:tc>
          <w:tcPr>
            <w:tcW w:w="1474" w:type="dxa"/>
          </w:tcPr>
          <w:p w14:paraId="7BCF86CA" w14:textId="52978D9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6372FB87" w14:textId="1B1EF4C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4D284588" w14:textId="0DA14ED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1.31</w:t>
            </w:r>
            <w:r w:rsidRPr="0062651F">
              <w:rPr>
                <w:rFonts w:cs="Open Sans"/>
                <w:szCs w:val="18"/>
                <w:vertAlign w:val="superscript"/>
              </w:rPr>
              <w:t>c</w:t>
            </w:r>
          </w:p>
        </w:tc>
        <w:tc>
          <w:tcPr>
            <w:tcW w:w="1304" w:type="dxa"/>
          </w:tcPr>
          <w:p w14:paraId="1D0043EE" w14:textId="005B1C3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1.56</w:t>
            </w:r>
            <w:r w:rsidRPr="0062651F">
              <w:rPr>
                <w:rFonts w:cs="Open Sans"/>
                <w:szCs w:val="18"/>
                <w:vertAlign w:val="superscript"/>
              </w:rPr>
              <w:t>c</w:t>
            </w:r>
          </w:p>
        </w:tc>
        <w:tc>
          <w:tcPr>
            <w:tcW w:w="1299" w:type="dxa"/>
          </w:tcPr>
          <w:p w14:paraId="2E3ACCEA" w14:textId="4256896E"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4.68*</w:t>
            </w:r>
          </w:p>
        </w:tc>
        <w:tc>
          <w:tcPr>
            <w:tcW w:w="1110" w:type="dxa"/>
          </w:tcPr>
          <w:p w14:paraId="20D4037A" w14:textId="0CE308D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91.96*</w:t>
            </w:r>
          </w:p>
        </w:tc>
        <w:tc>
          <w:tcPr>
            <w:tcW w:w="1361" w:type="dxa"/>
          </w:tcPr>
          <w:p w14:paraId="00962A54" w14:textId="7CD6299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0.32</w:t>
            </w:r>
            <w:r w:rsidRPr="0062651F">
              <w:rPr>
                <w:rFonts w:cs="Open Sans"/>
                <w:szCs w:val="18"/>
                <w:vertAlign w:val="superscript"/>
              </w:rPr>
              <w:t>c</w:t>
            </w:r>
          </w:p>
        </w:tc>
        <w:tc>
          <w:tcPr>
            <w:tcW w:w="1304" w:type="dxa"/>
          </w:tcPr>
          <w:p w14:paraId="1BE2852D" w14:textId="3F05923E"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2.87</w:t>
            </w:r>
            <w:r w:rsidRPr="0062651F">
              <w:rPr>
                <w:rFonts w:cs="Open Sans"/>
                <w:szCs w:val="18"/>
                <w:vertAlign w:val="superscript"/>
              </w:rPr>
              <w:t>c</w:t>
            </w:r>
          </w:p>
        </w:tc>
        <w:tc>
          <w:tcPr>
            <w:tcW w:w="1134" w:type="dxa"/>
          </w:tcPr>
          <w:p w14:paraId="5C1BCCB7" w14:textId="53C8240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96.65</w:t>
            </w:r>
          </w:p>
        </w:tc>
      </w:tr>
      <w:tr w:rsidR="000508F8" w:rsidRPr="0062651F" w14:paraId="520A6DD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688CC15" w14:textId="080D84BD" w:rsidR="000508F8" w:rsidRPr="0062651F" w:rsidRDefault="000508F8" w:rsidP="00962748">
            <w:pPr>
              <w:pStyle w:val="Tablebody"/>
              <w:rPr>
                <w:rFonts w:cs="Open Sans"/>
                <w:szCs w:val="18"/>
                <w:lang w:val="en-GB"/>
              </w:rPr>
            </w:pPr>
            <w:r w:rsidRPr="0062651F">
              <w:rPr>
                <w:rFonts w:cs="Open Sans"/>
                <w:szCs w:val="18"/>
              </w:rPr>
              <w:lastRenderedPageBreak/>
              <w:t>G8</w:t>
            </w:r>
          </w:p>
        </w:tc>
        <w:tc>
          <w:tcPr>
            <w:tcW w:w="3458" w:type="dxa"/>
          </w:tcPr>
          <w:p w14:paraId="590A17A5"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A man should never admit when others have hurt his feelings</w:t>
            </w:r>
          </w:p>
        </w:tc>
        <w:tc>
          <w:tcPr>
            <w:tcW w:w="1474" w:type="dxa"/>
          </w:tcPr>
          <w:p w14:paraId="733A02DC"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138C9DAC"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7B9CDB96" w14:textId="2623F73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1.38</w:t>
            </w:r>
            <w:r w:rsidRPr="0062651F">
              <w:rPr>
                <w:rFonts w:cs="Open Sans"/>
                <w:szCs w:val="18"/>
                <w:vertAlign w:val="superscript"/>
              </w:rPr>
              <w:t>c</w:t>
            </w:r>
          </w:p>
        </w:tc>
        <w:tc>
          <w:tcPr>
            <w:tcW w:w="1304" w:type="dxa"/>
          </w:tcPr>
          <w:p w14:paraId="7AEF8F90" w14:textId="35AA3E4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4.61</w:t>
            </w:r>
          </w:p>
        </w:tc>
        <w:tc>
          <w:tcPr>
            <w:tcW w:w="1299" w:type="dxa"/>
          </w:tcPr>
          <w:p w14:paraId="2DDC72E9" w14:textId="3908427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15.46*</w:t>
            </w:r>
          </w:p>
        </w:tc>
        <w:tc>
          <w:tcPr>
            <w:tcW w:w="1110" w:type="dxa"/>
          </w:tcPr>
          <w:p w14:paraId="5EA0ECF5" w14:textId="0015E83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77.29*</w:t>
            </w:r>
          </w:p>
        </w:tc>
        <w:tc>
          <w:tcPr>
            <w:tcW w:w="1361" w:type="dxa"/>
          </w:tcPr>
          <w:p w14:paraId="067A0844" w14:textId="637A600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1.11</w:t>
            </w:r>
            <w:r w:rsidRPr="0062651F">
              <w:rPr>
                <w:rFonts w:cs="Open Sans"/>
                <w:szCs w:val="18"/>
                <w:vertAlign w:val="superscript"/>
              </w:rPr>
              <w:t>c</w:t>
            </w:r>
          </w:p>
        </w:tc>
        <w:tc>
          <w:tcPr>
            <w:tcW w:w="1304" w:type="dxa"/>
          </w:tcPr>
          <w:p w14:paraId="7C9BE1E6" w14:textId="66DE228E"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5.99</w:t>
            </w:r>
          </w:p>
        </w:tc>
        <w:tc>
          <w:tcPr>
            <w:tcW w:w="1134" w:type="dxa"/>
          </w:tcPr>
          <w:p w14:paraId="50E0903E" w14:textId="6231A8C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92.75</w:t>
            </w:r>
          </w:p>
        </w:tc>
      </w:tr>
      <w:tr w:rsidR="000508F8" w:rsidRPr="0062651F" w14:paraId="3642E24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C55296A" w14:textId="75BBFED4" w:rsidR="000508F8" w:rsidRDefault="000508F8" w:rsidP="00962748">
            <w:pPr>
              <w:pStyle w:val="Tablebody"/>
              <w:rPr>
                <w:rFonts w:cs="Open Sans"/>
                <w:szCs w:val="18"/>
              </w:rPr>
            </w:pPr>
            <w:r w:rsidRPr="0062651F">
              <w:rPr>
                <w:rFonts w:cs="Open Sans"/>
                <w:szCs w:val="18"/>
              </w:rPr>
              <w:t>G8</w:t>
            </w:r>
          </w:p>
        </w:tc>
        <w:tc>
          <w:tcPr>
            <w:tcW w:w="3458" w:type="dxa"/>
          </w:tcPr>
          <w:p w14:paraId="0A228541" w14:textId="123A2C4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A man should never admit when others have hurt his feelings</w:t>
            </w:r>
          </w:p>
        </w:tc>
        <w:tc>
          <w:tcPr>
            <w:tcW w:w="1474" w:type="dxa"/>
          </w:tcPr>
          <w:p w14:paraId="695EB580" w14:textId="5CC24B8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7165D3C0" w14:textId="24D78349"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4F895C0F" w14:textId="4CD0B40E"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0.41</w:t>
            </w:r>
            <w:r w:rsidRPr="0062651F">
              <w:rPr>
                <w:rFonts w:cs="Open Sans"/>
                <w:szCs w:val="18"/>
                <w:vertAlign w:val="superscript"/>
              </w:rPr>
              <w:t>c</w:t>
            </w:r>
          </w:p>
        </w:tc>
        <w:tc>
          <w:tcPr>
            <w:tcW w:w="1304" w:type="dxa"/>
          </w:tcPr>
          <w:p w14:paraId="2E6B09E8" w14:textId="68986284"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1.61</w:t>
            </w:r>
            <w:r w:rsidRPr="0062651F">
              <w:rPr>
                <w:rFonts w:cs="Open Sans"/>
                <w:szCs w:val="18"/>
                <w:vertAlign w:val="superscript"/>
              </w:rPr>
              <w:t>c</w:t>
            </w:r>
          </w:p>
        </w:tc>
        <w:tc>
          <w:tcPr>
            <w:tcW w:w="1299" w:type="dxa"/>
          </w:tcPr>
          <w:p w14:paraId="3B728E95" w14:textId="0CEA80E9"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5.15*</w:t>
            </w:r>
          </w:p>
        </w:tc>
        <w:tc>
          <w:tcPr>
            <w:tcW w:w="1110" w:type="dxa"/>
          </w:tcPr>
          <w:p w14:paraId="5EB45231" w14:textId="27CD0A6E"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92.01*</w:t>
            </w:r>
          </w:p>
        </w:tc>
        <w:tc>
          <w:tcPr>
            <w:tcW w:w="1361" w:type="dxa"/>
          </w:tcPr>
          <w:p w14:paraId="1B66AE2D" w14:textId="68C36C92"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0.65</w:t>
            </w:r>
            <w:r w:rsidRPr="0062651F">
              <w:rPr>
                <w:rFonts w:cs="Open Sans"/>
                <w:szCs w:val="18"/>
                <w:vertAlign w:val="superscript"/>
              </w:rPr>
              <w:t>c</w:t>
            </w:r>
          </w:p>
        </w:tc>
        <w:tc>
          <w:tcPr>
            <w:tcW w:w="1304" w:type="dxa"/>
          </w:tcPr>
          <w:p w14:paraId="77BDFF55" w14:textId="3D6BE3EB"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2.02</w:t>
            </w:r>
            <w:r w:rsidRPr="0062651F">
              <w:rPr>
                <w:rFonts w:cs="Open Sans"/>
                <w:szCs w:val="18"/>
                <w:vertAlign w:val="superscript"/>
              </w:rPr>
              <w:t>c</w:t>
            </w:r>
          </w:p>
        </w:tc>
        <w:tc>
          <w:tcPr>
            <w:tcW w:w="1134" w:type="dxa"/>
          </w:tcPr>
          <w:p w14:paraId="4BFCA496" w14:textId="7A19F31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97.16</w:t>
            </w:r>
          </w:p>
        </w:tc>
      </w:tr>
      <w:tr w:rsidR="000508F8" w:rsidRPr="0062651F" w14:paraId="3774089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53922F2" w14:textId="77777777" w:rsidR="000508F8" w:rsidRPr="0062651F" w:rsidRDefault="000508F8" w:rsidP="00962748">
            <w:pPr>
              <w:pStyle w:val="Tablebody"/>
              <w:rPr>
                <w:rFonts w:cs="Open Sans"/>
                <w:szCs w:val="18"/>
                <w:lang w:val="en-GB"/>
              </w:rPr>
            </w:pPr>
            <w:r w:rsidRPr="0062651F">
              <w:rPr>
                <w:rFonts w:cs="Open Sans"/>
                <w:szCs w:val="18"/>
              </w:rPr>
              <w:t>G9</w:t>
            </w:r>
          </w:p>
        </w:tc>
        <w:tc>
          <w:tcPr>
            <w:tcW w:w="3458" w:type="dxa"/>
          </w:tcPr>
          <w:p w14:paraId="7BFE5B0D" w14:textId="3B9A84E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Women need to have children to</w:t>
            </w:r>
            <w:r>
              <w:rPr>
                <w:rFonts w:cs="Open Sans"/>
                <w:szCs w:val="18"/>
                <w:lang w:val="en-US"/>
              </w:rPr>
              <w:t> </w:t>
            </w:r>
            <w:r w:rsidRPr="0062651F">
              <w:rPr>
                <w:rFonts w:cs="Open Sans"/>
                <w:szCs w:val="18"/>
                <w:lang w:val="en-US"/>
              </w:rPr>
              <w:t>be</w:t>
            </w:r>
            <w:r>
              <w:rPr>
                <w:rFonts w:cs="Open Sans"/>
                <w:szCs w:val="18"/>
                <w:lang w:val="en-US"/>
              </w:rPr>
              <w:t> </w:t>
            </w:r>
            <w:r w:rsidRPr="0062651F">
              <w:rPr>
                <w:rFonts w:cs="Open Sans"/>
                <w:szCs w:val="18"/>
                <w:lang w:val="en-US"/>
              </w:rPr>
              <w:t>fulfilled^</w:t>
            </w:r>
          </w:p>
        </w:tc>
        <w:tc>
          <w:tcPr>
            <w:tcW w:w="1474" w:type="dxa"/>
          </w:tcPr>
          <w:p w14:paraId="67F80A51"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31B0A45C"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3186EDD5" w14:textId="7D984F3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1.67</w:t>
            </w:r>
            <w:r w:rsidRPr="0062651F">
              <w:rPr>
                <w:rFonts w:cs="Open Sans"/>
                <w:szCs w:val="18"/>
                <w:vertAlign w:val="superscript"/>
              </w:rPr>
              <w:t>c</w:t>
            </w:r>
          </w:p>
        </w:tc>
        <w:tc>
          <w:tcPr>
            <w:tcW w:w="1304" w:type="dxa"/>
          </w:tcPr>
          <w:p w14:paraId="6ED3E64D" w14:textId="15047F6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4.62*</w:t>
            </w:r>
          </w:p>
        </w:tc>
        <w:tc>
          <w:tcPr>
            <w:tcW w:w="1299" w:type="dxa"/>
          </w:tcPr>
          <w:p w14:paraId="2750E08A" w14:textId="1B602E8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18.86*</w:t>
            </w:r>
          </w:p>
        </w:tc>
        <w:tc>
          <w:tcPr>
            <w:tcW w:w="1110" w:type="dxa"/>
          </w:tcPr>
          <w:p w14:paraId="245E2C3A" w14:textId="2E5FAF1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72.01*</w:t>
            </w:r>
          </w:p>
        </w:tc>
        <w:tc>
          <w:tcPr>
            <w:tcW w:w="1361" w:type="dxa"/>
          </w:tcPr>
          <w:p w14:paraId="08877CE3" w14:textId="2C291E1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2.84</w:t>
            </w:r>
            <w:r w:rsidRPr="0062651F">
              <w:rPr>
                <w:rFonts w:cs="Open Sans"/>
                <w:szCs w:val="18"/>
                <w:vertAlign w:val="superscript"/>
              </w:rPr>
              <w:t>c</w:t>
            </w:r>
          </w:p>
        </w:tc>
        <w:tc>
          <w:tcPr>
            <w:tcW w:w="1304" w:type="dxa"/>
          </w:tcPr>
          <w:p w14:paraId="273166DF" w14:textId="23B6F89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6.29*</w:t>
            </w:r>
          </w:p>
        </w:tc>
        <w:tc>
          <w:tcPr>
            <w:tcW w:w="1134" w:type="dxa"/>
          </w:tcPr>
          <w:p w14:paraId="2E70C64B" w14:textId="6F137C2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90.87*</w:t>
            </w:r>
          </w:p>
        </w:tc>
      </w:tr>
      <w:tr w:rsidR="000508F8" w:rsidRPr="0062651F" w14:paraId="28C5D22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E18E9AE" w14:textId="4C83D1E0" w:rsidR="000508F8" w:rsidRPr="0062651F" w:rsidRDefault="000508F8" w:rsidP="00962748">
            <w:pPr>
              <w:pStyle w:val="Tablebody"/>
              <w:rPr>
                <w:rFonts w:cs="Open Sans"/>
                <w:szCs w:val="18"/>
              </w:rPr>
            </w:pPr>
            <w:r w:rsidRPr="0062651F">
              <w:rPr>
                <w:rFonts w:cs="Open Sans"/>
                <w:szCs w:val="18"/>
              </w:rPr>
              <w:t>G9</w:t>
            </w:r>
          </w:p>
        </w:tc>
        <w:tc>
          <w:tcPr>
            <w:tcW w:w="3458" w:type="dxa"/>
          </w:tcPr>
          <w:p w14:paraId="7CC99F3C" w14:textId="50CED2C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Women need to have children to</w:t>
            </w:r>
            <w:r>
              <w:rPr>
                <w:rFonts w:cs="Open Sans"/>
                <w:szCs w:val="18"/>
                <w:lang w:val="en-US"/>
              </w:rPr>
              <w:t> </w:t>
            </w:r>
            <w:r w:rsidRPr="0062651F">
              <w:rPr>
                <w:rFonts w:cs="Open Sans"/>
                <w:szCs w:val="18"/>
                <w:lang w:val="en-US"/>
              </w:rPr>
              <w:t>be</w:t>
            </w:r>
            <w:r>
              <w:rPr>
                <w:rFonts w:cs="Open Sans"/>
                <w:szCs w:val="18"/>
                <w:lang w:val="en-US"/>
              </w:rPr>
              <w:t> </w:t>
            </w:r>
            <w:r w:rsidRPr="0062651F">
              <w:rPr>
                <w:rFonts w:cs="Open Sans"/>
                <w:szCs w:val="18"/>
                <w:lang w:val="en-US"/>
              </w:rPr>
              <w:t>fulfilled^</w:t>
            </w:r>
          </w:p>
        </w:tc>
        <w:tc>
          <w:tcPr>
            <w:tcW w:w="1474" w:type="dxa"/>
          </w:tcPr>
          <w:p w14:paraId="5DEEB7A2" w14:textId="2219BE0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2A079EFD" w14:textId="509B2D3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05E8AB0A" w14:textId="57238117"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0.34</w:t>
            </w:r>
            <w:r w:rsidRPr="0062651F">
              <w:rPr>
                <w:rFonts w:cs="Open Sans"/>
                <w:szCs w:val="18"/>
                <w:vertAlign w:val="superscript"/>
              </w:rPr>
              <w:t>c</w:t>
            </w:r>
          </w:p>
        </w:tc>
        <w:tc>
          <w:tcPr>
            <w:tcW w:w="1304" w:type="dxa"/>
          </w:tcPr>
          <w:p w14:paraId="0A73B0F0" w14:textId="550DFF3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0.26*</w:t>
            </w:r>
            <w:r w:rsidRPr="0062651F">
              <w:rPr>
                <w:rFonts w:cs="Open Sans"/>
                <w:szCs w:val="18"/>
                <w:vertAlign w:val="superscript"/>
              </w:rPr>
              <w:t xml:space="preserve"> c</w:t>
            </w:r>
          </w:p>
        </w:tc>
        <w:tc>
          <w:tcPr>
            <w:tcW w:w="1299" w:type="dxa"/>
          </w:tcPr>
          <w:p w14:paraId="23EC10E3" w14:textId="53E5E09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7.00*</w:t>
            </w:r>
          </w:p>
        </w:tc>
        <w:tc>
          <w:tcPr>
            <w:tcW w:w="1110" w:type="dxa"/>
          </w:tcPr>
          <w:p w14:paraId="59C07496" w14:textId="6801F6A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91.80*</w:t>
            </w:r>
          </w:p>
        </w:tc>
        <w:tc>
          <w:tcPr>
            <w:tcW w:w="1361" w:type="dxa"/>
          </w:tcPr>
          <w:p w14:paraId="53565650" w14:textId="407343C6"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0.36</w:t>
            </w:r>
            <w:r w:rsidRPr="0062651F">
              <w:rPr>
                <w:rFonts w:cs="Open Sans"/>
                <w:szCs w:val="18"/>
                <w:vertAlign w:val="superscript"/>
              </w:rPr>
              <w:t>c</w:t>
            </w:r>
          </w:p>
        </w:tc>
        <w:tc>
          <w:tcPr>
            <w:tcW w:w="1304" w:type="dxa"/>
          </w:tcPr>
          <w:p w14:paraId="78CAD8E4" w14:textId="4C8EF76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0.60*</w:t>
            </w:r>
            <w:r w:rsidRPr="0062651F">
              <w:rPr>
                <w:rFonts w:cs="Open Sans"/>
                <w:szCs w:val="18"/>
                <w:vertAlign w:val="superscript"/>
              </w:rPr>
              <w:t xml:space="preserve"> c</w:t>
            </w:r>
          </w:p>
        </w:tc>
        <w:tc>
          <w:tcPr>
            <w:tcW w:w="1134" w:type="dxa"/>
          </w:tcPr>
          <w:p w14:paraId="38D043CD" w14:textId="598E861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98.80</w:t>
            </w:r>
            <w:r w:rsidRPr="0062651F">
              <w:rPr>
                <w:rFonts w:cs="Open Sans"/>
                <w:szCs w:val="18"/>
                <w:lang w:val="en-US"/>
              </w:rPr>
              <w:t>*</w:t>
            </w:r>
          </w:p>
        </w:tc>
      </w:tr>
      <w:tr w:rsidR="000508F8" w:rsidRPr="0062651F" w14:paraId="0CE9487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212B6A7" w14:textId="77777777" w:rsidR="000508F8" w:rsidRPr="0062651F" w:rsidRDefault="000508F8" w:rsidP="00962748">
            <w:pPr>
              <w:pStyle w:val="Tablebody"/>
              <w:rPr>
                <w:rFonts w:cs="Open Sans"/>
                <w:szCs w:val="18"/>
                <w:lang w:val="en-GB"/>
              </w:rPr>
            </w:pPr>
            <w:r w:rsidRPr="0062651F">
              <w:rPr>
                <w:rFonts w:cs="Open Sans"/>
                <w:szCs w:val="18"/>
              </w:rPr>
              <w:t>G14</w:t>
            </w:r>
          </w:p>
        </w:tc>
        <w:tc>
          <w:tcPr>
            <w:tcW w:w="3458" w:type="dxa"/>
          </w:tcPr>
          <w:p w14:paraId="22F5C7D0" w14:textId="5028F35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If a woman earns more than her male</w:t>
            </w:r>
            <w:r>
              <w:rPr>
                <w:rFonts w:cs="Open Sans"/>
                <w:szCs w:val="18"/>
                <w:lang w:val="en-US"/>
              </w:rPr>
              <w:t> </w:t>
            </w:r>
            <w:r w:rsidRPr="0062651F">
              <w:rPr>
                <w:rFonts w:cs="Open Sans"/>
                <w:szCs w:val="18"/>
                <w:lang w:val="en-US"/>
              </w:rPr>
              <w:t>partner, it is not good for the relationship^</w:t>
            </w:r>
          </w:p>
        </w:tc>
        <w:tc>
          <w:tcPr>
            <w:tcW w:w="1474" w:type="dxa"/>
          </w:tcPr>
          <w:p w14:paraId="49FF314F"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5E137DC3"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3D9A3DE6" w14:textId="081C2B4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1.82</w:t>
            </w:r>
            <w:r w:rsidRPr="0062651F">
              <w:rPr>
                <w:rFonts w:cs="Open Sans"/>
                <w:szCs w:val="18"/>
                <w:vertAlign w:val="superscript"/>
              </w:rPr>
              <w:t>c</w:t>
            </w:r>
          </w:p>
        </w:tc>
        <w:tc>
          <w:tcPr>
            <w:tcW w:w="1304" w:type="dxa"/>
          </w:tcPr>
          <w:p w14:paraId="3FE2D878" w14:textId="05ACE65C"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3.98</w:t>
            </w:r>
            <w:r w:rsidRPr="0062651F">
              <w:rPr>
                <w:rFonts w:cs="Open Sans"/>
                <w:szCs w:val="18"/>
                <w:vertAlign w:val="superscript"/>
              </w:rPr>
              <w:t>c</w:t>
            </w:r>
          </w:p>
        </w:tc>
        <w:tc>
          <w:tcPr>
            <w:tcW w:w="1299" w:type="dxa"/>
          </w:tcPr>
          <w:p w14:paraId="53AAAB2F" w14:textId="34E6AC4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19.14*</w:t>
            </w:r>
          </w:p>
        </w:tc>
        <w:tc>
          <w:tcPr>
            <w:tcW w:w="1110" w:type="dxa"/>
          </w:tcPr>
          <w:p w14:paraId="2E49D99C" w14:textId="148C5E1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73.42*</w:t>
            </w:r>
          </w:p>
        </w:tc>
        <w:tc>
          <w:tcPr>
            <w:tcW w:w="1361" w:type="dxa"/>
          </w:tcPr>
          <w:p w14:paraId="1855D176" w14:textId="20FBD55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1.49</w:t>
            </w:r>
            <w:r w:rsidRPr="0062651F">
              <w:rPr>
                <w:rFonts w:cs="Open Sans"/>
                <w:szCs w:val="18"/>
                <w:vertAlign w:val="superscript"/>
              </w:rPr>
              <w:t>c</w:t>
            </w:r>
          </w:p>
        </w:tc>
        <w:tc>
          <w:tcPr>
            <w:tcW w:w="1304" w:type="dxa"/>
          </w:tcPr>
          <w:p w14:paraId="5C9A3D6F" w14:textId="13B59C9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5.80</w:t>
            </w:r>
          </w:p>
        </w:tc>
        <w:tc>
          <w:tcPr>
            <w:tcW w:w="1134" w:type="dxa"/>
          </w:tcPr>
          <w:p w14:paraId="6E033A87" w14:textId="4BBBC4F3"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92.56*</w:t>
            </w:r>
          </w:p>
        </w:tc>
      </w:tr>
      <w:tr w:rsidR="000508F8" w:rsidRPr="0062651F" w14:paraId="72960FE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3222683" w14:textId="3D3054C8" w:rsidR="000508F8" w:rsidRPr="0062651F" w:rsidRDefault="000508F8" w:rsidP="00962748">
            <w:pPr>
              <w:pStyle w:val="Tablebody"/>
              <w:rPr>
                <w:rFonts w:cs="Open Sans"/>
                <w:szCs w:val="18"/>
              </w:rPr>
            </w:pPr>
            <w:r w:rsidRPr="0062651F">
              <w:rPr>
                <w:rFonts w:cs="Open Sans"/>
                <w:szCs w:val="18"/>
              </w:rPr>
              <w:t>G14</w:t>
            </w:r>
          </w:p>
        </w:tc>
        <w:tc>
          <w:tcPr>
            <w:tcW w:w="3458" w:type="dxa"/>
          </w:tcPr>
          <w:p w14:paraId="002C569F" w14:textId="02315214"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If a woman earns more than her male partner, it is not good for the relationship^</w:t>
            </w:r>
          </w:p>
        </w:tc>
        <w:tc>
          <w:tcPr>
            <w:tcW w:w="1474" w:type="dxa"/>
          </w:tcPr>
          <w:p w14:paraId="4003BBF2" w14:textId="39267F7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6A4E16DE" w14:textId="14F3D20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5ECFCBD1" w14:textId="3BB5B137"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0.50</w:t>
            </w:r>
            <w:r w:rsidRPr="0062651F">
              <w:rPr>
                <w:rFonts w:cs="Open Sans"/>
                <w:szCs w:val="18"/>
                <w:vertAlign w:val="superscript"/>
              </w:rPr>
              <w:t>c</w:t>
            </w:r>
          </w:p>
        </w:tc>
        <w:tc>
          <w:tcPr>
            <w:tcW w:w="1304" w:type="dxa"/>
          </w:tcPr>
          <w:p w14:paraId="59DC1902" w14:textId="0D4AB275"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1.37</w:t>
            </w:r>
            <w:r w:rsidRPr="0062651F">
              <w:rPr>
                <w:rFonts w:cs="Open Sans"/>
                <w:szCs w:val="18"/>
                <w:vertAlign w:val="superscript"/>
              </w:rPr>
              <w:t>c</w:t>
            </w:r>
          </w:p>
        </w:tc>
        <w:tc>
          <w:tcPr>
            <w:tcW w:w="1299" w:type="dxa"/>
          </w:tcPr>
          <w:p w14:paraId="18B799FC" w14:textId="106BA69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9.83*</w:t>
            </w:r>
          </w:p>
        </w:tc>
        <w:tc>
          <w:tcPr>
            <w:tcW w:w="1110" w:type="dxa"/>
          </w:tcPr>
          <w:p w14:paraId="16BB81C0" w14:textId="502773A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88.14*</w:t>
            </w:r>
          </w:p>
        </w:tc>
        <w:tc>
          <w:tcPr>
            <w:tcW w:w="1361" w:type="dxa"/>
          </w:tcPr>
          <w:p w14:paraId="2747041B" w14:textId="7834B00A"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0.17</w:t>
            </w:r>
            <w:r w:rsidRPr="0062651F">
              <w:rPr>
                <w:rFonts w:cs="Open Sans"/>
                <w:szCs w:val="18"/>
                <w:vertAlign w:val="superscript"/>
              </w:rPr>
              <w:t>c</w:t>
            </w:r>
          </w:p>
        </w:tc>
        <w:tc>
          <w:tcPr>
            <w:tcW w:w="1304" w:type="dxa"/>
          </w:tcPr>
          <w:p w14:paraId="31BB1576" w14:textId="46B944BE"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1.86</w:t>
            </w:r>
            <w:r w:rsidRPr="0062651F">
              <w:rPr>
                <w:rFonts w:cs="Open Sans"/>
                <w:szCs w:val="18"/>
                <w:vertAlign w:val="superscript"/>
              </w:rPr>
              <w:t>c</w:t>
            </w:r>
          </w:p>
        </w:tc>
        <w:tc>
          <w:tcPr>
            <w:tcW w:w="1134" w:type="dxa"/>
          </w:tcPr>
          <w:p w14:paraId="52F09522" w14:textId="7D7F83E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97.96</w:t>
            </w:r>
            <w:r w:rsidRPr="0062651F">
              <w:rPr>
                <w:rFonts w:cs="Open Sans"/>
                <w:szCs w:val="18"/>
                <w:lang w:val="en-US"/>
              </w:rPr>
              <w:t>*</w:t>
            </w:r>
          </w:p>
        </w:tc>
      </w:tr>
      <w:tr w:rsidR="000508F8" w:rsidRPr="0062651F" w14:paraId="0E497BC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A03159C" w14:textId="77777777" w:rsidR="000508F8" w:rsidRPr="0062651F" w:rsidRDefault="000508F8" w:rsidP="00962748">
            <w:pPr>
              <w:pStyle w:val="Tablebody"/>
              <w:rPr>
                <w:rFonts w:cs="Open Sans"/>
                <w:szCs w:val="18"/>
                <w:lang w:val="en-GB"/>
              </w:rPr>
            </w:pPr>
            <w:r w:rsidRPr="0062651F">
              <w:rPr>
                <w:rFonts w:cs="Open Sans"/>
                <w:szCs w:val="18"/>
              </w:rPr>
              <w:t>G15</w:t>
            </w:r>
          </w:p>
        </w:tc>
        <w:tc>
          <w:tcPr>
            <w:tcW w:w="3458" w:type="dxa"/>
          </w:tcPr>
          <w:p w14:paraId="3360C87B" w14:textId="6439533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When a couple start dating, the woman should not be the one to</w:t>
            </w:r>
            <w:r>
              <w:rPr>
                <w:rFonts w:cs="Open Sans"/>
                <w:szCs w:val="18"/>
                <w:lang w:val="en-US"/>
              </w:rPr>
              <w:t> </w:t>
            </w:r>
            <w:r w:rsidRPr="0062651F">
              <w:rPr>
                <w:rFonts w:cs="Open Sans"/>
                <w:szCs w:val="18"/>
                <w:lang w:val="en-US"/>
              </w:rPr>
              <w:t>initiate sex^</w:t>
            </w:r>
          </w:p>
        </w:tc>
        <w:tc>
          <w:tcPr>
            <w:tcW w:w="1474" w:type="dxa"/>
          </w:tcPr>
          <w:p w14:paraId="22F7E31D"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1AD08D81" w14:textId="7777777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710389EB" w14:textId="445C641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1.88</w:t>
            </w:r>
            <w:r w:rsidRPr="0062651F">
              <w:rPr>
                <w:rFonts w:cs="Open Sans"/>
                <w:szCs w:val="18"/>
                <w:vertAlign w:val="superscript"/>
              </w:rPr>
              <w:t>c</w:t>
            </w:r>
          </w:p>
        </w:tc>
        <w:tc>
          <w:tcPr>
            <w:tcW w:w="1304" w:type="dxa"/>
          </w:tcPr>
          <w:p w14:paraId="331B40CF" w14:textId="2ADA21A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3.22</w:t>
            </w:r>
            <w:r w:rsidRPr="0062651F">
              <w:rPr>
                <w:rFonts w:cs="Open Sans"/>
                <w:szCs w:val="18"/>
                <w:vertAlign w:val="superscript"/>
              </w:rPr>
              <w:t>c</w:t>
            </w:r>
          </w:p>
        </w:tc>
        <w:tc>
          <w:tcPr>
            <w:tcW w:w="1299" w:type="dxa"/>
          </w:tcPr>
          <w:p w14:paraId="788A5929" w14:textId="0CE39CD2"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29.80*</w:t>
            </w:r>
          </w:p>
        </w:tc>
        <w:tc>
          <w:tcPr>
            <w:tcW w:w="1110" w:type="dxa"/>
          </w:tcPr>
          <w:p w14:paraId="75905D01" w14:textId="7F07251B"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52.06*</w:t>
            </w:r>
          </w:p>
        </w:tc>
        <w:tc>
          <w:tcPr>
            <w:tcW w:w="1361" w:type="dxa"/>
          </w:tcPr>
          <w:p w14:paraId="27646CE0" w14:textId="1852616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11.67*</w:t>
            </w:r>
          </w:p>
        </w:tc>
        <w:tc>
          <w:tcPr>
            <w:tcW w:w="1304" w:type="dxa"/>
          </w:tcPr>
          <w:p w14:paraId="00A0063D" w14:textId="3CD9E2F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5.09</w:t>
            </w:r>
          </w:p>
        </w:tc>
        <w:tc>
          <w:tcPr>
            <w:tcW w:w="1134" w:type="dxa"/>
          </w:tcPr>
          <w:p w14:paraId="4D27E358" w14:textId="37A512F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81.85</w:t>
            </w:r>
          </w:p>
        </w:tc>
      </w:tr>
      <w:tr w:rsidR="000508F8" w:rsidRPr="0062651F" w14:paraId="18F30A3B"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0AC4C14E" w14:textId="6133E6CC" w:rsidR="000508F8" w:rsidRPr="0062651F" w:rsidRDefault="000508F8" w:rsidP="00962748">
            <w:pPr>
              <w:pStyle w:val="Tablebody"/>
              <w:rPr>
                <w:rFonts w:cs="Open Sans"/>
                <w:szCs w:val="18"/>
              </w:rPr>
            </w:pPr>
            <w:r w:rsidRPr="0062651F">
              <w:rPr>
                <w:rFonts w:cs="Open Sans"/>
                <w:szCs w:val="18"/>
              </w:rPr>
              <w:t>G15</w:t>
            </w:r>
          </w:p>
        </w:tc>
        <w:tc>
          <w:tcPr>
            <w:tcW w:w="3458" w:type="dxa"/>
          </w:tcPr>
          <w:p w14:paraId="393874E6" w14:textId="2A7C6F55"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When a couple start dating, the woman should not be the one to</w:t>
            </w:r>
            <w:r>
              <w:rPr>
                <w:rFonts w:cs="Open Sans"/>
                <w:szCs w:val="18"/>
                <w:lang w:val="en-US"/>
              </w:rPr>
              <w:t> </w:t>
            </w:r>
            <w:r w:rsidRPr="0062651F">
              <w:rPr>
                <w:rFonts w:cs="Open Sans"/>
                <w:szCs w:val="18"/>
                <w:lang w:val="en-US"/>
              </w:rPr>
              <w:t>initiate sex^</w:t>
            </w:r>
          </w:p>
        </w:tc>
        <w:tc>
          <w:tcPr>
            <w:tcW w:w="1474" w:type="dxa"/>
          </w:tcPr>
          <w:p w14:paraId="45E9802D" w14:textId="2D23BA60"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29E706BB" w14:textId="4EB1C187"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76DB9A09" w14:textId="2777DF42"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0.96</w:t>
            </w:r>
            <w:r w:rsidRPr="0062651F">
              <w:rPr>
                <w:rFonts w:cs="Open Sans"/>
                <w:szCs w:val="18"/>
                <w:vertAlign w:val="superscript"/>
              </w:rPr>
              <w:t>c</w:t>
            </w:r>
          </w:p>
        </w:tc>
        <w:tc>
          <w:tcPr>
            <w:tcW w:w="1304" w:type="dxa"/>
          </w:tcPr>
          <w:p w14:paraId="665658FB" w14:textId="3CBC9CDA" w:rsidR="000508F8" w:rsidRPr="000508F8"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5.08</w:t>
            </w:r>
            <w:r w:rsidRPr="0062651F">
              <w:rPr>
                <w:rFonts w:cs="Open Sans"/>
                <w:szCs w:val="18"/>
                <w:vertAlign w:val="superscript"/>
              </w:rPr>
              <w:t>c</w:t>
            </w:r>
          </w:p>
        </w:tc>
        <w:tc>
          <w:tcPr>
            <w:tcW w:w="1299" w:type="dxa"/>
          </w:tcPr>
          <w:p w14:paraId="405EEAD6" w14:textId="1303D838"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18.27*</w:t>
            </w:r>
          </w:p>
        </w:tc>
        <w:tc>
          <w:tcPr>
            <w:tcW w:w="1110" w:type="dxa"/>
          </w:tcPr>
          <w:p w14:paraId="578D2B16" w14:textId="158A8B1A"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69.98*</w:t>
            </w:r>
          </w:p>
        </w:tc>
        <w:tc>
          <w:tcPr>
            <w:tcW w:w="1361" w:type="dxa"/>
          </w:tcPr>
          <w:p w14:paraId="623A843F" w14:textId="2B6E6F86"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5.71*</w:t>
            </w:r>
          </w:p>
        </w:tc>
        <w:tc>
          <w:tcPr>
            <w:tcW w:w="1304" w:type="dxa"/>
          </w:tcPr>
          <w:p w14:paraId="12AB7FD6" w14:textId="26A691DD"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6.04</w:t>
            </w:r>
          </w:p>
        </w:tc>
        <w:tc>
          <w:tcPr>
            <w:tcW w:w="1134" w:type="dxa"/>
          </w:tcPr>
          <w:p w14:paraId="292559CE" w14:textId="4D90C231" w:rsidR="000508F8" w:rsidRPr="0062651F" w:rsidRDefault="000508F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88.25</w:t>
            </w:r>
          </w:p>
        </w:tc>
      </w:tr>
    </w:tbl>
    <w:p w14:paraId="75AA66FB" w14:textId="06075511" w:rsidR="00875FA0" w:rsidRDefault="00E857EF" w:rsidP="00966261">
      <w:pPr>
        <w:pStyle w:val="Tablesubheading0"/>
      </w:pPr>
      <w:r>
        <w:t>Subscale:</w:t>
      </w:r>
      <w:r w:rsidRPr="00E857EF">
        <w:t xml:space="preserve"> </w:t>
      </w:r>
      <w:r w:rsidRPr="0062651F">
        <w:t>Undermine Leadership</w:t>
      </w:r>
    </w:p>
    <w:tbl>
      <w:tblPr>
        <w:tblStyle w:val="Table-SingleHeaderRow"/>
        <w:tblW w:w="0" w:type="auto"/>
        <w:tblLayout w:type="fixed"/>
        <w:tblLook w:val="00A0" w:firstRow="1" w:lastRow="0" w:firstColumn="1" w:lastColumn="0" w:noHBand="0" w:noVBand="0"/>
      </w:tblPr>
      <w:tblGrid>
        <w:gridCol w:w="737"/>
        <w:gridCol w:w="3798"/>
        <w:gridCol w:w="1474"/>
        <w:gridCol w:w="567"/>
        <w:gridCol w:w="1191"/>
        <w:gridCol w:w="1304"/>
        <w:gridCol w:w="1299"/>
        <w:gridCol w:w="1110"/>
        <w:gridCol w:w="1191"/>
        <w:gridCol w:w="1134"/>
        <w:gridCol w:w="1134"/>
      </w:tblGrid>
      <w:tr w:rsidR="00E857EF" w:rsidRPr="0062651F" w14:paraId="5208F9A4"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37" w:type="dxa"/>
          </w:tcPr>
          <w:p w14:paraId="6B10CFC8" w14:textId="77777777" w:rsidR="00E857EF" w:rsidRPr="0062651F" w:rsidRDefault="00E857EF" w:rsidP="00962748">
            <w:pPr>
              <w:pStyle w:val="Tablebody"/>
              <w:rPr>
                <w:b w:val="0"/>
                <w:lang w:val="en-GB"/>
              </w:rPr>
            </w:pPr>
            <w:r w:rsidRPr="0062651F">
              <w:t>Code</w:t>
            </w:r>
          </w:p>
        </w:tc>
        <w:tc>
          <w:tcPr>
            <w:tcW w:w="3798" w:type="dxa"/>
          </w:tcPr>
          <w:p w14:paraId="7F001839"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Abbreviated item wording</w:t>
            </w:r>
          </w:p>
        </w:tc>
        <w:tc>
          <w:tcPr>
            <w:tcW w:w="1474" w:type="dxa"/>
          </w:tcPr>
          <w:p w14:paraId="41AE4A8D"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Gender</w:t>
            </w:r>
          </w:p>
        </w:tc>
        <w:tc>
          <w:tcPr>
            <w:tcW w:w="567" w:type="dxa"/>
          </w:tcPr>
          <w:p w14:paraId="566EE933"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62651F">
              <w:rPr>
                <w:rStyle w:val="Emphasis"/>
                <w:lang w:val="en-US"/>
              </w:rPr>
              <w:t>N</w:t>
            </w:r>
          </w:p>
        </w:tc>
        <w:tc>
          <w:tcPr>
            <w:tcW w:w="1191" w:type="dxa"/>
          </w:tcPr>
          <w:p w14:paraId="77F52B88"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agree</w:t>
            </w:r>
          </w:p>
        </w:tc>
        <w:tc>
          <w:tcPr>
            <w:tcW w:w="1304" w:type="dxa"/>
          </w:tcPr>
          <w:p w14:paraId="1393F0BA"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agree</w:t>
            </w:r>
          </w:p>
        </w:tc>
        <w:tc>
          <w:tcPr>
            <w:tcW w:w="1299" w:type="dxa"/>
          </w:tcPr>
          <w:p w14:paraId="2D86CDD6"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Somewhat disagree</w:t>
            </w:r>
          </w:p>
        </w:tc>
        <w:tc>
          <w:tcPr>
            <w:tcW w:w="1110" w:type="dxa"/>
          </w:tcPr>
          <w:p w14:paraId="27936269"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Strongly disagree</w:t>
            </w:r>
          </w:p>
        </w:tc>
        <w:tc>
          <w:tcPr>
            <w:tcW w:w="1191" w:type="dxa"/>
          </w:tcPr>
          <w:p w14:paraId="5C331D8D"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Undecided</w:t>
            </w:r>
          </w:p>
        </w:tc>
        <w:tc>
          <w:tcPr>
            <w:tcW w:w="1134" w:type="dxa"/>
          </w:tcPr>
          <w:p w14:paraId="30018809"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agree</w:t>
            </w:r>
            <w:r w:rsidRPr="0062651F">
              <w:rPr>
                <w:vertAlign w:val="superscript"/>
              </w:rPr>
              <w:t>a</w:t>
            </w:r>
          </w:p>
        </w:tc>
        <w:tc>
          <w:tcPr>
            <w:tcW w:w="1134" w:type="dxa"/>
          </w:tcPr>
          <w:p w14:paraId="45CC84A1" w14:textId="77777777" w:rsidR="00E857EF" w:rsidRPr="0062651F" w:rsidRDefault="00E857EF"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62651F">
              <w:t>% Net disagree</w:t>
            </w:r>
            <w:r w:rsidRPr="0062651F">
              <w:rPr>
                <w:vertAlign w:val="superscript"/>
              </w:rPr>
              <w:t>b</w:t>
            </w:r>
          </w:p>
        </w:tc>
      </w:tr>
      <w:tr w:rsidR="002B33B3" w:rsidRPr="0062651F" w14:paraId="5AAFE87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7D3CB30F" w14:textId="77777777" w:rsidR="002B33B3" w:rsidRPr="0062651F" w:rsidRDefault="002B33B3" w:rsidP="00962748">
            <w:pPr>
              <w:pStyle w:val="Tablebody"/>
              <w:rPr>
                <w:rFonts w:cs="Open Sans"/>
                <w:szCs w:val="18"/>
                <w:lang w:val="en-GB"/>
              </w:rPr>
            </w:pPr>
            <w:r w:rsidRPr="0062651F">
              <w:rPr>
                <w:rFonts w:cs="Open Sans"/>
                <w:szCs w:val="18"/>
              </w:rPr>
              <w:t>G4</w:t>
            </w:r>
          </w:p>
        </w:tc>
        <w:tc>
          <w:tcPr>
            <w:tcW w:w="3798" w:type="dxa"/>
          </w:tcPr>
          <w:p w14:paraId="1CAE3113"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On the whole, men make better political leaders than women</w:t>
            </w:r>
          </w:p>
        </w:tc>
        <w:tc>
          <w:tcPr>
            <w:tcW w:w="1474" w:type="dxa"/>
          </w:tcPr>
          <w:p w14:paraId="619D6BA9"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6F38105A"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07C3340C" w14:textId="57F37638"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3.42</w:t>
            </w:r>
          </w:p>
        </w:tc>
        <w:tc>
          <w:tcPr>
            <w:tcW w:w="1304" w:type="dxa"/>
          </w:tcPr>
          <w:p w14:paraId="1A571EDF" w14:textId="47787A7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9.59*</w:t>
            </w:r>
          </w:p>
        </w:tc>
        <w:tc>
          <w:tcPr>
            <w:tcW w:w="1299" w:type="dxa"/>
          </w:tcPr>
          <w:p w14:paraId="357F19F8" w14:textId="34F6D86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22.14</w:t>
            </w:r>
          </w:p>
        </w:tc>
        <w:tc>
          <w:tcPr>
            <w:tcW w:w="1110" w:type="dxa"/>
          </w:tcPr>
          <w:p w14:paraId="66833531" w14:textId="15E44F8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55.45*</w:t>
            </w:r>
          </w:p>
        </w:tc>
        <w:tc>
          <w:tcPr>
            <w:tcW w:w="1191" w:type="dxa"/>
          </w:tcPr>
          <w:p w14:paraId="5A424895" w14:textId="1F08CE9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8.87*</w:t>
            </w:r>
          </w:p>
        </w:tc>
        <w:tc>
          <w:tcPr>
            <w:tcW w:w="1134" w:type="dxa"/>
          </w:tcPr>
          <w:p w14:paraId="3419456E" w14:textId="39CF242F"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13.01*</w:t>
            </w:r>
          </w:p>
        </w:tc>
        <w:tc>
          <w:tcPr>
            <w:tcW w:w="1134" w:type="dxa"/>
          </w:tcPr>
          <w:p w14:paraId="5B4AABDB" w14:textId="09F7E340"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77.59*</w:t>
            </w:r>
          </w:p>
        </w:tc>
      </w:tr>
      <w:tr w:rsidR="002B33B3" w:rsidRPr="0062651F" w14:paraId="32254F6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595CC298" w14:textId="55120F6D" w:rsidR="002B33B3" w:rsidRPr="0062651F" w:rsidRDefault="002B33B3" w:rsidP="00962748">
            <w:pPr>
              <w:pStyle w:val="Tablebody"/>
              <w:rPr>
                <w:rFonts w:cs="Open Sans"/>
                <w:szCs w:val="18"/>
              </w:rPr>
            </w:pPr>
            <w:r w:rsidRPr="0062651F">
              <w:rPr>
                <w:rFonts w:cs="Open Sans"/>
                <w:szCs w:val="18"/>
              </w:rPr>
              <w:t>G4</w:t>
            </w:r>
          </w:p>
        </w:tc>
        <w:tc>
          <w:tcPr>
            <w:tcW w:w="3798" w:type="dxa"/>
          </w:tcPr>
          <w:p w14:paraId="56A238BA" w14:textId="3D3E59C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On the whole, men make better political leaders than women</w:t>
            </w:r>
          </w:p>
        </w:tc>
        <w:tc>
          <w:tcPr>
            <w:tcW w:w="1474" w:type="dxa"/>
          </w:tcPr>
          <w:p w14:paraId="28672CE9" w14:textId="1C07C718"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1932AB5B" w14:textId="716DB15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47E48B30" w14:textId="18395DB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0.73</w:t>
            </w:r>
            <w:r w:rsidRPr="0062651F">
              <w:rPr>
                <w:rFonts w:cs="Open Sans"/>
                <w:szCs w:val="18"/>
                <w:vertAlign w:val="superscript"/>
              </w:rPr>
              <w:t>c</w:t>
            </w:r>
          </w:p>
        </w:tc>
        <w:tc>
          <w:tcPr>
            <w:tcW w:w="1304" w:type="dxa"/>
          </w:tcPr>
          <w:p w14:paraId="25BC9511" w14:textId="6BCC890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3.76*</w:t>
            </w:r>
          </w:p>
        </w:tc>
        <w:tc>
          <w:tcPr>
            <w:tcW w:w="1299" w:type="dxa"/>
          </w:tcPr>
          <w:p w14:paraId="4EAF84D7" w14:textId="20B2763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15.01</w:t>
            </w:r>
          </w:p>
        </w:tc>
        <w:tc>
          <w:tcPr>
            <w:tcW w:w="1110" w:type="dxa"/>
          </w:tcPr>
          <w:p w14:paraId="3E8819E0" w14:textId="796DE256"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77.97*</w:t>
            </w:r>
          </w:p>
        </w:tc>
        <w:tc>
          <w:tcPr>
            <w:tcW w:w="1191" w:type="dxa"/>
          </w:tcPr>
          <w:p w14:paraId="06558430" w14:textId="0790EC9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2.52*</w:t>
            </w:r>
          </w:p>
        </w:tc>
        <w:tc>
          <w:tcPr>
            <w:tcW w:w="1134" w:type="dxa"/>
          </w:tcPr>
          <w:p w14:paraId="19BCE8CD" w14:textId="5DD10D55"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4.49*</w:t>
            </w:r>
          </w:p>
        </w:tc>
        <w:tc>
          <w:tcPr>
            <w:tcW w:w="1134" w:type="dxa"/>
          </w:tcPr>
          <w:p w14:paraId="7F3BBF42" w14:textId="37F963B9"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92.99*</w:t>
            </w:r>
          </w:p>
        </w:tc>
      </w:tr>
      <w:tr w:rsidR="002B33B3" w:rsidRPr="0062651F" w14:paraId="27F7A44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2E36D735" w14:textId="77777777" w:rsidR="002B33B3" w:rsidRPr="0062651F" w:rsidRDefault="002B33B3" w:rsidP="00962748">
            <w:pPr>
              <w:pStyle w:val="Tablebody"/>
              <w:rPr>
                <w:rFonts w:cs="Open Sans"/>
                <w:szCs w:val="18"/>
                <w:lang w:val="en-GB"/>
              </w:rPr>
            </w:pPr>
            <w:r w:rsidRPr="0062651F">
              <w:rPr>
                <w:rFonts w:cs="Open Sans"/>
                <w:szCs w:val="18"/>
              </w:rPr>
              <w:t>G5</w:t>
            </w:r>
          </w:p>
        </w:tc>
        <w:tc>
          <w:tcPr>
            <w:tcW w:w="3798" w:type="dxa"/>
          </w:tcPr>
          <w:p w14:paraId="08EAD576"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In the workplace, men generally make more capable bosses than women^</w:t>
            </w:r>
          </w:p>
        </w:tc>
        <w:tc>
          <w:tcPr>
            <w:tcW w:w="1474" w:type="dxa"/>
          </w:tcPr>
          <w:p w14:paraId="340BD51A"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44FB19FE"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3A330C60" w14:textId="61FBD3B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3.75</w:t>
            </w:r>
            <w:r w:rsidRPr="0062651F">
              <w:rPr>
                <w:rFonts w:cs="Open Sans"/>
                <w:szCs w:val="18"/>
                <w:vertAlign w:val="superscript"/>
              </w:rPr>
              <w:t>c</w:t>
            </w:r>
          </w:p>
        </w:tc>
        <w:tc>
          <w:tcPr>
            <w:tcW w:w="1304" w:type="dxa"/>
          </w:tcPr>
          <w:p w14:paraId="54333E2B" w14:textId="6616F742"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9.12*</w:t>
            </w:r>
          </w:p>
        </w:tc>
        <w:tc>
          <w:tcPr>
            <w:tcW w:w="1299" w:type="dxa"/>
          </w:tcPr>
          <w:p w14:paraId="04FEC29B" w14:textId="4E3A12D9"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24.99*</w:t>
            </w:r>
          </w:p>
        </w:tc>
        <w:tc>
          <w:tcPr>
            <w:tcW w:w="1110" w:type="dxa"/>
          </w:tcPr>
          <w:p w14:paraId="0D83863A" w14:textId="1886D14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54.46*</w:t>
            </w:r>
          </w:p>
        </w:tc>
        <w:tc>
          <w:tcPr>
            <w:tcW w:w="1191" w:type="dxa"/>
          </w:tcPr>
          <w:p w14:paraId="4FD74C2F" w14:textId="75B03D90"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7.15*</w:t>
            </w:r>
          </w:p>
        </w:tc>
        <w:tc>
          <w:tcPr>
            <w:tcW w:w="1134" w:type="dxa"/>
          </w:tcPr>
          <w:p w14:paraId="3EAD088E" w14:textId="56F3A66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12.86*</w:t>
            </w:r>
          </w:p>
        </w:tc>
        <w:tc>
          <w:tcPr>
            <w:tcW w:w="1134" w:type="dxa"/>
          </w:tcPr>
          <w:p w14:paraId="75D5D920" w14:textId="1B6AA831"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79.45*</w:t>
            </w:r>
          </w:p>
        </w:tc>
      </w:tr>
      <w:tr w:rsidR="002B33B3" w:rsidRPr="0062651F" w14:paraId="22796A1B"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036A7F6" w14:textId="6C65AF8E" w:rsidR="002B33B3" w:rsidRPr="0062651F" w:rsidRDefault="002B33B3" w:rsidP="00962748">
            <w:pPr>
              <w:pStyle w:val="Tablebody"/>
              <w:rPr>
                <w:rFonts w:cs="Open Sans"/>
                <w:szCs w:val="18"/>
              </w:rPr>
            </w:pPr>
            <w:r w:rsidRPr="0062651F">
              <w:rPr>
                <w:rFonts w:cs="Open Sans"/>
                <w:szCs w:val="18"/>
              </w:rPr>
              <w:t>G5</w:t>
            </w:r>
          </w:p>
        </w:tc>
        <w:tc>
          <w:tcPr>
            <w:tcW w:w="3798" w:type="dxa"/>
          </w:tcPr>
          <w:p w14:paraId="2BD67AB6" w14:textId="33BBBDD3"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In the workplace, men generally make more capable bosses than women^</w:t>
            </w:r>
          </w:p>
        </w:tc>
        <w:tc>
          <w:tcPr>
            <w:tcW w:w="1474" w:type="dxa"/>
          </w:tcPr>
          <w:p w14:paraId="5E2E52A2" w14:textId="446E1C8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32250BBC" w14:textId="4F49F8F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524000F0" w14:textId="63E19205"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0.69</w:t>
            </w:r>
            <w:r w:rsidRPr="0062651F">
              <w:rPr>
                <w:rFonts w:cs="Open Sans"/>
                <w:szCs w:val="18"/>
                <w:vertAlign w:val="superscript"/>
              </w:rPr>
              <w:t>c</w:t>
            </w:r>
          </w:p>
        </w:tc>
        <w:tc>
          <w:tcPr>
            <w:tcW w:w="1304" w:type="dxa"/>
          </w:tcPr>
          <w:p w14:paraId="7C70E8A0" w14:textId="5FABA5AD"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3.93*</w:t>
            </w:r>
            <w:r w:rsidRPr="0062651F">
              <w:rPr>
                <w:rFonts w:cs="Open Sans"/>
                <w:szCs w:val="18"/>
                <w:vertAlign w:val="superscript"/>
              </w:rPr>
              <w:t xml:space="preserve"> c</w:t>
            </w:r>
          </w:p>
        </w:tc>
        <w:tc>
          <w:tcPr>
            <w:tcW w:w="1299" w:type="dxa"/>
          </w:tcPr>
          <w:p w14:paraId="1299427B" w14:textId="56FFD236"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15.51*</w:t>
            </w:r>
          </w:p>
        </w:tc>
        <w:tc>
          <w:tcPr>
            <w:tcW w:w="1110" w:type="dxa"/>
          </w:tcPr>
          <w:p w14:paraId="1C982202" w14:textId="2F303ED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78.78*</w:t>
            </w:r>
          </w:p>
        </w:tc>
        <w:tc>
          <w:tcPr>
            <w:tcW w:w="1191" w:type="dxa"/>
          </w:tcPr>
          <w:p w14:paraId="135D587B" w14:textId="68E7235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1.09*</w:t>
            </w:r>
            <w:r w:rsidRPr="0062651F">
              <w:rPr>
                <w:rFonts w:cs="Open Sans"/>
                <w:szCs w:val="18"/>
                <w:vertAlign w:val="superscript"/>
              </w:rPr>
              <w:t xml:space="preserve"> c</w:t>
            </w:r>
          </w:p>
        </w:tc>
        <w:tc>
          <w:tcPr>
            <w:tcW w:w="1134" w:type="dxa"/>
          </w:tcPr>
          <w:p w14:paraId="7F183189" w14:textId="064439D2"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4.61*</w:t>
            </w:r>
            <w:r w:rsidRPr="0062651F">
              <w:rPr>
                <w:rFonts w:cs="Open Sans"/>
                <w:szCs w:val="18"/>
                <w:vertAlign w:val="superscript"/>
              </w:rPr>
              <w:t xml:space="preserve"> c</w:t>
            </w:r>
          </w:p>
        </w:tc>
        <w:tc>
          <w:tcPr>
            <w:tcW w:w="1134" w:type="dxa"/>
          </w:tcPr>
          <w:p w14:paraId="5E314037" w14:textId="026AE60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94.29*</w:t>
            </w:r>
          </w:p>
        </w:tc>
      </w:tr>
      <w:tr w:rsidR="002B33B3" w:rsidRPr="0062651F" w14:paraId="69405B6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38849048" w14:textId="77777777" w:rsidR="002B33B3" w:rsidRPr="0062651F" w:rsidRDefault="002B33B3" w:rsidP="00962748">
            <w:pPr>
              <w:pStyle w:val="Tablebody"/>
              <w:rPr>
                <w:rFonts w:cs="Open Sans"/>
                <w:szCs w:val="18"/>
                <w:lang w:val="en-GB"/>
              </w:rPr>
            </w:pPr>
            <w:r w:rsidRPr="0062651F">
              <w:rPr>
                <w:rFonts w:cs="Open Sans"/>
                <w:szCs w:val="18"/>
              </w:rPr>
              <w:lastRenderedPageBreak/>
              <w:t>G6</w:t>
            </w:r>
          </w:p>
        </w:tc>
        <w:tc>
          <w:tcPr>
            <w:tcW w:w="3798" w:type="dxa"/>
          </w:tcPr>
          <w:p w14:paraId="509FE336" w14:textId="77777777" w:rsidR="002B33B3" w:rsidRPr="002B33B3"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GB"/>
              </w:rPr>
            </w:pPr>
            <w:r w:rsidRPr="002B33B3">
              <w:rPr>
                <w:rFonts w:cs="Open Sans"/>
                <w:spacing w:val="-6"/>
                <w:szCs w:val="18"/>
                <w:lang w:val="en-US"/>
              </w:rPr>
              <w:t>Men, rather than women, should hold positions of responsibility in the community^</w:t>
            </w:r>
          </w:p>
        </w:tc>
        <w:tc>
          <w:tcPr>
            <w:tcW w:w="1474" w:type="dxa"/>
          </w:tcPr>
          <w:p w14:paraId="20DC6C48"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4332BB95"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457</w:t>
            </w:r>
          </w:p>
        </w:tc>
        <w:tc>
          <w:tcPr>
            <w:tcW w:w="1191" w:type="dxa"/>
          </w:tcPr>
          <w:p w14:paraId="68B9A839" w14:textId="078FA5B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4.65</w:t>
            </w:r>
          </w:p>
        </w:tc>
        <w:tc>
          <w:tcPr>
            <w:tcW w:w="1304" w:type="dxa"/>
          </w:tcPr>
          <w:p w14:paraId="4703E98D" w14:textId="0F60B57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8.43</w:t>
            </w:r>
          </w:p>
        </w:tc>
        <w:tc>
          <w:tcPr>
            <w:tcW w:w="1299" w:type="dxa"/>
          </w:tcPr>
          <w:p w14:paraId="7BE04D14" w14:textId="6A54BE60"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22.20*</w:t>
            </w:r>
          </w:p>
        </w:tc>
        <w:tc>
          <w:tcPr>
            <w:tcW w:w="1110" w:type="dxa"/>
          </w:tcPr>
          <w:p w14:paraId="1E566A00" w14:textId="3C92D396"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58.14*</w:t>
            </w:r>
          </w:p>
        </w:tc>
        <w:tc>
          <w:tcPr>
            <w:tcW w:w="1191" w:type="dxa"/>
          </w:tcPr>
          <w:p w14:paraId="059FF88A" w14:textId="06CFF24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5.95*</w:t>
            </w:r>
          </w:p>
        </w:tc>
        <w:tc>
          <w:tcPr>
            <w:tcW w:w="1134" w:type="dxa"/>
          </w:tcPr>
          <w:p w14:paraId="77116AB4" w14:textId="64C7AB26"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13.07</w:t>
            </w:r>
          </w:p>
        </w:tc>
        <w:tc>
          <w:tcPr>
            <w:tcW w:w="1134" w:type="dxa"/>
          </w:tcPr>
          <w:p w14:paraId="544B5673" w14:textId="135C10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80.33*</w:t>
            </w:r>
          </w:p>
        </w:tc>
      </w:tr>
      <w:tr w:rsidR="002B33B3" w:rsidRPr="0062651F" w14:paraId="74A5B77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12AE21B1" w14:textId="3A55AE2D" w:rsidR="002B33B3" w:rsidRPr="0062651F" w:rsidRDefault="002B33B3" w:rsidP="00962748">
            <w:pPr>
              <w:pStyle w:val="Tablebody"/>
              <w:rPr>
                <w:rFonts w:cs="Open Sans"/>
                <w:szCs w:val="18"/>
              </w:rPr>
            </w:pPr>
            <w:r w:rsidRPr="0062651F">
              <w:rPr>
                <w:rFonts w:cs="Open Sans"/>
                <w:szCs w:val="18"/>
              </w:rPr>
              <w:t>G6</w:t>
            </w:r>
          </w:p>
        </w:tc>
        <w:tc>
          <w:tcPr>
            <w:tcW w:w="3798" w:type="dxa"/>
          </w:tcPr>
          <w:p w14:paraId="3D4F355A" w14:textId="02A5BC43" w:rsidR="002B33B3" w:rsidRPr="002B33B3"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pacing w:val="-6"/>
                <w:szCs w:val="18"/>
                <w:lang w:val="en-US"/>
              </w:rPr>
            </w:pPr>
            <w:r w:rsidRPr="002B33B3">
              <w:rPr>
                <w:rFonts w:cs="Open Sans"/>
                <w:spacing w:val="-6"/>
                <w:szCs w:val="18"/>
                <w:lang w:val="en-US"/>
              </w:rPr>
              <w:t>Men, rather than women, should hold positions of responsibility in the community^</w:t>
            </w:r>
          </w:p>
        </w:tc>
        <w:tc>
          <w:tcPr>
            <w:tcW w:w="1474" w:type="dxa"/>
          </w:tcPr>
          <w:p w14:paraId="22BEA46D" w14:textId="2B340C8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06B69E33" w14:textId="06D0E3F3"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p>
        </w:tc>
        <w:tc>
          <w:tcPr>
            <w:tcW w:w="1191" w:type="dxa"/>
          </w:tcPr>
          <w:p w14:paraId="26DFD1A3" w14:textId="16C58A0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4.75</w:t>
            </w:r>
            <w:r w:rsidRPr="0062651F">
              <w:rPr>
                <w:rFonts w:cs="Open Sans"/>
                <w:szCs w:val="18"/>
                <w:vertAlign w:val="superscript"/>
              </w:rPr>
              <w:t>c</w:t>
            </w:r>
          </w:p>
        </w:tc>
        <w:tc>
          <w:tcPr>
            <w:tcW w:w="1304" w:type="dxa"/>
          </w:tcPr>
          <w:p w14:paraId="737A1C26" w14:textId="334D7448"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4.38</w:t>
            </w:r>
            <w:r w:rsidRPr="0062651F">
              <w:rPr>
                <w:rFonts w:cs="Open Sans"/>
                <w:szCs w:val="18"/>
                <w:vertAlign w:val="superscript"/>
              </w:rPr>
              <w:t>c</w:t>
            </w:r>
          </w:p>
        </w:tc>
        <w:tc>
          <w:tcPr>
            <w:tcW w:w="1299" w:type="dxa"/>
          </w:tcPr>
          <w:p w14:paraId="2E96D804" w14:textId="3D72AF0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13.87*</w:t>
            </w:r>
          </w:p>
        </w:tc>
        <w:tc>
          <w:tcPr>
            <w:tcW w:w="1110" w:type="dxa"/>
          </w:tcPr>
          <w:p w14:paraId="6BE9CED1" w14:textId="73B21E5F"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76.40*</w:t>
            </w:r>
          </w:p>
        </w:tc>
        <w:tc>
          <w:tcPr>
            <w:tcW w:w="1191" w:type="dxa"/>
          </w:tcPr>
          <w:p w14:paraId="03B01F11" w14:textId="13441980"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0.59*</w:t>
            </w:r>
            <w:r w:rsidRPr="0062651F">
              <w:rPr>
                <w:rFonts w:cs="Open Sans"/>
                <w:szCs w:val="18"/>
                <w:vertAlign w:val="superscript"/>
              </w:rPr>
              <w:t xml:space="preserve"> c</w:t>
            </w:r>
          </w:p>
        </w:tc>
        <w:tc>
          <w:tcPr>
            <w:tcW w:w="1134" w:type="dxa"/>
          </w:tcPr>
          <w:p w14:paraId="16A47B76" w14:textId="3693080F"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9.14</w:t>
            </w:r>
          </w:p>
        </w:tc>
        <w:tc>
          <w:tcPr>
            <w:tcW w:w="1134" w:type="dxa"/>
          </w:tcPr>
          <w:p w14:paraId="3F211EC1" w14:textId="41A90902"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90.28*</w:t>
            </w:r>
          </w:p>
        </w:tc>
      </w:tr>
      <w:tr w:rsidR="002B33B3" w:rsidRPr="0062651F" w14:paraId="676B7AC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3832AD" w14:textId="77777777" w:rsidR="002B33B3" w:rsidRPr="0062651F" w:rsidRDefault="002B33B3" w:rsidP="00962748">
            <w:pPr>
              <w:pStyle w:val="Tablebody"/>
              <w:rPr>
                <w:rFonts w:cs="Open Sans"/>
                <w:szCs w:val="18"/>
                <w:lang w:val="en-GB"/>
              </w:rPr>
            </w:pPr>
            <w:r w:rsidRPr="0062651F">
              <w:rPr>
                <w:rFonts w:cs="Open Sans"/>
                <w:szCs w:val="18"/>
              </w:rPr>
              <w:t>G11</w:t>
            </w:r>
          </w:p>
        </w:tc>
        <w:tc>
          <w:tcPr>
            <w:tcW w:w="3798" w:type="dxa"/>
          </w:tcPr>
          <w:p w14:paraId="1FFCFC01" w14:textId="08D11C0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lang w:val="en-US"/>
              </w:rPr>
              <w:t>Women are less capable than men of</w:t>
            </w:r>
            <w:r>
              <w:rPr>
                <w:rFonts w:cs="Open Sans"/>
                <w:szCs w:val="18"/>
                <w:lang w:val="en-US"/>
              </w:rPr>
              <w:t> </w:t>
            </w:r>
            <w:r w:rsidRPr="0062651F">
              <w:rPr>
                <w:rFonts w:cs="Open Sans"/>
                <w:szCs w:val="18"/>
                <w:lang w:val="en-US"/>
              </w:rPr>
              <w:t>thinking logically</w:t>
            </w:r>
          </w:p>
        </w:tc>
        <w:tc>
          <w:tcPr>
            <w:tcW w:w="1474" w:type="dxa"/>
          </w:tcPr>
          <w:p w14:paraId="475C6E3B"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Young men</w:t>
            </w:r>
          </w:p>
        </w:tc>
        <w:tc>
          <w:tcPr>
            <w:tcW w:w="567" w:type="dxa"/>
          </w:tcPr>
          <w:p w14:paraId="3FFDAC4B" w14:textId="7777777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913</w:t>
            </w:r>
          </w:p>
        </w:tc>
        <w:tc>
          <w:tcPr>
            <w:tcW w:w="1191" w:type="dxa"/>
          </w:tcPr>
          <w:p w14:paraId="60234782" w14:textId="58114623"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2.05</w:t>
            </w:r>
          </w:p>
        </w:tc>
        <w:tc>
          <w:tcPr>
            <w:tcW w:w="1304" w:type="dxa"/>
          </w:tcPr>
          <w:p w14:paraId="448F7D92" w14:textId="144E08F9"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4.99</w:t>
            </w:r>
          </w:p>
        </w:tc>
        <w:tc>
          <w:tcPr>
            <w:tcW w:w="1299" w:type="dxa"/>
          </w:tcPr>
          <w:p w14:paraId="27BE84DE" w14:textId="6E47C316"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10.49*</w:t>
            </w:r>
          </w:p>
        </w:tc>
        <w:tc>
          <w:tcPr>
            <w:tcW w:w="1110" w:type="dxa"/>
          </w:tcPr>
          <w:p w14:paraId="263C7230" w14:textId="72D3597C"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79.52*</w:t>
            </w:r>
          </w:p>
        </w:tc>
        <w:tc>
          <w:tcPr>
            <w:tcW w:w="1191" w:type="dxa"/>
          </w:tcPr>
          <w:p w14:paraId="19571361" w14:textId="1C9AE9D1"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2.68</w:t>
            </w:r>
          </w:p>
        </w:tc>
        <w:tc>
          <w:tcPr>
            <w:tcW w:w="1134" w:type="dxa"/>
          </w:tcPr>
          <w:p w14:paraId="5DB84E5A" w14:textId="68504442"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7.04</w:t>
            </w:r>
          </w:p>
        </w:tc>
        <w:tc>
          <w:tcPr>
            <w:tcW w:w="1134" w:type="dxa"/>
          </w:tcPr>
          <w:p w14:paraId="3A22E301" w14:textId="53C86A02"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62651F">
              <w:rPr>
                <w:rFonts w:cs="Open Sans"/>
                <w:szCs w:val="18"/>
              </w:rPr>
              <w:t>90.01</w:t>
            </w:r>
          </w:p>
        </w:tc>
      </w:tr>
      <w:tr w:rsidR="002B33B3" w:rsidRPr="0062651F" w14:paraId="69362BCE"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37" w:type="dxa"/>
          </w:tcPr>
          <w:p w14:paraId="6D89CB0A" w14:textId="340D9D09" w:rsidR="002B33B3" w:rsidRPr="0062651F" w:rsidRDefault="002B33B3" w:rsidP="00962748">
            <w:pPr>
              <w:pStyle w:val="Tablebody"/>
              <w:rPr>
                <w:rFonts w:cs="Open Sans"/>
                <w:szCs w:val="18"/>
              </w:rPr>
            </w:pPr>
            <w:r w:rsidRPr="0062651F">
              <w:rPr>
                <w:rFonts w:cs="Open Sans"/>
                <w:szCs w:val="18"/>
              </w:rPr>
              <w:t>G11</w:t>
            </w:r>
          </w:p>
        </w:tc>
        <w:tc>
          <w:tcPr>
            <w:tcW w:w="3798" w:type="dxa"/>
          </w:tcPr>
          <w:p w14:paraId="5A3F2150" w14:textId="4069157B"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62651F">
              <w:rPr>
                <w:rFonts w:cs="Open Sans"/>
                <w:szCs w:val="18"/>
                <w:lang w:val="en-US"/>
              </w:rPr>
              <w:t>Women are less capable than men of</w:t>
            </w:r>
            <w:r>
              <w:rPr>
                <w:rFonts w:cs="Open Sans"/>
                <w:szCs w:val="18"/>
                <w:lang w:val="en-US"/>
              </w:rPr>
              <w:t> </w:t>
            </w:r>
            <w:r w:rsidRPr="0062651F">
              <w:rPr>
                <w:rFonts w:cs="Open Sans"/>
                <w:szCs w:val="18"/>
                <w:lang w:val="en-US"/>
              </w:rPr>
              <w:t>thinking logically</w:t>
            </w:r>
          </w:p>
        </w:tc>
        <w:tc>
          <w:tcPr>
            <w:tcW w:w="1474" w:type="dxa"/>
          </w:tcPr>
          <w:p w14:paraId="42EDDC72" w14:textId="1A69E4F4"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Young women</w:t>
            </w:r>
          </w:p>
        </w:tc>
        <w:tc>
          <w:tcPr>
            <w:tcW w:w="567" w:type="dxa"/>
          </w:tcPr>
          <w:p w14:paraId="3A2EC7D9" w14:textId="6B81333D"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715</w:t>
            </w:r>
          </w:p>
        </w:tc>
        <w:tc>
          <w:tcPr>
            <w:tcW w:w="1191" w:type="dxa"/>
          </w:tcPr>
          <w:p w14:paraId="2FB59FC8" w14:textId="569799C1"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0.94</w:t>
            </w:r>
            <w:r w:rsidRPr="0062651F">
              <w:rPr>
                <w:rFonts w:cs="Open Sans"/>
                <w:szCs w:val="18"/>
                <w:vertAlign w:val="superscript"/>
              </w:rPr>
              <w:t>c</w:t>
            </w:r>
          </w:p>
        </w:tc>
        <w:tc>
          <w:tcPr>
            <w:tcW w:w="1304" w:type="dxa"/>
          </w:tcPr>
          <w:p w14:paraId="65BF8E3A" w14:textId="10F25ED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3.60</w:t>
            </w:r>
            <w:r w:rsidRPr="0062651F">
              <w:rPr>
                <w:rFonts w:cs="Open Sans"/>
                <w:szCs w:val="18"/>
                <w:vertAlign w:val="superscript"/>
              </w:rPr>
              <w:t>c</w:t>
            </w:r>
          </w:p>
        </w:tc>
        <w:tc>
          <w:tcPr>
            <w:tcW w:w="1299" w:type="dxa"/>
          </w:tcPr>
          <w:p w14:paraId="00C0275B" w14:textId="3D2D8D97"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4.76*</w:t>
            </w:r>
          </w:p>
        </w:tc>
        <w:tc>
          <w:tcPr>
            <w:tcW w:w="1110" w:type="dxa"/>
          </w:tcPr>
          <w:p w14:paraId="66B29131" w14:textId="179D9CC5"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90.06*</w:t>
            </w:r>
          </w:p>
        </w:tc>
        <w:tc>
          <w:tcPr>
            <w:tcW w:w="1191" w:type="dxa"/>
          </w:tcPr>
          <w:p w14:paraId="6B78FB69" w14:textId="1493ECEA"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0.47</w:t>
            </w:r>
            <w:r w:rsidRPr="0062651F">
              <w:rPr>
                <w:rFonts w:cs="Open Sans"/>
                <w:szCs w:val="18"/>
                <w:vertAlign w:val="superscript"/>
              </w:rPr>
              <w:t>c</w:t>
            </w:r>
          </w:p>
        </w:tc>
        <w:tc>
          <w:tcPr>
            <w:tcW w:w="1134" w:type="dxa"/>
          </w:tcPr>
          <w:p w14:paraId="1B51E50E" w14:textId="09F47B18"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4.53</w:t>
            </w:r>
          </w:p>
        </w:tc>
        <w:tc>
          <w:tcPr>
            <w:tcW w:w="1134" w:type="dxa"/>
          </w:tcPr>
          <w:p w14:paraId="2FCD11F2" w14:textId="0322F009" w:rsidR="002B33B3" w:rsidRPr="0062651F"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62651F">
              <w:rPr>
                <w:rFonts w:cs="Open Sans"/>
                <w:szCs w:val="18"/>
              </w:rPr>
              <w:t>94.83</w:t>
            </w:r>
          </w:p>
        </w:tc>
      </w:tr>
    </w:tbl>
    <w:p w14:paraId="1866AEF4" w14:textId="77777777" w:rsidR="0062651F" w:rsidRPr="0062651F" w:rsidRDefault="0062651F" w:rsidP="00AA1DF0">
      <w:pPr>
        <w:pStyle w:val="datatablenote"/>
      </w:pPr>
      <w:r w:rsidRPr="0062651F">
        <w:rPr>
          <w:b/>
        </w:rPr>
        <w:t>Note:</w:t>
      </w:r>
      <w:r w:rsidRPr="0062651F">
        <w:t xml:space="preserve"> Numbers in bold reflect the significantly higher value in the comparison.</w:t>
      </w:r>
    </w:p>
    <w:p w14:paraId="365291B8" w14:textId="77777777" w:rsidR="0062651F" w:rsidRPr="0062651F" w:rsidRDefault="0062651F" w:rsidP="00AA1DF0">
      <w:pPr>
        <w:pStyle w:val="datatablenote"/>
      </w:pPr>
      <w:r w:rsidRPr="0062651F">
        <w:t>Percentages may not add to 100 as the “unanswered” category is not shown in the table.</w:t>
      </w:r>
    </w:p>
    <w:p w14:paraId="18AD19D6" w14:textId="77777777" w:rsidR="0062651F" w:rsidRPr="0062651F" w:rsidRDefault="0062651F" w:rsidP="00AA1DF0">
      <w:pPr>
        <w:pStyle w:val="datatablenote"/>
      </w:pPr>
      <w:r w:rsidRPr="0062651F">
        <w:rPr>
          <w:b/>
        </w:rPr>
        <w:t>a</w:t>
      </w:r>
      <w:r w:rsidRPr="0062651F">
        <w:t xml:space="preserve"> “Net agree” refers to answering “agree” either “strongly” or “somewhat”.</w:t>
      </w:r>
    </w:p>
    <w:p w14:paraId="43C4DFFD" w14:textId="77777777" w:rsidR="0062651F" w:rsidRPr="0062651F" w:rsidRDefault="0062651F" w:rsidP="00AA1DF0">
      <w:pPr>
        <w:pStyle w:val="datatablenote"/>
      </w:pPr>
      <w:r w:rsidRPr="0062651F">
        <w:rPr>
          <w:b/>
        </w:rPr>
        <w:t>b</w:t>
      </w:r>
      <w:r w:rsidRPr="0062651F">
        <w:t xml:space="preserve"> “Net disagree” refers to answering “disagree” either “strongly” or “somewhat”.</w:t>
      </w:r>
    </w:p>
    <w:p w14:paraId="72D1BE0E" w14:textId="77777777" w:rsidR="0062651F" w:rsidRPr="0062651F" w:rsidRDefault="0062651F" w:rsidP="00AA1DF0">
      <w:pPr>
        <w:pStyle w:val="datatablenote"/>
      </w:pPr>
      <w:r w:rsidRPr="0062651F">
        <w:rPr>
          <w:b/>
        </w:rPr>
        <w:t>c</w:t>
      </w:r>
      <w:r w:rsidRPr="0062651F">
        <w:t xml:space="preserve"> This result should be interpreted with caution because it has a relative standard error &gt;25%.</w:t>
      </w:r>
    </w:p>
    <w:p w14:paraId="7375146C" w14:textId="77777777" w:rsidR="0062651F" w:rsidRPr="0062651F" w:rsidRDefault="0062651F" w:rsidP="00AA1DF0">
      <w:pPr>
        <w:pStyle w:val="datatablenote"/>
      </w:pPr>
      <w:r w:rsidRPr="0062651F">
        <w:t>* Statistically significant difference between young men and young women.</w:t>
      </w:r>
    </w:p>
    <w:p w14:paraId="6D9D5E74" w14:textId="77777777" w:rsidR="0062651F" w:rsidRPr="0062651F" w:rsidRDefault="0062651F" w:rsidP="00AA1DF0">
      <w:pPr>
        <w:pStyle w:val="datatablenote"/>
      </w:pPr>
      <w:r w:rsidRPr="0062651F">
        <w:t>^ Asked of half the sample.</w:t>
      </w:r>
    </w:p>
    <w:p w14:paraId="6293AA9B" w14:textId="4E05FD10" w:rsidR="0066268A" w:rsidRPr="00406346" w:rsidRDefault="0062651F" w:rsidP="00AA1DF0">
      <w:pPr>
        <w:pStyle w:val="datatablenote"/>
      </w:pPr>
      <w:r w:rsidRPr="0062651F">
        <w:rPr>
          <w:rFonts w:ascii="Montserrat" w:hAnsi="Montserrat" w:cs="Montserrat"/>
        </w:rPr>
        <w:t>~</w:t>
      </w:r>
      <w:r w:rsidRPr="0062651F">
        <w:t xml:space="preserve"> Asked of one quarter of the sample.</w:t>
      </w:r>
    </w:p>
    <w:p w14:paraId="0141CFAE" w14:textId="52E2975C" w:rsidR="004A7ED7" w:rsidRDefault="004A7ED7" w:rsidP="00AA1DF0">
      <w:pPr>
        <w:pStyle w:val="datatablenote"/>
      </w:pPr>
      <w:bookmarkStart w:id="278" w:name="_Toc187402261"/>
      <w:r>
        <w:t xml:space="preserve">Table </w:t>
      </w:r>
      <w:r>
        <w:fldChar w:fldCharType="begin"/>
      </w:r>
      <w:r>
        <w:instrText xml:space="preserve"> STYLEREF 1 \s </w:instrText>
      </w:r>
      <w:r>
        <w:fldChar w:fldCharType="separate"/>
      </w:r>
      <w:r>
        <w:rPr>
          <w:noProof/>
        </w:rPr>
        <w:t>15</w:t>
      </w:r>
      <w:r>
        <w:fldChar w:fldCharType="end"/>
      </w:r>
      <w:r w:rsidR="003B15D6">
        <w:t>-</w:t>
      </w:r>
      <w:r>
        <w:fldChar w:fldCharType="begin"/>
      </w:r>
      <w:r>
        <w:instrText xml:space="preserve"> SEQ Table \* ARABIC \s 1 </w:instrText>
      </w:r>
      <w:r>
        <w:fldChar w:fldCharType="separate"/>
      </w:r>
      <w:r>
        <w:rPr>
          <w:noProof/>
        </w:rPr>
        <w:t>7</w:t>
      </w:r>
      <w:r>
        <w:fldChar w:fldCharType="end"/>
      </w:r>
      <w:r w:rsidRPr="004A7ED7">
        <w:t xml:space="preserve">: </w:t>
      </w:r>
      <w:r w:rsidR="007134A4">
        <w:tab/>
      </w:r>
      <w:r w:rsidRPr="004A7ED7">
        <w:t>Attitudes towards Violence against Women Scale (AVAWS) items by gender, young men and women, 2021</w:t>
      </w:r>
      <w:bookmarkEnd w:id="278"/>
    </w:p>
    <w:p w14:paraId="148E9E68" w14:textId="4CA40859" w:rsidR="00BD2533" w:rsidRPr="008C29F3" w:rsidRDefault="009C08D2" w:rsidP="00966261">
      <w:pPr>
        <w:pStyle w:val="Tablesubheading0"/>
        <w:rPr>
          <w:lang w:val="it-IT"/>
        </w:rPr>
      </w:pPr>
      <w:r>
        <w:t xml:space="preserve">Subscale: </w:t>
      </w:r>
      <w:r w:rsidRPr="004A7ED7">
        <w:t>Minimise Violence</w:t>
      </w:r>
    </w:p>
    <w:tbl>
      <w:tblPr>
        <w:tblStyle w:val="Table-SingleHeaderRow"/>
        <w:tblW w:w="14949" w:type="dxa"/>
        <w:tblLayout w:type="fixed"/>
        <w:tblLook w:val="00A0" w:firstRow="1" w:lastRow="0" w:firstColumn="1" w:lastColumn="0" w:noHBand="0" w:noVBand="0"/>
      </w:tblPr>
      <w:tblGrid>
        <w:gridCol w:w="723"/>
        <w:gridCol w:w="3912"/>
        <w:gridCol w:w="1474"/>
        <w:gridCol w:w="567"/>
        <w:gridCol w:w="1021"/>
        <w:gridCol w:w="1304"/>
        <w:gridCol w:w="1299"/>
        <w:gridCol w:w="1077"/>
        <w:gridCol w:w="1247"/>
        <w:gridCol w:w="1191"/>
        <w:gridCol w:w="1134"/>
      </w:tblGrid>
      <w:tr w:rsidR="00496876" w:rsidRPr="004A7ED7" w14:paraId="027E73CA"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23" w:type="dxa"/>
          </w:tcPr>
          <w:p w14:paraId="3A6AE5C7" w14:textId="77777777" w:rsidR="00496876" w:rsidRPr="004A7ED7" w:rsidRDefault="00496876" w:rsidP="00962748">
            <w:pPr>
              <w:pStyle w:val="Tablebody"/>
              <w:rPr>
                <w:b w:val="0"/>
                <w:lang w:val="en-GB"/>
              </w:rPr>
            </w:pPr>
            <w:r w:rsidRPr="004A7ED7">
              <w:t>Code</w:t>
            </w:r>
          </w:p>
        </w:tc>
        <w:tc>
          <w:tcPr>
            <w:tcW w:w="3912" w:type="dxa"/>
          </w:tcPr>
          <w:p w14:paraId="31FDE3E0"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Abbreviated item wording</w:t>
            </w:r>
          </w:p>
        </w:tc>
        <w:tc>
          <w:tcPr>
            <w:tcW w:w="1474" w:type="dxa"/>
          </w:tcPr>
          <w:p w14:paraId="741BE762"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Age</w:t>
            </w:r>
          </w:p>
        </w:tc>
        <w:tc>
          <w:tcPr>
            <w:tcW w:w="567" w:type="dxa"/>
          </w:tcPr>
          <w:p w14:paraId="6D8880BA"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A7ED7">
              <w:rPr>
                <w:rStyle w:val="Emphasis"/>
                <w:lang w:val="en-US"/>
              </w:rPr>
              <w:t>N</w:t>
            </w:r>
          </w:p>
        </w:tc>
        <w:tc>
          <w:tcPr>
            <w:tcW w:w="1021" w:type="dxa"/>
          </w:tcPr>
          <w:p w14:paraId="28BF4F97"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agree</w:t>
            </w:r>
          </w:p>
        </w:tc>
        <w:tc>
          <w:tcPr>
            <w:tcW w:w="1304" w:type="dxa"/>
          </w:tcPr>
          <w:p w14:paraId="4E5D1C9C"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agree</w:t>
            </w:r>
          </w:p>
        </w:tc>
        <w:tc>
          <w:tcPr>
            <w:tcW w:w="1299" w:type="dxa"/>
          </w:tcPr>
          <w:p w14:paraId="651F74D2"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disagree</w:t>
            </w:r>
          </w:p>
        </w:tc>
        <w:tc>
          <w:tcPr>
            <w:tcW w:w="1077" w:type="dxa"/>
          </w:tcPr>
          <w:p w14:paraId="02D18891"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disagree</w:t>
            </w:r>
          </w:p>
        </w:tc>
        <w:tc>
          <w:tcPr>
            <w:tcW w:w="1247" w:type="dxa"/>
          </w:tcPr>
          <w:p w14:paraId="3B70C1D9"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Undecided</w:t>
            </w:r>
          </w:p>
        </w:tc>
        <w:tc>
          <w:tcPr>
            <w:tcW w:w="1191" w:type="dxa"/>
          </w:tcPr>
          <w:p w14:paraId="6FC96AE3"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agree</w:t>
            </w:r>
            <w:r w:rsidRPr="004A7ED7">
              <w:rPr>
                <w:vertAlign w:val="superscript"/>
              </w:rPr>
              <w:t>a</w:t>
            </w:r>
          </w:p>
        </w:tc>
        <w:tc>
          <w:tcPr>
            <w:tcW w:w="1134" w:type="dxa"/>
          </w:tcPr>
          <w:p w14:paraId="1D167B21" w14:textId="77777777" w:rsidR="00496876" w:rsidRPr="004A7ED7" w:rsidRDefault="0049687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disagree</w:t>
            </w:r>
            <w:r w:rsidRPr="004A7ED7">
              <w:rPr>
                <w:vertAlign w:val="superscript"/>
              </w:rPr>
              <w:t>b</w:t>
            </w:r>
          </w:p>
        </w:tc>
      </w:tr>
      <w:tr w:rsidR="002B33B3" w:rsidRPr="004A7ED7" w14:paraId="13AE063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6229F9B" w14:textId="77777777" w:rsidR="002B33B3" w:rsidRPr="004A7ED7" w:rsidRDefault="002B33B3" w:rsidP="00962748">
            <w:pPr>
              <w:pStyle w:val="Tablebody"/>
              <w:rPr>
                <w:rFonts w:cs="Open Sans"/>
                <w:szCs w:val="18"/>
                <w:lang w:val="en-GB"/>
              </w:rPr>
            </w:pPr>
            <w:r w:rsidRPr="004A7ED7">
              <w:rPr>
                <w:rFonts w:cs="Open Sans"/>
                <w:szCs w:val="18"/>
              </w:rPr>
              <w:t>D16</w:t>
            </w:r>
          </w:p>
        </w:tc>
        <w:tc>
          <w:tcPr>
            <w:tcW w:w="3912" w:type="dxa"/>
          </w:tcPr>
          <w:p w14:paraId="2951E5AF"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is a private matter that should be handled in the family^</w:t>
            </w:r>
          </w:p>
        </w:tc>
        <w:tc>
          <w:tcPr>
            <w:tcW w:w="1474" w:type="dxa"/>
          </w:tcPr>
          <w:p w14:paraId="45E54576"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07A6A65F"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5AA4C482" w14:textId="387859F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3.52</w:t>
            </w:r>
            <w:r w:rsidRPr="004A7ED7">
              <w:rPr>
                <w:rFonts w:cs="Open Sans"/>
                <w:szCs w:val="18"/>
                <w:vertAlign w:val="superscript"/>
              </w:rPr>
              <w:t>c</w:t>
            </w:r>
          </w:p>
        </w:tc>
        <w:tc>
          <w:tcPr>
            <w:tcW w:w="1304" w:type="dxa"/>
          </w:tcPr>
          <w:p w14:paraId="507DCBD4" w14:textId="568143F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13.21</w:t>
            </w:r>
          </w:p>
        </w:tc>
        <w:tc>
          <w:tcPr>
            <w:tcW w:w="1299" w:type="dxa"/>
          </w:tcPr>
          <w:p w14:paraId="1FB6F507" w14:textId="78709EB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30.56</w:t>
            </w:r>
          </w:p>
        </w:tc>
        <w:tc>
          <w:tcPr>
            <w:tcW w:w="1077" w:type="dxa"/>
          </w:tcPr>
          <w:p w14:paraId="3FC2DB17" w14:textId="75588E1B"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49.93</w:t>
            </w:r>
          </w:p>
        </w:tc>
        <w:tc>
          <w:tcPr>
            <w:tcW w:w="1247" w:type="dxa"/>
          </w:tcPr>
          <w:p w14:paraId="2B3CE71D" w14:textId="3369500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2.78</w:t>
            </w:r>
            <w:r w:rsidRPr="004A7ED7">
              <w:rPr>
                <w:rFonts w:cs="Open Sans"/>
                <w:szCs w:val="18"/>
                <w:vertAlign w:val="superscript"/>
              </w:rPr>
              <w:t>c</w:t>
            </w:r>
          </w:p>
        </w:tc>
        <w:tc>
          <w:tcPr>
            <w:tcW w:w="1191" w:type="dxa"/>
          </w:tcPr>
          <w:p w14:paraId="3F59869A" w14:textId="07E0BED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16.73</w:t>
            </w:r>
          </w:p>
        </w:tc>
        <w:tc>
          <w:tcPr>
            <w:tcW w:w="1134" w:type="dxa"/>
          </w:tcPr>
          <w:p w14:paraId="18C9E049" w14:textId="5F31054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80.49</w:t>
            </w:r>
          </w:p>
        </w:tc>
      </w:tr>
      <w:tr w:rsidR="002B33B3" w:rsidRPr="004A7ED7" w14:paraId="29F0B7C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494AC6A" w14:textId="0F0D1F41" w:rsidR="002B33B3" w:rsidRPr="004A7ED7" w:rsidRDefault="002B33B3" w:rsidP="00962748">
            <w:pPr>
              <w:pStyle w:val="Tablebody"/>
              <w:rPr>
                <w:rFonts w:cs="Open Sans"/>
                <w:szCs w:val="18"/>
              </w:rPr>
            </w:pPr>
            <w:r w:rsidRPr="004A7ED7">
              <w:rPr>
                <w:rFonts w:cs="Open Sans"/>
                <w:szCs w:val="18"/>
              </w:rPr>
              <w:t>D16</w:t>
            </w:r>
          </w:p>
        </w:tc>
        <w:tc>
          <w:tcPr>
            <w:tcW w:w="3912" w:type="dxa"/>
          </w:tcPr>
          <w:p w14:paraId="76A71667" w14:textId="45AAC62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is a private matter that should be handled in the family^</w:t>
            </w:r>
          </w:p>
        </w:tc>
        <w:tc>
          <w:tcPr>
            <w:tcW w:w="1474" w:type="dxa"/>
          </w:tcPr>
          <w:p w14:paraId="03135A98" w14:textId="43806C1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8871F5C" w14:textId="30BF380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12CAD15D" w14:textId="32D5023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3.45</w:t>
            </w:r>
            <w:r w:rsidRPr="004A7ED7">
              <w:rPr>
                <w:rFonts w:cs="Open Sans"/>
                <w:szCs w:val="18"/>
                <w:vertAlign w:val="superscript"/>
              </w:rPr>
              <w:t>c</w:t>
            </w:r>
          </w:p>
        </w:tc>
        <w:tc>
          <w:tcPr>
            <w:tcW w:w="1304" w:type="dxa"/>
          </w:tcPr>
          <w:p w14:paraId="09CE851A" w14:textId="30C2CF2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10.36</w:t>
            </w:r>
          </w:p>
        </w:tc>
        <w:tc>
          <w:tcPr>
            <w:tcW w:w="1299" w:type="dxa"/>
          </w:tcPr>
          <w:p w14:paraId="52D4DF48" w14:textId="3C90BB9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23.07</w:t>
            </w:r>
          </w:p>
        </w:tc>
        <w:tc>
          <w:tcPr>
            <w:tcW w:w="1077" w:type="dxa"/>
          </w:tcPr>
          <w:p w14:paraId="4B86A6C5" w14:textId="177A70B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61.17</w:t>
            </w:r>
          </w:p>
        </w:tc>
        <w:tc>
          <w:tcPr>
            <w:tcW w:w="1247" w:type="dxa"/>
          </w:tcPr>
          <w:p w14:paraId="07B8B6B3" w14:textId="4F421D6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1.95</w:t>
            </w:r>
            <w:r w:rsidRPr="004A7ED7">
              <w:rPr>
                <w:rFonts w:cs="Open Sans"/>
                <w:szCs w:val="18"/>
                <w:vertAlign w:val="superscript"/>
              </w:rPr>
              <w:t>c</w:t>
            </w:r>
          </w:p>
        </w:tc>
        <w:tc>
          <w:tcPr>
            <w:tcW w:w="1191" w:type="dxa"/>
          </w:tcPr>
          <w:p w14:paraId="5445B06A" w14:textId="366ECFD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13.81</w:t>
            </w:r>
          </w:p>
        </w:tc>
        <w:tc>
          <w:tcPr>
            <w:tcW w:w="1134" w:type="dxa"/>
          </w:tcPr>
          <w:p w14:paraId="108DC5FA" w14:textId="542903C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84.25</w:t>
            </w:r>
          </w:p>
        </w:tc>
      </w:tr>
      <w:tr w:rsidR="002B33B3" w:rsidRPr="004A7ED7" w14:paraId="43EFFCD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3B7C7D9" w14:textId="77777777" w:rsidR="002B33B3" w:rsidRPr="004A7ED7" w:rsidRDefault="002B33B3" w:rsidP="00962748">
            <w:pPr>
              <w:pStyle w:val="Tablebody"/>
              <w:rPr>
                <w:rFonts w:cs="Open Sans"/>
                <w:szCs w:val="18"/>
                <w:lang w:val="en-GB"/>
              </w:rPr>
            </w:pPr>
            <w:r w:rsidRPr="004A7ED7">
              <w:rPr>
                <w:rFonts w:cs="Open Sans"/>
                <w:szCs w:val="18"/>
              </w:rPr>
              <w:t>D17</w:t>
            </w:r>
          </w:p>
        </w:tc>
        <w:tc>
          <w:tcPr>
            <w:tcW w:w="3912" w:type="dxa"/>
          </w:tcPr>
          <w:p w14:paraId="1C7AADDF" w14:textId="286B4C7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A lot of what is called domestic violence is</w:t>
            </w:r>
            <w:r>
              <w:rPr>
                <w:rFonts w:cs="Open Sans"/>
                <w:szCs w:val="18"/>
                <w:lang w:val="en-US"/>
              </w:rPr>
              <w:t> </w:t>
            </w:r>
            <w:r w:rsidRPr="004A7ED7">
              <w:rPr>
                <w:rFonts w:cs="Open Sans"/>
                <w:szCs w:val="18"/>
                <w:lang w:val="en-US"/>
              </w:rPr>
              <w:t>really just a normal reaction to day-to-day stress and frustration</w:t>
            </w:r>
          </w:p>
        </w:tc>
        <w:tc>
          <w:tcPr>
            <w:tcW w:w="1474" w:type="dxa"/>
          </w:tcPr>
          <w:p w14:paraId="296CF5EA"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5422EACC"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596C24C8" w14:textId="17F8C30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3.95</w:t>
            </w:r>
          </w:p>
        </w:tc>
        <w:tc>
          <w:tcPr>
            <w:tcW w:w="1304" w:type="dxa"/>
          </w:tcPr>
          <w:p w14:paraId="408F62B1" w14:textId="73A5AD1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17.35</w:t>
            </w:r>
          </w:p>
        </w:tc>
        <w:tc>
          <w:tcPr>
            <w:tcW w:w="1299" w:type="dxa"/>
          </w:tcPr>
          <w:p w14:paraId="7B76DE45" w14:textId="36591F9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25.26</w:t>
            </w:r>
          </w:p>
        </w:tc>
        <w:tc>
          <w:tcPr>
            <w:tcW w:w="1077" w:type="dxa"/>
          </w:tcPr>
          <w:p w14:paraId="3F5C9EE1" w14:textId="3761864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49.85*</w:t>
            </w:r>
          </w:p>
        </w:tc>
        <w:tc>
          <w:tcPr>
            <w:tcW w:w="1247" w:type="dxa"/>
          </w:tcPr>
          <w:p w14:paraId="646AF789" w14:textId="0EA16C8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3.51</w:t>
            </w:r>
          </w:p>
        </w:tc>
        <w:tc>
          <w:tcPr>
            <w:tcW w:w="1191" w:type="dxa"/>
          </w:tcPr>
          <w:p w14:paraId="04EA33DF" w14:textId="664AC3B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21.30</w:t>
            </w:r>
          </w:p>
        </w:tc>
        <w:tc>
          <w:tcPr>
            <w:tcW w:w="1134" w:type="dxa"/>
          </w:tcPr>
          <w:p w14:paraId="2586EAF2" w14:textId="09B106E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75.12*</w:t>
            </w:r>
          </w:p>
        </w:tc>
      </w:tr>
      <w:tr w:rsidR="002B33B3" w:rsidRPr="004A7ED7" w14:paraId="2B2AA8E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77A89D9" w14:textId="386566D1" w:rsidR="002B33B3" w:rsidRPr="004A7ED7" w:rsidRDefault="002B33B3" w:rsidP="00962748">
            <w:pPr>
              <w:pStyle w:val="Tablebody"/>
              <w:rPr>
                <w:rFonts w:cs="Open Sans"/>
                <w:szCs w:val="18"/>
              </w:rPr>
            </w:pPr>
            <w:r w:rsidRPr="004A7ED7">
              <w:rPr>
                <w:rFonts w:cs="Open Sans"/>
                <w:szCs w:val="18"/>
              </w:rPr>
              <w:t>D17</w:t>
            </w:r>
          </w:p>
        </w:tc>
        <w:tc>
          <w:tcPr>
            <w:tcW w:w="3912" w:type="dxa"/>
          </w:tcPr>
          <w:p w14:paraId="23071224" w14:textId="2596C5B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A lot of what is called domestic violence is</w:t>
            </w:r>
            <w:r>
              <w:rPr>
                <w:rFonts w:cs="Open Sans"/>
                <w:szCs w:val="18"/>
                <w:lang w:val="en-US"/>
              </w:rPr>
              <w:t> </w:t>
            </w:r>
            <w:r w:rsidRPr="004A7ED7">
              <w:rPr>
                <w:rFonts w:cs="Open Sans"/>
                <w:szCs w:val="18"/>
                <w:lang w:val="en-US"/>
              </w:rPr>
              <w:t>really just a normal reaction to day-to-day stress and frustration</w:t>
            </w:r>
          </w:p>
        </w:tc>
        <w:tc>
          <w:tcPr>
            <w:tcW w:w="1474" w:type="dxa"/>
          </w:tcPr>
          <w:p w14:paraId="614FAD6B" w14:textId="242AD25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48BCC081" w14:textId="19D458E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0C31FE84" w14:textId="0263751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3.57</w:t>
            </w:r>
          </w:p>
        </w:tc>
        <w:tc>
          <w:tcPr>
            <w:tcW w:w="1304" w:type="dxa"/>
          </w:tcPr>
          <w:p w14:paraId="74FDC5C6" w14:textId="3C8F4DF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10.99</w:t>
            </w:r>
          </w:p>
        </w:tc>
        <w:tc>
          <w:tcPr>
            <w:tcW w:w="1299" w:type="dxa"/>
          </w:tcPr>
          <w:p w14:paraId="46992322" w14:textId="60AEE46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19.76</w:t>
            </w:r>
          </w:p>
        </w:tc>
        <w:tc>
          <w:tcPr>
            <w:tcW w:w="1077" w:type="dxa"/>
          </w:tcPr>
          <w:p w14:paraId="7BE59FE5" w14:textId="307E4FC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64.79*</w:t>
            </w:r>
          </w:p>
        </w:tc>
        <w:tc>
          <w:tcPr>
            <w:tcW w:w="1247" w:type="dxa"/>
          </w:tcPr>
          <w:p w14:paraId="33341E83" w14:textId="78C7CD9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0.88</w:t>
            </w:r>
            <w:r w:rsidRPr="004A7ED7">
              <w:rPr>
                <w:rFonts w:cs="Open Sans"/>
                <w:szCs w:val="18"/>
                <w:vertAlign w:val="superscript"/>
              </w:rPr>
              <w:t>c</w:t>
            </w:r>
          </w:p>
        </w:tc>
        <w:tc>
          <w:tcPr>
            <w:tcW w:w="1191" w:type="dxa"/>
          </w:tcPr>
          <w:p w14:paraId="7183470D" w14:textId="24266E6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14.57</w:t>
            </w:r>
          </w:p>
        </w:tc>
        <w:tc>
          <w:tcPr>
            <w:tcW w:w="1134" w:type="dxa"/>
          </w:tcPr>
          <w:p w14:paraId="5449B828" w14:textId="71660B6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84.55*</w:t>
            </w:r>
          </w:p>
        </w:tc>
      </w:tr>
      <w:tr w:rsidR="002B33B3" w:rsidRPr="004A7ED7" w14:paraId="6B56B69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9F3EFDE" w14:textId="77777777" w:rsidR="002B33B3" w:rsidRPr="004A7ED7" w:rsidRDefault="002B33B3" w:rsidP="00962748">
            <w:pPr>
              <w:pStyle w:val="Tablebody"/>
              <w:rPr>
                <w:rFonts w:cs="Open Sans"/>
                <w:szCs w:val="18"/>
                <w:lang w:val="en-GB"/>
              </w:rPr>
            </w:pPr>
            <w:r w:rsidRPr="004A7ED7">
              <w:rPr>
                <w:rFonts w:cs="Open Sans"/>
                <w:szCs w:val="18"/>
              </w:rPr>
              <w:t>D18</w:t>
            </w:r>
          </w:p>
        </w:tc>
        <w:tc>
          <w:tcPr>
            <w:tcW w:w="3912" w:type="dxa"/>
          </w:tcPr>
          <w:p w14:paraId="0E45EE7E" w14:textId="1D2F2FF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can be excused if</w:t>
            </w:r>
            <w:r>
              <w:rPr>
                <w:rFonts w:cs="Open Sans"/>
                <w:szCs w:val="18"/>
                <w:lang w:val="en-US"/>
              </w:rPr>
              <w:t> </w:t>
            </w:r>
            <w:r w:rsidRPr="004A7ED7">
              <w:rPr>
                <w:rFonts w:cs="Open Sans"/>
                <w:szCs w:val="18"/>
                <w:lang w:val="en-US"/>
              </w:rPr>
              <w:t>it</w:t>
            </w:r>
            <w:r>
              <w:rPr>
                <w:rFonts w:cs="Open Sans"/>
                <w:szCs w:val="18"/>
                <w:lang w:val="en-US"/>
              </w:rPr>
              <w:t> </w:t>
            </w:r>
            <w:r w:rsidRPr="004A7ED7">
              <w:rPr>
                <w:rFonts w:cs="Open Sans"/>
                <w:szCs w:val="18"/>
                <w:lang w:val="en-US"/>
              </w:rPr>
              <w:t>results from people getting so angry that they temporarily lose control</w:t>
            </w:r>
          </w:p>
        </w:tc>
        <w:tc>
          <w:tcPr>
            <w:tcW w:w="1474" w:type="dxa"/>
          </w:tcPr>
          <w:p w14:paraId="2BDB1F42"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104AE565"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089619FE" w14:textId="014B5C4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4.80</w:t>
            </w:r>
          </w:p>
        </w:tc>
        <w:tc>
          <w:tcPr>
            <w:tcW w:w="1304" w:type="dxa"/>
          </w:tcPr>
          <w:p w14:paraId="3B902746" w14:textId="10CA9F1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10.73</w:t>
            </w:r>
          </w:p>
        </w:tc>
        <w:tc>
          <w:tcPr>
            <w:tcW w:w="1299" w:type="dxa"/>
          </w:tcPr>
          <w:p w14:paraId="34BA3F97" w14:textId="14CE162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13.75</w:t>
            </w:r>
          </w:p>
        </w:tc>
        <w:tc>
          <w:tcPr>
            <w:tcW w:w="1077" w:type="dxa"/>
          </w:tcPr>
          <w:p w14:paraId="20D45F22" w14:textId="45321E3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69.65</w:t>
            </w:r>
          </w:p>
        </w:tc>
        <w:tc>
          <w:tcPr>
            <w:tcW w:w="1247" w:type="dxa"/>
          </w:tcPr>
          <w:p w14:paraId="0AFC7AC5" w14:textId="52B7E84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1.08</w:t>
            </w:r>
            <w:r w:rsidRPr="004A7ED7">
              <w:rPr>
                <w:rFonts w:cs="Open Sans"/>
                <w:szCs w:val="18"/>
                <w:vertAlign w:val="superscript"/>
              </w:rPr>
              <w:t>c</w:t>
            </w:r>
          </w:p>
        </w:tc>
        <w:tc>
          <w:tcPr>
            <w:tcW w:w="1191" w:type="dxa"/>
          </w:tcPr>
          <w:p w14:paraId="4D2B5402" w14:textId="3728F18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15.53</w:t>
            </w:r>
          </w:p>
        </w:tc>
        <w:tc>
          <w:tcPr>
            <w:tcW w:w="1134" w:type="dxa"/>
          </w:tcPr>
          <w:p w14:paraId="23BB8129" w14:textId="01C7485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83.40</w:t>
            </w:r>
          </w:p>
        </w:tc>
      </w:tr>
      <w:tr w:rsidR="002B33B3" w:rsidRPr="004A7ED7" w14:paraId="3B8092F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76D58EA" w14:textId="0E138B20" w:rsidR="002B33B3" w:rsidRPr="004A7ED7" w:rsidRDefault="002B33B3" w:rsidP="00962748">
            <w:pPr>
              <w:pStyle w:val="Tablebody"/>
              <w:rPr>
                <w:rFonts w:cs="Open Sans"/>
                <w:szCs w:val="18"/>
              </w:rPr>
            </w:pPr>
            <w:r w:rsidRPr="004A7ED7">
              <w:rPr>
                <w:rFonts w:cs="Open Sans"/>
                <w:szCs w:val="18"/>
              </w:rPr>
              <w:lastRenderedPageBreak/>
              <w:t>D18</w:t>
            </w:r>
          </w:p>
        </w:tc>
        <w:tc>
          <w:tcPr>
            <w:tcW w:w="3912" w:type="dxa"/>
          </w:tcPr>
          <w:p w14:paraId="68F8E432" w14:textId="5023075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can be excused if</w:t>
            </w:r>
            <w:r>
              <w:rPr>
                <w:rFonts w:cs="Open Sans"/>
                <w:szCs w:val="18"/>
                <w:lang w:val="en-US"/>
              </w:rPr>
              <w:t> </w:t>
            </w:r>
            <w:r w:rsidRPr="004A7ED7">
              <w:rPr>
                <w:rFonts w:cs="Open Sans"/>
                <w:szCs w:val="18"/>
                <w:lang w:val="en-US"/>
              </w:rPr>
              <w:t>it</w:t>
            </w:r>
            <w:r>
              <w:rPr>
                <w:rFonts w:cs="Open Sans"/>
                <w:szCs w:val="18"/>
                <w:lang w:val="en-US"/>
              </w:rPr>
              <w:t> </w:t>
            </w:r>
            <w:r w:rsidRPr="004A7ED7">
              <w:rPr>
                <w:rFonts w:cs="Open Sans"/>
                <w:szCs w:val="18"/>
                <w:lang w:val="en-US"/>
              </w:rPr>
              <w:t>results from people getting so angry that they temporarily lose control</w:t>
            </w:r>
          </w:p>
        </w:tc>
        <w:tc>
          <w:tcPr>
            <w:tcW w:w="1474" w:type="dxa"/>
          </w:tcPr>
          <w:p w14:paraId="2F572E2D" w14:textId="0197C1D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3E935049" w14:textId="35F3E40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347BD57D" w14:textId="687F4CE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4.39</w:t>
            </w:r>
          </w:p>
        </w:tc>
        <w:tc>
          <w:tcPr>
            <w:tcW w:w="1304" w:type="dxa"/>
          </w:tcPr>
          <w:p w14:paraId="0DB9F581" w14:textId="76B67BA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6.50</w:t>
            </w:r>
          </w:p>
        </w:tc>
        <w:tc>
          <w:tcPr>
            <w:tcW w:w="1299" w:type="dxa"/>
          </w:tcPr>
          <w:p w14:paraId="320C0837" w14:textId="51B3B7C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12.29</w:t>
            </w:r>
          </w:p>
        </w:tc>
        <w:tc>
          <w:tcPr>
            <w:tcW w:w="1077" w:type="dxa"/>
          </w:tcPr>
          <w:p w14:paraId="12A40238" w14:textId="769E009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75.72</w:t>
            </w:r>
          </w:p>
        </w:tc>
        <w:tc>
          <w:tcPr>
            <w:tcW w:w="1247" w:type="dxa"/>
          </w:tcPr>
          <w:p w14:paraId="38F5E8D3" w14:textId="268A978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0.95</w:t>
            </w:r>
            <w:r w:rsidRPr="004A7ED7">
              <w:rPr>
                <w:rFonts w:cs="Open Sans"/>
                <w:szCs w:val="18"/>
                <w:vertAlign w:val="superscript"/>
              </w:rPr>
              <w:t>c</w:t>
            </w:r>
          </w:p>
        </w:tc>
        <w:tc>
          <w:tcPr>
            <w:tcW w:w="1191" w:type="dxa"/>
          </w:tcPr>
          <w:p w14:paraId="4CF1AF42" w14:textId="2DE2C4C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10.90</w:t>
            </w:r>
          </w:p>
        </w:tc>
        <w:tc>
          <w:tcPr>
            <w:tcW w:w="1134" w:type="dxa"/>
          </w:tcPr>
          <w:p w14:paraId="6EDD5130" w14:textId="6FA3870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88.02</w:t>
            </w:r>
          </w:p>
        </w:tc>
      </w:tr>
      <w:tr w:rsidR="002B33B3" w:rsidRPr="004A7ED7" w14:paraId="4D13DA5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499BC7D" w14:textId="77777777" w:rsidR="002B33B3" w:rsidRPr="004A7ED7" w:rsidRDefault="002B33B3" w:rsidP="00962748">
            <w:pPr>
              <w:pStyle w:val="Tablebody"/>
              <w:rPr>
                <w:rFonts w:cs="Open Sans"/>
                <w:szCs w:val="18"/>
                <w:lang w:val="en-GB"/>
              </w:rPr>
            </w:pPr>
            <w:r w:rsidRPr="004A7ED7">
              <w:rPr>
                <w:rFonts w:cs="Open Sans"/>
                <w:szCs w:val="18"/>
              </w:rPr>
              <w:t>D19</w:t>
            </w:r>
          </w:p>
        </w:tc>
        <w:tc>
          <w:tcPr>
            <w:tcW w:w="3912" w:type="dxa"/>
          </w:tcPr>
          <w:p w14:paraId="28E0F22F"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can be excused if, afterwards, the violent person genuinely regrets what they have done</w:t>
            </w:r>
          </w:p>
        </w:tc>
        <w:tc>
          <w:tcPr>
            <w:tcW w:w="1474" w:type="dxa"/>
          </w:tcPr>
          <w:p w14:paraId="58B7C8B1"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1D9B236B"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1C8B1558" w14:textId="7ABC3C4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4.49</w:t>
            </w:r>
          </w:p>
        </w:tc>
        <w:tc>
          <w:tcPr>
            <w:tcW w:w="1304" w:type="dxa"/>
          </w:tcPr>
          <w:p w14:paraId="0F5EAA68" w14:textId="6BC1E3AB"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15.58*</w:t>
            </w:r>
          </w:p>
        </w:tc>
        <w:tc>
          <w:tcPr>
            <w:tcW w:w="1299" w:type="dxa"/>
          </w:tcPr>
          <w:p w14:paraId="72C94BFB" w14:textId="07DE1F3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27.63</w:t>
            </w:r>
          </w:p>
        </w:tc>
        <w:tc>
          <w:tcPr>
            <w:tcW w:w="1077" w:type="dxa"/>
          </w:tcPr>
          <w:p w14:paraId="3004017A" w14:textId="08480AB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49.24*</w:t>
            </w:r>
          </w:p>
        </w:tc>
        <w:tc>
          <w:tcPr>
            <w:tcW w:w="1247" w:type="dxa"/>
          </w:tcPr>
          <w:p w14:paraId="78565BD6" w14:textId="31B5E2C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3.06</w:t>
            </w:r>
          </w:p>
        </w:tc>
        <w:tc>
          <w:tcPr>
            <w:tcW w:w="1191" w:type="dxa"/>
          </w:tcPr>
          <w:p w14:paraId="49F0B9AB" w14:textId="6E03568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20.08*</w:t>
            </w:r>
          </w:p>
        </w:tc>
        <w:tc>
          <w:tcPr>
            <w:tcW w:w="1134" w:type="dxa"/>
          </w:tcPr>
          <w:p w14:paraId="7B7B87C0" w14:textId="111AB62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76.86*</w:t>
            </w:r>
          </w:p>
        </w:tc>
      </w:tr>
      <w:tr w:rsidR="002B33B3" w:rsidRPr="004A7ED7" w14:paraId="45B7C57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8E382FB" w14:textId="4B91B849" w:rsidR="002B33B3" w:rsidRPr="004A7ED7" w:rsidRDefault="002B33B3" w:rsidP="00962748">
            <w:pPr>
              <w:pStyle w:val="Tablebody"/>
              <w:rPr>
                <w:rFonts w:cs="Open Sans"/>
                <w:szCs w:val="18"/>
              </w:rPr>
            </w:pPr>
            <w:r w:rsidRPr="004A7ED7">
              <w:rPr>
                <w:rFonts w:cs="Open Sans"/>
                <w:szCs w:val="18"/>
              </w:rPr>
              <w:t>D19</w:t>
            </w:r>
          </w:p>
        </w:tc>
        <w:tc>
          <w:tcPr>
            <w:tcW w:w="3912" w:type="dxa"/>
          </w:tcPr>
          <w:p w14:paraId="4B24C03C" w14:textId="3D07F62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can be excused if, afterwards, the violent person genuinely regrets what they have done</w:t>
            </w:r>
          </w:p>
        </w:tc>
        <w:tc>
          <w:tcPr>
            <w:tcW w:w="1474" w:type="dxa"/>
          </w:tcPr>
          <w:p w14:paraId="5BEF8ABF" w14:textId="757A286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0FAAB022" w14:textId="6A6CDE2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2233CDAA" w14:textId="6D930C7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2.34</w:t>
            </w:r>
            <w:r w:rsidRPr="004A7ED7">
              <w:rPr>
                <w:rFonts w:cs="Open Sans"/>
                <w:szCs w:val="18"/>
                <w:vertAlign w:val="superscript"/>
              </w:rPr>
              <w:t>c</w:t>
            </w:r>
          </w:p>
        </w:tc>
        <w:tc>
          <w:tcPr>
            <w:tcW w:w="1304" w:type="dxa"/>
          </w:tcPr>
          <w:p w14:paraId="3865A6E9" w14:textId="3D5298C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8.06*</w:t>
            </w:r>
          </w:p>
        </w:tc>
        <w:tc>
          <w:tcPr>
            <w:tcW w:w="1299" w:type="dxa"/>
          </w:tcPr>
          <w:p w14:paraId="2EC0FC4E" w14:textId="24BB2EC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26.78</w:t>
            </w:r>
          </w:p>
        </w:tc>
        <w:tc>
          <w:tcPr>
            <w:tcW w:w="1077" w:type="dxa"/>
          </w:tcPr>
          <w:p w14:paraId="3C9C1700" w14:textId="3BFF76F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61.54*</w:t>
            </w:r>
          </w:p>
        </w:tc>
        <w:tc>
          <w:tcPr>
            <w:tcW w:w="1247" w:type="dxa"/>
          </w:tcPr>
          <w:p w14:paraId="4B2B2C99" w14:textId="5284C62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1.28</w:t>
            </w:r>
            <w:r w:rsidRPr="004A7ED7">
              <w:rPr>
                <w:rFonts w:cs="Open Sans"/>
                <w:szCs w:val="18"/>
                <w:vertAlign w:val="superscript"/>
              </w:rPr>
              <w:t>c</w:t>
            </w:r>
          </w:p>
        </w:tc>
        <w:tc>
          <w:tcPr>
            <w:tcW w:w="1191" w:type="dxa"/>
          </w:tcPr>
          <w:p w14:paraId="525ABC01" w14:textId="4AB3159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10.40*</w:t>
            </w:r>
          </w:p>
        </w:tc>
        <w:tc>
          <w:tcPr>
            <w:tcW w:w="1134" w:type="dxa"/>
          </w:tcPr>
          <w:p w14:paraId="7DEB44B5" w14:textId="534F537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88.32*</w:t>
            </w:r>
          </w:p>
        </w:tc>
      </w:tr>
      <w:tr w:rsidR="002B33B3" w:rsidRPr="004A7ED7" w14:paraId="03A5AAE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5DCD06D" w14:textId="77777777" w:rsidR="002B33B3" w:rsidRPr="004A7ED7" w:rsidRDefault="002B33B3" w:rsidP="00962748">
            <w:pPr>
              <w:pStyle w:val="Tablebody"/>
              <w:rPr>
                <w:rFonts w:cs="Open Sans"/>
                <w:szCs w:val="18"/>
                <w:lang w:val="en-GB"/>
              </w:rPr>
            </w:pPr>
            <w:r w:rsidRPr="004A7ED7">
              <w:rPr>
                <w:rFonts w:cs="Open Sans"/>
                <w:szCs w:val="18"/>
              </w:rPr>
              <w:t>D20</w:t>
            </w:r>
          </w:p>
        </w:tc>
        <w:tc>
          <w:tcPr>
            <w:tcW w:w="3912" w:type="dxa"/>
          </w:tcPr>
          <w:p w14:paraId="5334AA4E"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can be excused if the offender is heavily affected by alcohol</w:t>
            </w:r>
          </w:p>
        </w:tc>
        <w:tc>
          <w:tcPr>
            <w:tcW w:w="1474" w:type="dxa"/>
          </w:tcPr>
          <w:p w14:paraId="267661D5"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693E6A5"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203D6B15" w14:textId="19A2CDA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2.62</w:t>
            </w:r>
          </w:p>
        </w:tc>
        <w:tc>
          <w:tcPr>
            <w:tcW w:w="1304" w:type="dxa"/>
          </w:tcPr>
          <w:p w14:paraId="47D90EA0" w14:textId="726E91B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2.85</w:t>
            </w:r>
          </w:p>
        </w:tc>
        <w:tc>
          <w:tcPr>
            <w:tcW w:w="1299" w:type="dxa"/>
          </w:tcPr>
          <w:p w14:paraId="0B5B66C0" w14:textId="7EAB1F06"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11.34</w:t>
            </w:r>
          </w:p>
        </w:tc>
        <w:tc>
          <w:tcPr>
            <w:tcW w:w="1077" w:type="dxa"/>
          </w:tcPr>
          <w:p w14:paraId="1E3F23FD" w14:textId="78BE6AD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82.60</w:t>
            </w:r>
          </w:p>
        </w:tc>
        <w:tc>
          <w:tcPr>
            <w:tcW w:w="1247" w:type="dxa"/>
          </w:tcPr>
          <w:p w14:paraId="7BE24CDB" w14:textId="5108F05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0.60</w:t>
            </w:r>
            <w:r w:rsidRPr="004A7ED7">
              <w:rPr>
                <w:rFonts w:cs="Open Sans"/>
                <w:szCs w:val="18"/>
                <w:vertAlign w:val="superscript"/>
              </w:rPr>
              <w:t>c</w:t>
            </w:r>
          </w:p>
        </w:tc>
        <w:tc>
          <w:tcPr>
            <w:tcW w:w="1191" w:type="dxa"/>
          </w:tcPr>
          <w:p w14:paraId="4F4BC9DE" w14:textId="3040561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5.46</w:t>
            </w:r>
          </w:p>
        </w:tc>
        <w:tc>
          <w:tcPr>
            <w:tcW w:w="1134" w:type="dxa"/>
          </w:tcPr>
          <w:p w14:paraId="00096649" w14:textId="016380E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93.94</w:t>
            </w:r>
          </w:p>
        </w:tc>
      </w:tr>
      <w:tr w:rsidR="002B33B3" w:rsidRPr="004A7ED7" w14:paraId="21EA76CE"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8EF64B1" w14:textId="3D9A0E66" w:rsidR="002B33B3" w:rsidRPr="004A7ED7" w:rsidRDefault="002B33B3" w:rsidP="00962748">
            <w:pPr>
              <w:pStyle w:val="Tablebody"/>
              <w:rPr>
                <w:rFonts w:cs="Open Sans"/>
                <w:szCs w:val="18"/>
              </w:rPr>
            </w:pPr>
            <w:r w:rsidRPr="004A7ED7">
              <w:rPr>
                <w:rFonts w:cs="Open Sans"/>
                <w:szCs w:val="18"/>
              </w:rPr>
              <w:t>D20</w:t>
            </w:r>
          </w:p>
        </w:tc>
        <w:tc>
          <w:tcPr>
            <w:tcW w:w="3912" w:type="dxa"/>
          </w:tcPr>
          <w:p w14:paraId="32F6902D" w14:textId="606F2F6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can be excused if the offender is heavily affected by alcohol</w:t>
            </w:r>
          </w:p>
        </w:tc>
        <w:tc>
          <w:tcPr>
            <w:tcW w:w="1474" w:type="dxa"/>
          </w:tcPr>
          <w:p w14:paraId="3805D8D4" w14:textId="247A906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535C059F" w14:textId="0D02C7A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0C507EFB" w14:textId="3EB19A9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2.97</w:t>
            </w:r>
          </w:p>
        </w:tc>
        <w:tc>
          <w:tcPr>
            <w:tcW w:w="1304" w:type="dxa"/>
          </w:tcPr>
          <w:p w14:paraId="07240AF9" w14:textId="3E84A60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4.05</w:t>
            </w:r>
          </w:p>
        </w:tc>
        <w:tc>
          <w:tcPr>
            <w:tcW w:w="1299" w:type="dxa"/>
          </w:tcPr>
          <w:p w14:paraId="0CC5B73F" w14:textId="01E1B76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7.89</w:t>
            </w:r>
          </w:p>
        </w:tc>
        <w:tc>
          <w:tcPr>
            <w:tcW w:w="1077" w:type="dxa"/>
          </w:tcPr>
          <w:p w14:paraId="181395A0" w14:textId="4B45BCF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85.08</w:t>
            </w:r>
          </w:p>
        </w:tc>
        <w:tc>
          <w:tcPr>
            <w:tcW w:w="1247" w:type="dxa"/>
          </w:tcPr>
          <w:p w14:paraId="425FD545" w14:textId="4D70163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0.00</w:t>
            </w:r>
          </w:p>
        </w:tc>
        <w:tc>
          <w:tcPr>
            <w:tcW w:w="1191" w:type="dxa"/>
          </w:tcPr>
          <w:p w14:paraId="7185901B" w14:textId="6010564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7.02</w:t>
            </w:r>
          </w:p>
        </w:tc>
        <w:tc>
          <w:tcPr>
            <w:tcW w:w="1134" w:type="dxa"/>
          </w:tcPr>
          <w:p w14:paraId="2BF6460F" w14:textId="6DCBB58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92.98</w:t>
            </w:r>
          </w:p>
        </w:tc>
      </w:tr>
      <w:tr w:rsidR="002B33B3" w:rsidRPr="004A7ED7" w14:paraId="19E887B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B91CB5C" w14:textId="77777777" w:rsidR="002B33B3" w:rsidRPr="004A7ED7" w:rsidRDefault="002B33B3" w:rsidP="00962748">
            <w:pPr>
              <w:pStyle w:val="Tablebody"/>
              <w:rPr>
                <w:rFonts w:cs="Open Sans"/>
                <w:szCs w:val="18"/>
                <w:lang w:val="en-GB"/>
              </w:rPr>
            </w:pPr>
            <w:r w:rsidRPr="004A7ED7">
              <w:rPr>
                <w:rFonts w:cs="Open Sans"/>
                <w:szCs w:val="18"/>
              </w:rPr>
              <w:t>D21</w:t>
            </w:r>
          </w:p>
        </w:tc>
        <w:tc>
          <w:tcPr>
            <w:tcW w:w="3912" w:type="dxa"/>
          </w:tcPr>
          <w:p w14:paraId="13335F31"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can be excused if the victim is heavily affected by alcohol</w:t>
            </w:r>
          </w:p>
        </w:tc>
        <w:tc>
          <w:tcPr>
            <w:tcW w:w="1474" w:type="dxa"/>
          </w:tcPr>
          <w:p w14:paraId="34D79B51"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4E6E34F6"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1BEDFE45" w14:textId="6C33D1D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2.24</w:t>
            </w:r>
            <w:r w:rsidRPr="004A7ED7">
              <w:rPr>
                <w:rFonts w:cs="Open Sans"/>
                <w:szCs w:val="18"/>
                <w:vertAlign w:val="superscript"/>
              </w:rPr>
              <w:t>c</w:t>
            </w:r>
          </w:p>
        </w:tc>
        <w:tc>
          <w:tcPr>
            <w:tcW w:w="1304" w:type="dxa"/>
          </w:tcPr>
          <w:p w14:paraId="06300A33" w14:textId="7F9C7DB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4.85</w:t>
            </w:r>
          </w:p>
        </w:tc>
        <w:tc>
          <w:tcPr>
            <w:tcW w:w="1299" w:type="dxa"/>
          </w:tcPr>
          <w:p w14:paraId="4246EB41" w14:textId="2626D2A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14.68</w:t>
            </w:r>
          </w:p>
        </w:tc>
        <w:tc>
          <w:tcPr>
            <w:tcW w:w="1077" w:type="dxa"/>
          </w:tcPr>
          <w:p w14:paraId="095775E2" w14:textId="5BB9A7A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76.66</w:t>
            </w:r>
          </w:p>
        </w:tc>
        <w:tc>
          <w:tcPr>
            <w:tcW w:w="1247" w:type="dxa"/>
          </w:tcPr>
          <w:p w14:paraId="156357AB" w14:textId="5EF99D0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1.55</w:t>
            </w:r>
            <w:r w:rsidRPr="004A7ED7">
              <w:rPr>
                <w:rFonts w:cs="Open Sans"/>
                <w:szCs w:val="18"/>
                <w:vertAlign w:val="superscript"/>
              </w:rPr>
              <w:t>c</w:t>
            </w:r>
          </w:p>
        </w:tc>
        <w:tc>
          <w:tcPr>
            <w:tcW w:w="1191" w:type="dxa"/>
          </w:tcPr>
          <w:p w14:paraId="327CC230" w14:textId="73424DE8"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7.10</w:t>
            </w:r>
          </w:p>
        </w:tc>
        <w:tc>
          <w:tcPr>
            <w:tcW w:w="1134" w:type="dxa"/>
          </w:tcPr>
          <w:p w14:paraId="66A3184F" w14:textId="5DFC7B2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91.35</w:t>
            </w:r>
          </w:p>
        </w:tc>
      </w:tr>
      <w:tr w:rsidR="002B33B3" w:rsidRPr="004A7ED7" w14:paraId="69EB150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E710D4D" w14:textId="44D9155E" w:rsidR="002B33B3" w:rsidRPr="004A7ED7" w:rsidRDefault="002B33B3" w:rsidP="00962748">
            <w:pPr>
              <w:pStyle w:val="Tablebody"/>
              <w:rPr>
                <w:rFonts w:cs="Open Sans"/>
                <w:szCs w:val="18"/>
              </w:rPr>
            </w:pPr>
            <w:r w:rsidRPr="004A7ED7">
              <w:rPr>
                <w:rFonts w:cs="Open Sans"/>
                <w:szCs w:val="18"/>
              </w:rPr>
              <w:t>D21</w:t>
            </w:r>
          </w:p>
        </w:tc>
        <w:tc>
          <w:tcPr>
            <w:tcW w:w="3912" w:type="dxa"/>
          </w:tcPr>
          <w:p w14:paraId="521850F6" w14:textId="7691F0C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can be excused if the victim is heavily affected by alcohol</w:t>
            </w:r>
          </w:p>
        </w:tc>
        <w:tc>
          <w:tcPr>
            <w:tcW w:w="1474" w:type="dxa"/>
          </w:tcPr>
          <w:p w14:paraId="09E6CF4D" w14:textId="57CE3CA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76AB7FF5" w14:textId="1DFAE94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2C58C2AE" w14:textId="3DD5261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1.73</w:t>
            </w:r>
            <w:r w:rsidRPr="004A7ED7">
              <w:rPr>
                <w:rFonts w:cs="Open Sans"/>
                <w:szCs w:val="18"/>
                <w:vertAlign w:val="superscript"/>
              </w:rPr>
              <w:t>c</w:t>
            </w:r>
          </w:p>
        </w:tc>
        <w:tc>
          <w:tcPr>
            <w:tcW w:w="1304" w:type="dxa"/>
          </w:tcPr>
          <w:p w14:paraId="64315D9B" w14:textId="3523D2AB"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5.00</w:t>
            </w:r>
          </w:p>
        </w:tc>
        <w:tc>
          <w:tcPr>
            <w:tcW w:w="1299" w:type="dxa"/>
          </w:tcPr>
          <w:p w14:paraId="54E0FFB0" w14:textId="3A55C37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9.47</w:t>
            </w:r>
          </w:p>
        </w:tc>
        <w:tc>
          <w:tcPr>
            <w:tcW w:w="1077" w:type="dxa"/>
          </w:tcPr>
          <w:p w14:paraId="56BDF0DB" w14:textId="073766F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83.11</w:t>
            </w:r>
          </w:p>
        </w:tc>
        <w:tc>
          <w:tcPr>
            <w:tcW w:w="1247" w:type="dxa"/>
          </w:tcPr>
          <w:p w14:paraId="4FCDED4E" w14:textId="737521C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0.69</w:t>
            </w:r>
            <w:r w:rsidRPr="004A7ED7">
              <w:rPr>
                <w:rFonts w:cs="Open Sans"/>
                <w:szCs w:val="18"/>
                <w:vertAlign w:val="superscript"/>
              </w:rPr>
              <w:t>c</w:t>
            </w:r>
          </w:p>
        </w:tc>
        <w:tc>
          <w:tcPr>
            <w:tcW w:w="1191" w:type="dxa"/>
          </w:tcPr>
          <w:p w14:paraId="2A15AAD2" w14:textId="6F9E0DF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6.73</w:t>
            </w:r>
          </w:p>
        </w:tc>
        <w:tc>
          <w:tcPr>
            <w:tcW w:w="1134" w:type="dxa"/>
          </w:tcPr>
          <w:p w14:paraId="1C46F9D5" w14:textId="1D8B610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92.58</w:t>
            </w:r>
          </w:p>
        </w:tc>
      </w:tr>
      <w:tr w:rsidR="002B33B3" w:rsidRPr="004A7ED7" w14:paraId="54460DE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F9300B1" w14:textId="77777777" w:rsidR="002B33B3" w:rsidRPr="004A7ED7" w:rsidRDefault="002B33B3" w:rsidP="00962748">
            <w:pPr>
              <w:pStyle w:val="Tablebody"/>
              <w:rPr>
                <w:rFonts w:cs="Open Sans"/>
                <w:szCs w:val="18"/>
                <w:lang w:val="en-GB"/>
              </w:rPr>
            </w:pPr>
            <w:r w:rsidRPr="004A7ED7">
              <w:rPr>
                <w:rFonts w:cs="Open Sans"/>
                <w:szCs w:val="18"/>
              </w:rPr>
              <w:t>D22</w:t>
            </w:r>
          </w:p>
        </w:tc>
        <w:tc>
          <w:tcPr>
            <w:tcW w:w="3912" w:type="dxa"/>
          </w:tcPr>
          <w:p w14:paraId="558E5C51" w14:textId="35B7BC3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Domestic violence can be excused if the violent person was themselves abused as</w:t>
            </w:r>
            <w:r>
              <w:rPr>
                <w:rFonts w:cs="Open Sans"/>
                <w:szCs w:val="18"/>
                <w:lang w:val="en-US"/>
              </w:rPr>
              <w:t> </w:t>
            </w:r>
            <w:r w:rsidRPr="004A7ED7">
              <w:rPr>
                <w:rFonts w:cs="Open Sans"/>
                <w:szCs w:val="18"/>
                <w:lang w:val="en-US"/>
              </w:rPr>
              <w:t>a</w:t>
            </w:r>
            <w:r>
              <w:rPr>
                <w:rFonts w:cs="Open Sans"/>
                <w:szCs w:val="18"/>
                <w:lang w:val="en-US"/>
              </w:rPr>
              <w:t> </w:t>
            </w:r>
            <w:r w:rsidRPr="004A7ED7">
              <w:rPr>
                <w:rFonts w:cs="Open Sans"/>
                <w:szCs w:val="18"/>
                <w:lang w:val="en-US"/>
              </w:rPr>
              <w:t>child</w:t>
            </w:r>
          </w:p>
        </w:tc>
        <w:tc>
          <w:tcPr>
            <w:tcW w:w="1474" w:type="dxa"/>
          </w:tcPr>
          <w:p w14:paraId="51787D58"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166D84B8"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66B46045" w14:textId="202570A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2.61</w:t>
            </w:r>
          </w:p>
        </w:tc>
        <w:tc>
          <w:tcPr>
            <w:tcW w:w="1304" w:type="dxa"/>
          </w:tcPr>
          <w:p w14:paraId="52697AE3" w14:textId="13D4285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6.40</w:t>
            </w:r>
          </w:p>
        </w:tc>
        <w:tc>
          <w:tcPr>
            <w:tcW w:w="1299" w:type="dxa"/>
          </w:tcPr>
          <w:p w14:paraId="0A26CFD0" w14:textId="4DE2F8B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23.62</w:t>
            </w:r>
          </w:p>
        </w:tc>
        <w:tc>
          <w:tcPr>
            <w:tcW w:w="1077" w:type="dxa"/>
          </w:tcPr>
          <w:p w14:paraId="0E527093" w14:textId="102DA5E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65.36</w:t>
            </w:r>
          </w:p>
        </w:tc>
        <w:tc>
          <w:tcPr>
            <w:tcW w:w="1247" w:type="dxa"/>
          </w:tcPr>
          <w:p w14:paraId="4A3C66A0" w14:textId="542803B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2.02</w:t>
            </w:r>
          </w:p>
        </w:tc>
        <w:tc>
          <w:tcPr>
            <w:tcW w:w="1191" w:type="dxa"/>
          </w:tcPr>
          <w:p w14:paraId="69B2B17F" w14:textId="08E1B03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9.01</w:t>
            </w:r>
          </w:p>
        </w:tc>
        <w:tc>
          <w:tcPr>
            <w:tcW w:w="1134" w:type="dxa"/>
          </w:tcPr>
          <w:p w14:paraId="2B82CED8" w14:textId="77BC515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88.97</w:t>
            </w:r>
          </w:p>
        </w:tc>
      </w:tr>
      <w:tr w:rsidR="002B33B3" w:rsidRPr="004A7ED7" w14:paraId="57CD984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B701A3D" w14:textId="41932FE8" w:rsidR="002B33B3" w:rsidRPr="004A7ED7" w:rsidRDefault="002B33B3" w:rsidP="00962748">
            <w:pPr>
              <w:pStyle w:val="Tablebody"/>
              <w:rPr>
                <w:rFonts w:cs="Open Sans"/>
                <w:szCs w:val="18"/>
              </w:rPr>
            </w:pPr>
            <w:r w:rsidRPr="004A7ED7">
              <w:rPr>
                <w:rFonts w:cs="Open Sans"/>
                <w:szCs w:val="18"/>
              </w:rPr>
              <w:t>D22</w:t>
            </w:r>
          </w:p>
        </w:tc>
        <w:tc>
          <w:tcPr>
            <w:tcW w:w="3912" w:type="dxa"/>
          </w:tcPr>
          <w:p w14:paraId="56AB606A" w14:textId="46A1BD42"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Domestic violence can be excused if the violent person was themselves abused as</w:t>
            </w:r>
            <w:r>
              <w:rPr>
                <w:rFonts w:cs="Open Sans"/>
                <w:szCs w:val="18"/>
                <w:lang w:val="en-US"/>
              </w:rPr>
              <w:t> </w:t>
            </w:r>
            <w:r w:rsidRPr="004A7ED7">
              <w:rPr>
                <w:rFonts w:cs="Open Sans"/>
                <w:szCs w:val="18"/>
                <w:lang w:val="en-US"/>
              </w:rPr>
              <w:t>a</w:t>
            </w:r>
            <w:r>
              <w:rPr>
                <w:rFonts w:cs="Open Sans"/>
                <w:szCs w:val="18"/>
                <w:lang w:val="en-US"/>
              </w:rPr>
              <w:t> </w:t>
            </w:r>
            <w:r w:rsidRPr="004A7ED7">
              <w:rPr>
                <w:rFonts w:cs="Open Sans"/>
                <w:szCs w:val="18"/>
                <w:lang w:val="en-US"/>
              </w:rPr>
              <w:t>child</w:t>
            </w:r>
          </w:p>
        </w:tc>
        <w:tc>
          <w:tcPr>
            <w:tcW w:w="1474" w:type="dxa"/>
          </w:tcPr>
          <w:p w14:paraId="079E9C93" w14:textId="45E66EF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6AE9739D" w14:textId="343C8381"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1905416D" w14:textId="108DAA0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3.39</w:t>
            </w:r>
            <w:r w:rsidRPr="004A7ED7">
              <w:rPr>
                <w:rFonts w:cs="Open Sans"/>
                <w:szCs w:val="18"/>
                <w:vertAlign w:val="superscript"/>
              </w:rPr>
              <w:t>c</w:t>
            </w:r>
          </w:p>
        </w:tc>
        <w:tc>
          <w:tcPr>
            <w:tcW w:w="1304" w:type="dxa"/>
          </w:tcPr>
          <w:p w14:paraId="79ABC1F2" w14:textId="25C1ABC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5.06</w:t>
            </w:r>
          </w:p>
        </w:tc>
        <w:tc>
          <w:tcPr>
            <w:tcW w:w="1299" w:type="dxa"/>
          </w:tcPr>
          <w:p w14:paraId="4D3C4877" w14:textId="11E8098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17.44</w:t>
            </w:r>
          </w:p>
        </w:tc>
        <w:tc>
          <w:tcPr>
            <w:tcW w:w="1077" w:type="dxa"/>
          </w:tcPr>
          <w:p w14:paraId="1CB4D845" w14:textId="0DC31D4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72.83</w:t>
            </w:r>
          </w:p>
        </w:tc>
        <w:tc>
          <w:tcPr>
            <w:tcW w:w="1247" w:type="dxa"/>
          </w:tcPr>
          <w:p w14:paraId="60D99D24" w14:textId="1147B37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1.28</w:t>
            </w:r>
            <w:r w:rsidRPr="004A7ED7">
              <w:rPr>
                <w:rFonts w:cs="Open Sans"/>
                <w:szCs w:val="18"/>
                <w:vertAlign w:val="superscript"/>
              </w:rPr>
              <w:t>c</w:t>
            </w:r>
          </w:p>
        </w:tc>
        <w:tc>
          <w:tcPr>
            <w:tcW w:w="1191" w:type="dxa"/>
          </w:tcPr>
          <w:p w14:paraId="176E5243" w14:textId="06BDBC2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8.45</w:t>
            </w:r>
          </w:p>
        </w:tc>
        <w:tc>
          <w:tcPr>
            <w:tcW w:w="1134" w:type="dxa"/>
          </w:tcPr>
          <w:p w14:paraId="7E568231" w14:textId="37E89DD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90.27</w:t>
            </w:r>
          </w:p>
        </w:tc>
      </w:tr>
      <w:tr w:rsidR="002B33B3" w:rsidRPr="004A7ED7" w14:paraId="5D2D12F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9F0D1D9" w14:textId="77777777" w:rsidR="002B33B3" w:rsidRPr="004A7ED7" w:rsidRDefault="002B33B3" w:rsidP="00962748">
            <w:pPr>
              <w:pStyle w:val="Tablebody"/>
              <w:rPr>
                <w:rFonts w:cs="Open Sans"/>
                <w:szCs w:val="18"/>
                <w:lang w:val="en-GB"/>
              </w:rPr>
            </w:pPr>
            <w:r w:rsidRPr="004A7ED7">
              <w:rPr>
                <w:rFonts w:cs="Open Sans"/>
                <w:szCs w:val="18"/>
              </w:rPr>
              <w:t>D24</w:t>
            </w:r>
          </w:p>
        </w:tc>
        <w:tc>
          <w:tcPr>
            <w:tcW w:w="3912" w:type="dxa"/>
          </w:tcPr>
          <w:p w14:paraId="56AF637F"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It’s a woman’s duty to stay in a violent relationship to keep the family together^</w:t>
            </w:r>
          </w:p>
        </w:tc>
        <w:tc>
          <w:tcPr>
            <w:tcW w:w="1474" w:type="dxa"/>
          </w:tcPr>
          <w:p w14:paraId="2188EE08"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1D207C27" w14:textId="77777777"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142ED177" w14:textId="50CB2293"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2.74</w:t>
            </w:r>
            <w:r w:rsidRPr="004A7ED7">
              <w:rPr>
                <w:rFonts w:cs="Open Sans"/>
                <w:szCs w:val="18"/>
                <w:vertAlign w:val="superscript"/>
              </w:rPr>
              <w:t>c</w:t>
            </w:r>
          </w:p>
        </w:tc>
        <w:tc>
          <w:tcPr>
            <w:tcW w:w="1304" w:type="dxa"/>
          </w:tcPr>
          <w:p w14:paraId="548FF429" w14:textId="1B1E85C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2.36</w:t>
            </w:r>
            <w:r w:rsidRPr="004A7ED7">
              <w:rPr>
                <w:rFonts w:cs="Open Sans"/>
                <w:szCs w:val="18"/>
                <w:vertAlign w:val="superscript"/>
              </w:rPr>
              <w:t>c</w:t>
            </w:r>
          </w:p>
        </w:tc>
        <w:tc>
          <w:tcPr>
            <w:tcW w:w="1299" w:type="dxa"/>
          </w:tcPr>
          <w:p w14:paraId="7EC4EBBC" w14:textId="4114AE99"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7.28</w:t>
            </w:r>
          </w:p>
        </w:tc>
        <w:tc>
          <w:tcPr>
            <w:tcW w:w="1077" w:type="dxa"/>
          </w:tcPr>
          <w:p w14:paraId="56286EB1" w14:textId="173F71A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86.91</w:t>
            </w:r>
          </w:p>
        </w:tc>
        <w:tc>
          <w:tcPr>
            <w:tcW w:w="1247" w:type="dxa"/>
          </w:tcPr>
          <w:p w14:paraId="63FE78F1" w14:textId="4E80E11B"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0.71</w:t>
            </w:r>
            <w:r w:rsidRPr="004A7ED7">
              <w:rPr>
                <w:rFonts w:cs="Open Sans"/>
                <w:szCs w:val="18"/>
                <w:vertAlign w:val="superscript"/>
              </w:rPr>
              <w:t>c</w:t>
            </w:r>
          </w:p>
        </w:tc>
        <w:tc>
          <w:tcPr>
            <w:tcW w:w="1191" w:type="dxa"/>
          </w:tcPr>
          <w:p w14:paraId="2F1565E6" w14:textId="74E281EF"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5.10</w:t>
            </w:r>
          </w:p>
        </w:tc>
        <w:tc>
          <w:tcPr>
            <w:tcW w:w="1134" w:type="dxa"/>
          </w:tcPr>
          <w:p w14:paraId="1F175538" w14:textId="04FD478D"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94.19</w:t>
            </w:r>
          </w:p>
        </w:tc>
      </w:tr>
      <w:tr w:rsidR="002B33B3" w:rsidRPr="004A7ED7" w14:paraId="2B8D60F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6F43C82" w14:textId="1AA5024B" w:rsidR="002B33B3" w:rsidRPr="004A7ED7" w:rsidRDefault="002B33B3" w:rsidP="00962748">
            <w:pPr>
              <w:pStyle w:val="Tablebody"/>
              <w:rPr>
                <w:rFonts w:cs="Open Sans"/>
                <w:szCs w:val="18"/>
              </w:rPr>
            </w:pPr>
            <w:r w:rsidRPr="004A7ED7">
              <w:rPr>
                <w:rFonts w:cs="Open Sans"/>
                <w:szCs w:val="18"/>
              </w:rPr>
              <w:t>D24</w:t>
            </w:r>
          </w:p>
        </w:tc>
        <w:tc>
          <w:tcPr>
            <w:tcW w:w="3912" w:type="dxa"/>
          </w:tcPr>
          <w:p w14:paraId="72C23C1D" w14:textId="3B9A024E"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It’s a woman’s duty to stay in a violent relationship to keep the family together^</w:t>
            </w:r>
          </w:p>
        </w:tc>
        <w:tc>
          <w:tcPr>
            <w:tcW w:w="1474" w:type="dxa"/>
          </w:tcPr>
          <w:p w14:paraId="20890C2A" w14:textId="1E574FA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44A462D3" w14:textId="1697103C"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71702200" w14:textId="3C56967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2.33</w:t>
            </w:r>
            <w:r w:rsidRPr="004A7ED7">
              <w:rPr>
                <w:rFonts w:cs="Open Sans"/>
                <w:szCs w:val="18"/>
                <w:vertAlign w:val="superscript"/>
              </w:rPr>
              <w:t>c</w:t>
            </w:r>
          </w:p>
        </w:tc>
        <w:tc>
          <w:tcPr>
            <w:tcW w:w="1304" w:type="dxa"/>
          </w:tcPr>
          <w:p w14:paraId="75D542AC" w14:textId="60D7A780"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2.81</w:t>
            </w:r>
            <w:r w:rsidRPr="004A7ED7">
              <w:rPr>
                <w:rFonts w:cs="Open Sans"/>
                <w:szCs w:val="18"/>
                <w:vertAlign w:val="superscript"/>
              </w:rPr>
              <w:t>c</w:t>
            </w:r>
          </w:p>
        </w:tc>
        <w:tc>
          <w:tcPr>
            <w:tcW w:w="1299" w:type="dxa"/>
          </w:tcPr>
          <w:p w14:paraId="116BB740" w14:textId="4C41C9E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5.40</w:t>
            </w:r>
          </w:p>
        </w:tc>
        <w:tc>
          <w:tcPr>
            <w:tcW w:w="1077" w:type="dxa"/>
          </w:tcPr>
          <w:p w14:paraId="6C61C1FA" w14:textId="12EB1B5A"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89.46</w:t>
            </w:r>
          </w:p>
        </w:tc>
        <w:tc>
          <w:tcPr>
            <w:tcW w:w="1247" w:type="dxa"/>
          </w:tcPr>
          <w:p w14:paraId="7D5B88B4" w14:textId="60851845"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0.00</w:t>
            </w:r>
          </w:p>
        </w:tc>
        <w:tc>
          <w:tcPr>
            <w:tcW w:w="1191" w:type="dxa"/>
          </w:tcPr>
          <w:p w14:paraId="3B986F61" w14:textId="6D010154"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5.14</w:t>
            </w:r>
            <w:r w:rsidRPr="004A7ED7">
              <w:rPr>
                <w:rFonts w:cs="Open Sans"/>
                <w:szCs w:val="18"/>
                <w:vertAlign w:val="superscript"/>
              </w:rPr>
              <w:t>c</w:t>
            </w:r>
          </w:p>
        </w:tc>
        <w:tc>
          <w:tcPr>
            <w:tcW w:w="1134" w:type="dxa"/>
          </w:tcPr>
          <w:p w14:paraId="61F5BE2B" w14:textId="5A9CF3CB" w:rsidR="002B33B3" w:rsidRPr="004A7ED7" w:rsidRDefault="002B33B3"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94.86</w:t>
            </w:r>
          </w:p>
        </w:tc>
      </w:tr>
      <w:tr w:rsidR="00064C7A" w:rsidRPr="004A7ED7" w14:paraId="23BC09A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BB2C091" w14:textId="77777777" w:rsidR="00064C7A" w:rsidRPr="004A7ED7" w:rsidRDefault="00064C7A" w:rsidP="00962748">
            <w:pPr>
              <w:pStyle w:val="Tablebody"/>
              <w:rPr>
                <w:rFonts w:cs="Open Sans"/>
                <w:szCs w:val="18"/>
                <w:lang w:val="en-GB"/>
              </w:rPr>
            </w:pPr>
            <w:r w:rsidRPr="004A7ED7">
              <w:rPr>
                <w:rFonts w:cs="Open Sans"/>
                <w:szCs w:val="18"/>
              </w:rPr>
              <w:t>D25</w:t>
            </w:r>
          </w:p>
        </w:tc>
        <w:tc>
          <w:tcPr>
            <w:tcW w:w="3912" w:type="dxa"/>
          </w:tcPr>
          <w:p w14:paraId="03924E26" w14:textId="2E7B82A6"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Sometimes a woman can make a man so</w:t>
            </w:r>
            <w:r>
              <w:rPr>
                <w:rFonts w:cs="Open Sans"/>
                <w:szCs w:val="18"/>
                <w:lang w:val="en-US"/>
              </w:rPr>
              <w:t> </w:t>
            </w:r>
            <w:r w:rsidRPr="004A7ED7">
              <w:rPr>
                <w:rFonts w:cs="Open Sans"/>
                <w:szCs w:val="18"/>
                <w:lang w:val="en-US"/>
              </w:rPr>
              <w:t>angry that he hits her when he didn’t mean to^</w:t>
            </w:r>
          </w:p>
        </w:tc>
        <w:tc>
          <w:tcPr>
            <w:tcW w:w="1474" w:type="dxa"/>
          </w:tcPr>
          <w:p w14:paraId="1ECCC89F"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313933CF"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69E4E819" w14:textId="12C6E506"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4.50</w:t>
            </w:r>
            <w:r w:rsidRPr="004A7ED7">
              <w:rPr>
                <w:rFonts w:cs="Open Sans"/>
                <w:szCs w:val="18"/>
                <w:vertAlign w:val="superscript"/>
              </w:rPr>
              <w:t>c</w:t>
            </w:r>
          </w:p>
        </w:tc>
        <w:tc>
          <w:tcPr>
            <w:tcW w:w="1304" w:type="dxa"/>
          </w:tcPr>
          <w:p w14:paraId="247E7BC0" w14:textId="0C1EE1E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14.81</w:t>
            </w:r>
          </w:p>
        </w:tc>
        <w:tc>
          <w:tcPr>
            <w:tcW w:w="1299" w:type="dxa"/>
          </w:tcPr>
          <w:p w14:paraId="72059F07" w14:textId="3CDC74D6"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15.86*</w:t>
            </w:r>
          </w:p>
        </w:tc>
        <w:tc>
          <w:tcPr>
            <w:tcW w:w="1077" w:type="dxa"/>
          </w:tcPr>
          <w:p w14:paraId="51013958" w14:textId="10B6850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60.04*</w:t>
            </w:r>
          </w:p>
        </w:tc>
        <w:tc>
          <w:tcPr>
            <w:tcW w:w="1247" w:type="dxa"/>
          </w:tcPr>
          <w:p w14:paraId="57C88AF7" w14:textId="6C24B13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4.50</w:t>
            </w:r>
          </w:p>
        </w:tc>
        <w:tc>
          <w:tcPr>
            <w:tcW w:w="1191" w:type="dxa"/>
          </w:tcPr>
          <w:p w14:paraId="5766878A" w14:textId="230E1B7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19.30</w:t>
            </w:r>
          </w:p>
        </w:tc>
        <w:tc>
          <w:tcPr>
            <w:tcW w:w="1134" w:type="dxa"/>
          </w:tcPr>
          <w:p w14:paraId="7E4121D6" w14:textId="3E86F89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75.90*</w:t>
            </w:r>
          </w:p>
        </w:tc>
      </w:tr>
      <w:tr w:rsidR="00064C7A" w:rsidRPr="004A7ED7" w14:paraId="613ADD1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35EFCEA" w14:textId="24557125" w:rsidR="00064C7A" w:rsidRPr="004A7ED7" w:rsidRDefault="00064C7A" w:rsidP="00962748">
            <w:pPr>
              <w:pStyle w:val="Tablebody"/>
              <w:rPr>
                <w:rFonts w:cs="Open Sans"/>
                <w:szCs w:val="18"/>
              </w:rPr>
            </w:pPr>
            <w:r w:rsidRPr="004A7ED7">
              <w:rPr>
                <w:rFonts w:cs="Open Sans"/>
                <w:szCs w:val="18"/>
              </w:rPr>
              <w:t>D25</w:t>
            </w:r>
          </w:p>
        </w:tc>
        <w:tc>
          <w:tcPr>
            <w:tcW w:w="3912" w:type="dxa"/>
          </w:tcPr>
          <w:p w14:paraId="6E194BB0" w14:textId="303A4A6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Sometimes a woman can make a man so</w:t>
            </w:r>
            <w:r>
              <w:rPr>
                <w:rFonts w:cs="Open Sans"/>
                <w:szCs w:val="18"/>
                <w:lang w:val="en-US"/>
              </w:rPr>
              <w:t> </w:t>
            </w:r>
            <w:r w:rsidRPr="004A7ED7">
              <w:rPr>
                <w:rFonts w:cs="Open Sans"/>
                <w:szCs w:val="18"/>
                <w:lang w:val="en-US"/>
              </w:rPr>
              <w:t>angry that he hits her when he didn’t mean to^</w:t>
            </w:r>
          </w:p>
        </w:tc>
        <w:tc>
          <w:tcPr>
            <w:tcW w:w="1474" w:type="dxa"/>
          </w:tcPr>
          <w:p w14:paraId="5B797EFF" w14:textId="4745FFE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5F09D161" w14:textId="6377259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16B260CA" w14:textId="6CEB236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2.48</w:t>
            </w:r>
            <w:r w:rsidRPr="004A7ED7">
              <w:rPr>
                <w:rFonts w:cs="Open Sans"/>
                <w:szCs w:val="18"/>
                <w:vertAlign w:val="superscript"/>
              </w:rPr>
              <w:t>c</w:t>
            </w:r>
          </w:p>
        </w:tc>
        <w:tc>
          <w:tcPr>
            <w:tcW w:w="1304" w:type="dxa"/>
          </w:tcPr>
          <w:p w14:paraId="5437E419" w14:textId="13B9C35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9.72</w:t>
            </w:r>
          </w:p>
        </w:tc>
        <w:tc>
          <w:tcPr>
            <w:tcW w:w="1299" w:type="dxa"/>
          </w:tcPr>
          <w:p w14:paraId="7F366E31" w14:textId="5887BEF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7.69*</w:t>
            </w:r>
          </w:p>
        </w:tc>
        <w:tc>
          <w:tcPr>
            <w:tcW w:w="1077" w:type="dxa"/>
          </w:tcPr>
          <w:p w14:paraId="662E4935" w14:textId="6AB4F15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78.23*</w:t>
            </w:r>
          </w:p>
        </w:tc>
        <w:tc>
          <w:tcPr>
            <w:tcW w:w="1247" w:type="dxa"/>
          </w:tcPr>
          <w:p w14:paraId="18BB5664" w14:textId="3A9AEBD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1.64</w:t>
            </w:r>
            <w:r w:rsidRPr="004A7ED7">
              <w:rPr>
                <w:rFonts w:cs="Open Sans"/>
                <w:szCs w:val="18"/>
                <w:vertAlign w:val="superscript"/>
              </w:rPr>
              <w:t>c</w:t>
            </w:r>
          </w:p>
        </w:tc>
        <w:tc>
          <w:tcPr>
            <w:tcW w:w="1191" w:type="dxa"/>
          </w:tcPr>
          <w:p w14:paraId="65EDEF86" w14:textId="6455BBF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12.20</w:t>
            </w:r>
          </w:p>
        </w:tc>
        <w:tc>
          <w:tcPr>
            <w:tcW w:w="1134" w:type="dxa"/>
          </w:tcPr>
          <w:p w14:paraId="740AE688" w14:textId="4819DDE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85.92*</w:t>
            </w:r>
          </w:p>
        </w:tc>
      </w:tr>
      <w:tr w:rsidR="00064C7A" w:rsidRPr="004A7ED7" w14:paraId="61BF779A"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2E7BBB5" w14:textId="77777777" w:rsidR="00064C7A" w:rsidRPr="004A7ED7" w:rsidRDefault="00064C7A" w:rsidP="00962748">
            <w:pPr>
              <w:pStyle w:val="Tablebody"/>
              <w:rPr>
                <w:rFonts w:cs="Open Sans"/>
                <w:szCs w:val="18"/>
                <w:lang w:val="en-GB"/>
              </w:rPr>
            </w:pPr>
            <w:r w:rsidRPr="004A7ED7">
              <w:rPr>
                <w:rFonts w:cs="Open Sans"/>
                <w:szCs w:val="18"/>
              </w:rPr>
              <w:lastRenderedPageBreak/>
              <w:t>D30</w:t>
            </w:r>
          </w:p>
        </w:tc>
        <w:tc>
          <w:tcPr>
            <w:tcW w:w="3912" w:type="dxa"/>
          </w:tcPr>
          <w:p w14:paraId="4F18DB41"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 xml:space="preserve">Women should keep quiet about domestic violence to protect their family’s reputation </w:t>
            </w:r>
          </w:p>
        </w:tc>
        <w:tc>
          <w:tcPr>
            <w:tcW w:w="1474" w:type="dxa"/>
          </w:tcPr>
          <w:p w14:paraId="07A037EA"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88DC3AE"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3C699B1C" w14:textId="32D66C1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0.97</w:t>
            </w:r>
            <w:r w:rsidRPr="004A7ED7">
              <w:rPr>
                <w:rFonts w:cs="Open Sans"/>
                <w:szCs w:val="18"/>
                <w:vertAlign w:val="superscript"/>
              </w:rPr>
              <w:t>c</w:t>
            </w:r>
          </w:p>
        </w:tc>
        <w:tc>
          <w:tcPr>
            <w:tcW w:w="1304" w:type="dxa"/>
          </w:tcPr>
          <w:p w14:paraId="04C7A39A" w14:textId="7D7E309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1.23</w:t>
            </w:r>
            <w:r w:rsidRPr="004A7ED7">
              <w:rPr>
                <w:rFonts w:cs="Open Sans"/>
                <w:szCs w:val="18"/>
                <w:vertAlign w:val="superscript"/>
              </w:rPr>
              <w:t>c</w:t>
            </w:r>
          </w:p>
        </w:tc>
        <w:tc>
          <w:tcPr>
            <w:tcW w:w="1299" w:type="dxa"/>
          </w:tcPr>
          <w:p w14:paraId="05358402" w14:textId="44494C0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6.22</w:t>
            </w:r>
          </w:p>
        </w:tc>
        <w:tc>
          <w:tcPr>
            <w:tcW w:w="1077" w:type="dxa"/>
          </w:tcPr>
          <w:p w14:paraId="7331F5F4" w14:textId="1C266D7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91.21</w:t>
            </w:r>
          </w:p>
        </w:tc>
        <w:tc>
          <w:tcPr>
            <w:tcW w:w="1247" w:type="dxa"/>
          </w:tcPr>
          <w:p w14:paraId="77B15151" w14:textId="07723EC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0.37</w:t>
            </w:r>
            <w:r w:rsidRPr="004A7ED7">
              <w:rPr>
                <w:rFonts w:cs="Open Sans"/>
                <w:szCs w:val="18"/>
                <w:vertAlign w:val="superscript"/>
              </w:rPr>
              <w:t>c</w:t>
            </w:r>
          </w:p>
        </w:tc>
        <w:tc>
          <w:tcPr>
            <w:tcW w:w="1191" w:type="dxa"/>
          </w:tcPr>
          <w:p w14:paraId="7C651183" w14:textId="5A4A4A2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2.20</w:t>
            </w:r>
            <w:r w:rsidRPr="004A7ED7">
              <w:rPr>
                <w:rFonts w:cs="Open Sans"/>
                <w:szCs w:val="18"/>
                <w:vertAlign w:val="superscript"/>
              </w:rPr>
              <w:t>c</w:t>
            </w:r>
          </w:p>
        </w:tc>
        <w:tc>
          <w:tcPr>
            <w:tcW w:w="1134" w:type="dxa"/>
          </w:tcPr>
          <w:p w14:paraId="434C50AB" w14:textId="4FE5276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97.43</w:t>
            </w:r>
          </w:p>
        </w:tc>
      </w:tr>
      <w:tr w:rsidR="00064C7A" w:rsidRPr="004A7ED7" w14:paraId="0022A60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3D1DE3C" w14:textId="618911AB" w:rsidR="00064C7A" w:rsidRPr="004A7ED7" w:rsidRDefault="00064C7A" w:rsidP="00962748">
            <w:pPr>
              <w:pStyle w:val="Tablebody"/>
              <w:rPr>
                <w:rFonts w:cs="Open Sans"/>
                <w:szCs w:val="18"/>
              </w:rPr>
            </w:pPr>
            <w:r w:rsidRPr="004A7ED7">
              <w:rPr>
                <w:rFonts w:cs="Open Sans"/>
                <w:szCs w:val="18"/>
              </w:rPr>
              <w:t>D30</w:t>
            </w:r>
          </w:p>
        </w:tc>
        <w:tc>
          <w:tcPr>
            <w:tcW w:w="3912" w:type="dxa"/>
          </w:tcPr>
          <w:p w14:paraId="35477578" w14:textId="04A822E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should keep quiet about domestic violence to protect their family’s reputation</w:t>
            </w:r>
          </w:p>
        </w:tc>
        <w:tc>
          <w:tcPr>
            <w:tcW w:w="1474" w:type="dxa"/>
          </w:tcPr>
          <w:p w14:paraId="117255FD" w14:textId="4150B76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6A5972C5" w14:textId="5099304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0494E1B0" w14:textId="1FDD514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1.26</w:t>
            </w:r>
            <w:r w:rsidRPr="004A7ED7">
              <w:rPr>
                <w:rFonts w:cs="Open Sans"/>
                <w:szCs w:val="18"/>
                <w:vertAlign w:val="superscript"/>
              </w:rPr>
              <w:t>c</w:t>
            </w:r>
          </w:p>
        </w:tc>
        <w:tc>
          <w:tcPr>
            <w:tcW w:w="1304" w:type="dxa"/>
          </w:tcPr>
          <w:p w14:paraId="5EA2C28D" w14:textId="08831F6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1.97</w:t>
            </w:r>
            <w:r w:rsidRPr="004A7ED7">
              <w:rPr>
                <w:rFonts w:cs="Open Sans"/>
                <w:szCs w:val="18"/>
                <w:vertAlign w:val="superscript"/>
              </w:rPr>
              <w:t>c</w:t>
            </w:r>
          </w:p>
        </w:tc>
        <w:tc>
          <w:tcPr>
            <w:tcW w:w="1299" w:type="dxa"/>
          </w:tcPr>
          <w:p w14:paraId="250E7C1B" w14:textId="2959794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3.14</w:t>
            </w:r>
          </w:p>
        </w:tc>
        <w:tc>
          <w:tcPr>
            <w:tcW w:w="1077" w:type="dxa"/>
          </w:tcPr>
          <w:p w14:paraId="37BBEC54" w14:textId="688D989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93.63</w:t>
            </w:r>
          </w:p>
        </w:tc>
        <w:tc>
          <w:tcPr>
            <w:tcW w:w="1247" w:type="dxa"/>
          </w:tcPr>
          <w:p w14:paraId="3F662829" w14:textId="1B23BAD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0.00</w:t>
            </w:r>
          </w:p>
        </w:tc>
        <w:tc>
          <w:tcPr>
            <w:tcW w:w="1191" w:type="dxa"/>
          </w:tcPr>
          <w:p w14:paraId="4D1F77F9" w14:textId="44C47A3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3.23</w:t>
            </w:r>
            <w:r w:rsidRPr="004A7ED7">
              <w:rPr>
                <w:rFonts w:cs="Open Sans"/>
                <w:szCs w:val="18"/>
                <w:vertAlign w:val="superscript"/>
              </w:rPr>
              <w:t>c</w:t>
            </w:r>
          </w:p>
        </w:tc>
        <w:tc>
          <w:tcPr>
            <w:tcW w:w="1134" w:type="dxa"/>
          </w:tcPr>
          <w:p w14:paraId="4B4A6572" w14:textId="40925AB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96.77</w:t>
            </w:r>
          </w:p>
        </w:tc>
      </w:tr>
      <w:tr w:rsidR="00064C7A" w:rsidRPr="004A7ED7" w14:paraId="06C1F1BE"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CED1BFC" w14:textId="77777777" w:rsidR="00064C7A" w:rsidRPr="004A7ED7" w:rsidRDefault="00064C7A" w:rsidP="00962748">
            <w:pPr>
              <w:pStyle w:val="Tablebody"/>
              <w:rPr>
                <w:rFonts w:cs="Open Sans"/>
                <w:szCs w:val="18"/>
                <w:lang w:val="en-GB"/>
              </w:rPr>
            </w:pPr>
            <w:r w:rsidRPr="004A7ED7">
              <w:rPr>
                <w:rFonts w:cs="Open Sans"/>
                <w:szCs w:val="18"/>
              </w:rPr>
              <w:t>D31</w:t>
            </w:r>
          </w:p>
        </w:tc>
        <w:tc>
          <w:tcPr>
            <w:tcW w:w="3912" w:type="dxa"/>
          </w:tcPr>
          <w:p w14:paraId="2F5781F7"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who stay in abusive relationships deserve less help from counselling and support services than women who leave their abusive partner^</w:t>
            </w:r>
          </w:p>
        </w:tc>
        <w:tc>
          <w:tcPr>
            <w:tcW w:w="1474" w:type="dxa"/>
          </w:tcPr>
          <w:p w14:paraId="4B21BE77"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6894BDFC"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716E3AFE" w14:textId="0EEEDD1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1.73</w:t>
            </w:r>
            <w:r w:rsidRPr="004A7ED7">
              <w:rPr>
                <w:rFonts w:cs="Open Sans"/>
                <w:szCs w:val="18"/>
                <w:vertAlign w:val="superscript"/>
              </w:rPr>
              <w:t>c</w:t>
            </w:r>
          </w:p>
        </w:tc>
        <w:tc>
          <w:tcPr>
            <w:tcW w:w="1304" w:type="dxa"/>
          </w:tcPr>
          <w:p w14:paraId="469A7D61" w14:textId="640760B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4.55</w:t>
            </w:r>
            <w:r w:rsidRPr="004A7ED7">
              <w:rPr>
                <w:rFonts w:cs="Open Sans"/>
                <w:szCs w:val="18"/>
                <w:vertAlign w:val="superscript"/>
              </w:rPr>
              <w:t>c</w:t>
            </w:r>
          </w:p>
        </w:tc>
        <w:tc>
          <w:tcPr>
            <w:tcW w:w="1299" w:type="dxa"/>
          </w:tcPr>
          <w:p w14:paraId="44BD1346" w14:textId="6D0F930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10.59*</w:t>
            </w:r>
          </w:p>
        </w:tc>
        <w:tc>
          <w:tcPr>
            <w:tcW w:w="1077" w:type="dxa"/>
          </w:tcPr>
          <w:p w14:paraId="27697E0F" w14:textId="7A4D17E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81.06*</w:t>
            </w:r>
          </w:p>
        </w:tc>
        <w:tc>
          <w:tcPr>
            <w:tcW w:w="1247" w:type="dxa"/>
          </w:tcPr>
          <w:p w14:paraId="7E24C51A" w14:textId="4BE0BAF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1.92</w:t>
            </w:r>
            <w:r w:rsidRPr="004A7ED7">
              <w:rPr>
                <w:rFonts w:cs="Open Sans"/>
                <w:szCs w:val="18"/>
                <w:vertAlign w:val="superscript"/>
              </w:rPr>
              <w:t>c</w:t>
            </w:r>
          </w:p>
        </w:tc>
        <w:tc>
          <w:tcPr>
            <w:tcW w:w="1191" w:type="dxa"/>
          </w:tcPr>
          <w:p w14:paraId="1C62FDD1" w14:textId="74E76D4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6.28</w:t>
            </w:r>
          </w:p>
        </w:tc>
        <w:tc>
          <w:tcPr>
            <w:tcW w:w="1134" w:type="dxa"/>
          </w:tcPr>
          <w:p w14:paraId="271FB726" w14:textId="0EE120A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91.66</w:t>
            </w:r>
          </w:p>
        </w:tc>
      </w:tr>
      <w:tr w:rsidR="00064C7A" w:rsidRPr="004A7ED7" w14:paraId="3A17D44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61A6C7F" w14:textId="44696507" w:rsidR="00064C7A" w:rsidRPr="004A7ED7" w:rsidRDefault="00064C7A" w:rsidP="00962748">
            <w:pPr>
              <w:pStyle w:val="Tablebody"/>
              <w:rPr>
                <w:rFonts w:cs="Open Sans"/>
                <w:szCs w:val="18"/>
              </w:rPr>
            </w:pPr>
            <w:r w:rsidRPr="004A7ED7">
              <w:rPr>
                <w:rFonts w:cs="Open Sans"/>
                <w:szCs w:val="18"/>
              </w:rPr>
              <w:t>D31</w:t>
            </w:r>
          </w:p>
        </w:tc>
        <w:tc>
          <w:tcPr>
            <w:tcW w:w="3912" w:type="dxa"/>
          </w:tcPr>
          <w:p w14:paraId="7EC11821" w14:textId="6FB332D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who stay in abusive relationships deserve less help from counselling and support services than women who leave their abusive partner^</w:t>
            </w:r>
          </w:p>
        </w:tc>
        <w:tc>
          <w:tcPr>
            <w:tcW w:w="1474" w:type="dxa"/>
          </w:tcPr>
          <w:p w14:paraId="50C79B94" w14:textId="48B31A1B"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4A864B2" w14:textId="19FD652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1B2BB1AB" w14:textId="291DB5B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2.09</w:t>
            </w:r>
            <w:r w:rsidRPr="004A7ED7">
              <w:rPr>
                <w:rFonts w:cs="Open Sans"/>
                <w:szCs w:val="18"/>
                <w:vertAlign w:val="superscript"/>
              </w:rPr>
              <w:t>c</w:t>
            </w:r>
          </w:p>
        </w:tc>
        <w:tc>
          <w:tcPr>
            <w:tcW w:w="1304" w:type="dxa"/>
          </w:tcPr>
          <w:p w14:paraId="764BBF04" w14:textId="73D0608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2.82</w:t>
            </w:r>
            <w:r w:rsidRPr="004A7ED7">
              <w:rPr>
                <w:rFonts w:cs="Open Sans"/>
                <w:szCs w:val="18"/>
                <w:vertAlign w:val="superscript"/>
              </w:rPr>
              <w:t>c</w:t>
            </w:r>
          </w:p>
        </w:tc>
        <w:tc>
          <w:tcPr>
            <w:tcW w:w="1299" w:type="dxa"/>
          </w:tcPr>
          <w:p w14:paraId="52EBEABF" w14:textId="1C14065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3.93*</w:t>
            </w:r>
            <w:r w:rsidRPr="004A7ED7">
              <w:rPr>
                <w:rFonts w:cs="Open Sans"/>
                <w:szCs w:val="18"/>
                <w:vertAlign w:val="superscript"/>
              </w:rPr>
              <w:t xml:space="preserve"> c</w:t>
            </w:r>
          </w:p>
        </w:tc>
        <w:tc>
          <w:tcPr>
            <w:tcW w:w="1077" w:type="dxa"/>
          </w:tcPr>
          <w:p w14:paraId="3F99899D" w14:textId="474415A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89.80*</w:t>
            </w:r>
          </w:p>
        </w:tc>
        <w:tc>
          <w:tcPr>
            <w:tcW w:w="1247" w:type="dxa"/>
          </w:tcPr>
          <w:p w14:paraId="004118EA" w14:textId="19FF0CD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1.37</w:t>
            </w:r>
            <w:r w:rsidRPr="004A7ED7">
              <w:rPr>
                <w:rFonts w:cs="Open Sans"/>
                <w:szCs w:val="18"/>
                <w:vertAlign w:val="superscript"/>
              </w:rPr>
              <w:t>c</w:t>
            </w:r>
          </w:p>
        </w:tc>
        <w:tc>
          <w:tcPr>
            <w:tcW w:w="1191" w:type="dxa"/>
          </w:tcPr>
          <w:p w14:paraId="5C658A6B" w14:textId="689C934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4.90</w:t>
            </w:r>
            <w:r w:rsidRPr="004A7ED7">
              <w:rPr>
                <w:rFonts w:cs="Open Sans"/>
                <w:szCs w:val="18"/>
                <w:vertAlign w:val="superscript"/>
              </w:rPr>
              <w:t>c</w:t>
            </w:r>
          </w:p>
        </w:tc>
        <w:tc>
          <w:tcPr>
            <w:tcW w:w="1134" w:type="dxa"/>
          </w:tcPr>
          <w:p w14:paraId="3E7C1AAA" w14:textId="59CA2E2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93.73</w:t>
            </w:r>
          </w:p>
        </w:tc>
      </w:tr>
      <w:tr w:rsidR="00064C7A" w:rsidRPr="004A7ED7" w14:paraId="0E389D4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8620ACC" w14:textId="77777777" w:rsidR="00064C7A" w:rsidRPr="004A7ED7" w:rsidRDefault="00064C7A" w:rsidP="00962748">
            <w:pPr>
              <w:pStyle w:val="Tablebody"/>
              <w:rPr>
                <w:rFonts w:cs="Open Sans"/>
                <w:szCs w:val="18"/>
                <w:lang w:val="en-GB"/>
              </w:rPr>
            </w:pPr>
            <w:r w:rsidRPr="004A7ED7">
              <w:rPr>
                <w:rFonts w:cs="Open Sans"/>
                <w:szCs w:val="18"/>
              </w:rPr>
              <w:t>D32</w:t>
            </w:r>
          </w:p>
        </w:tc>
        <w:tc>
          <w:tcPr>
            <w:tcW w:w="3912" w:type="dxa"/>
          </w:tcPr>
          <w:p w14:paraId="2444FB98"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It’s acceptable for police to give lower priority to domestic violence cases they’ve attended many times before^</w:t>
            </w:r>
          </w:p>
        </w:tc>
        <w:tc>
          <w:tcPr>
            <w:tcW w:w="1474" w:type="dxa"/>
          </w:tcPr>
          <w:p w14:paraId="0574B4A3"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69429074"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2D4359AF" w14:textId="7AF2A28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3.95</w:t>
            </w:r>
            <w:r w:rsidRPr="004A7ED7">
              <w:rPr>
                <w:rFonts w:cs="Open Sans"/>
                <w:szCs w:val="18"/>
                <w:vertAlign w:val="superscript"/>
              </w:rPr>
              <w:t>c</w:t>
            </w:r>
          </w:p>
        </w:tc>
        <w:tc>
          <w:tcPr>
            <w:tcW w:w="1304" w:type="dxa"/>
          </w:tcPr>
          <w:p w14:paraId="6A49EF22" w14:textId="381B77E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8.92</w:t>
            </w:r>
          </w:p>
        </w:tc>
        <w:tc>
          <w:tcPr>
            <w:tcW w:w="1299" w:type="dxa"/>
          </w:tcPr>
          <w:p w14:paraId="76D0A5C7" w14:textId="4526D1F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18.53</w:t>
            </w:r>
          </w:p>
        </w:tc>
        <w:tc>
          <w:tcPr>
            <w:tcW w:w="1077" w:type="dxa"/>
          </w:tcPr>
          <w:p w14:paraId="42577E13" w14:textId="707B125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65.46*</w:t>
            </w:r>
          </w:p>
        </w:tc>
        <w:tc>
          <w:tcPr>
            <w:tcW w:w="1247" w:type="dxa"/>
          </w:tcPr>
          <w:p w14:paraId="75BBBA49" w14:textId="451A898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3.14</w:t>
            </w:r>
            <w:r w:rsidRPr="004A7ED7">
              <w:rPr>
                <w:rFonts w:cs="Open Sans"/>
                <w:szCs w:val="18"/>
                <w:vertAlign w:val="superscript"/>
              </w:rPr>
              <w:t>c</w:t>
            </w:r>
          </w:p>
        </w:tc>
        <w:tc>
          <w:tcPr>
            <w:tcW w:w="1191" w:type="dxa"/>
          </w:tcPr>
          <w:p w14:paraId="4F3A64A4" w14:textId="7D41D1C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12.87</w:t>
            </w:r>
          </w:p>
        </w:tc>
        <w:tc>
          <w:tcPr>
            <w:tcW w:w="1134" w:type="dxa"/>
          </w:tcPr>
          <w:p w14:paraId="72BB159A" w14:textId="375CB75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83.99</w:t>
            </w:r>
          </w:p>
        </w:tc>
      </w:tr>
      <w:tr w:rsidR="00064C7A" w:rsidRPr="004A7ED7" w14:paraId="001BF1E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F3C575B" w14:textId="44BF3E6F" w:rsidR="00064C7A" w:rsidRPr="004A7ED7" w:rsidRDefault="00064C7A" w:rsidP="00962748">
            <w:pPr>
              <w:pStyle w:val="Tablebody"/>
              <w:rPr>
                <w:rFonts w:cs="Open Sans"/>
                <w:szCs w:val="18"/>
              </w:rPr>
            </w:pPr>
            <w:r w:rsidRPr="004A7ED7">
              <w:rPr>
                <w:rFonts w:cs="Open Sans"/>
                <w:szCs w:val="18"/>
              </w:rPr>
              <w:t>D32</w:t>
            </w:r>
          </w:p>
        </w:tc>
        <w:tc>
          <w:tcPr>
            <w:tcW w:w="3912" w:type="dxa"/>
          </w:tcPr>
          <w:p w14:paraId="38F00936" w14:textId="1B655FB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It’s acceptable for police to give lower priority to domestic violence cases they’ve attended many times before^</w:t>
            </w:r>
          </w:p>
        </w:tc>
        <w:tc>
          <w:tcPr>
            <w:tcW w:w="1474" w:type="dxa"/>
          </w:tcPr>
          <w:p w14:paraId="6B9E3D92" w14:textId="1B15280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30AD0BE4" w14:textId="15AC56E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79ADFB6C" w14:textId="0F8E99A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2.77</w:t>
            </w:r>
            <w:r w:rsidRPr="004A7ED7">
              <w:rPr>
                <w:rFonts w:cs="Open Sans"/>
                <w:szCs w:val="18"/>
                <w:vertAlign w:val="superscript"/>
              </w:rPr>
              <w:t>c</w:t>
            </w:r>
          </w:p>
        </w:tc>
        <w:tc>
          <w:tcPr>
            <w:tcW w:w="1304" w:type="dxa"/>
          </w:tcPr>
          <w:p w14:paraId="22935705" w14:textId="6CA9B5A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6.27</w:t>
            </w:r>
          </w:p>
        </w:tc>
        <w:tc>
          <w:tcPr>
            <w:tcW w:w="1299" w:type="dxa"/>
          </w:tcPr>
          <w:p w14:paraId="097E2D2B" w14:textId="45AA5F3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10.73</w:t>
            </w:r>
          </w:p>
        </w:tc>
        <w:tc>
          <w:tcPr>
            <w:tcW w:w="1077" w:type="dxa"/>
          </w:tcPr>
          <w:p w14:paraId="48976FA3" w14:textId="3412DC8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78.84*</w:t>
            </w:r>
          </w:p>
        </w:tc>
        <w:tc>
          <w:tcPr>
            <w:tcW w:w="1247" w:type="dxa"/>
          </w:tcPr>
          <w:p w14:paraId="74A28FB6" w14:textId="52A2047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1.11</w:t>
            </w:r>
            <w:r w:rsidRPr="004A7ED7">
              <w:rPr>
                <w:rFonts w:cs="Open Sans"/>
                <w:szCs w:val="18"/>
                <w:vertAlign w:val="superscript"/>
              </w:rPr>
              <w:t>c</w:t>
            </w:r>
          </w:p>
        </w:tc>
        <w:tc>
          <w:tcPr>
            <w:tcW w:w="1191" w:type="dxa"/>
          </w:tcPr>
          <w:p w14:paraId="1B702E9B" w14:textId="2C91837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9.04</w:t>
            </w:r>
          </w:p>
        </w:tc>
        <w:tc>
          <w:tcPr>
            <w:tcW w:w="1134" w:type="dxa"/>
          </w:tcPr>
          <w:p w14:paraId="39B8C2F5" w14:textId="656D8EA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89.57</w:t>
            </w:r>
          </w:p>
        </w:tc>
      </w:tr>
      <w:tr w:rsidR="00064C7A" w:rsidRPr="004A7ED7" w14:paraId="2329BDBA"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06DAD48" w14:textId="77777777" w:rsidR="00064C7A" w:rsidRPr="004A7ED7" w:rsidRDefault="00064C7A" w:rsidP="00962748">
            <w:pPr>
              <w:pStyle w:val="Tablebody"/>
              <w:rPr>
                <w:rFonts w:cs="Open Sans"/>
                <w:szCs w:val="18"/>
                <w:lang w:val="en-GB"/>
              </w:rPr>
            </w:pPr>
            <w:r w:rsidRPr="004A7ED7">
              <w:rPr>
                <w:rFonts w:cs="Open Sans"/>
                <w:szCs w:val="18"/>
              </w:rPr>
              <w:t>S9</w:t>
            </w:r>
          </w:p>
        </w:tc>
        <w:tc>
          <w:tcPr>
            <w:tcW w:w="3912" w:type="dxa"/>
          </w:tcPr>
          <w:p w14:paraId="6A9D9F3C" w14:textId="1122811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who are sexually harassed should deal with it themselves rather than report</w:t>
            </w:r>
            <w:r>
              <w:rPr>
                <w:rFonts w:cs="Open Sans"/>
                <w:szCs w:val="18"/>
                <w:lang w:val="en-US"/>
              </w:rPr>
              <w:t> </w:t>
            </w:r>
            <w:r w:rsidRPr="004A7ED7">
              <w:rPr>
                <w:rFonts w:cs="Open Sans"/>
                <w:szCs w:val="18"/>
                <w:lang w:val="en-US"/>
              </w:rPr>
              <w:t>it^</w:t>
            </w:r>
          </w:p>
        </w:tc>
        <w:tc>
          <w:tcPr>
            <w:tcW w:w="1474" w:type="dxa"/>
          </w:tcPr>
          <w:p w14:paraId="3BF2B935"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69B7FC1F"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64B26B83" w14:textId="0325655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0.53</w:t>
            </w:r>
            <w:r w:rsidRPr="004A7ED7">
              <w:rPr>
                <w:rFonts w:cs="Open Sans"/>
                <w:szCs w:val="18"/>
                <w:vertAlign w:val="superscript"/>
              </w:rPr>
              <w:t>c</w:t>
            </w:r>
          </w:p>
        </w:tc>
        <w:tc>
          <w:tcPr>
            <w:tcW w:w="1304" w:type="dxa"/>
          </w:tcPr>
          <w:p w14:paraId="674973BC" w14:textId="1C58B65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2.20</w:t>
            </w:r>
            <w:r w:rsidRPr="004A7ED7">
              <w:rPr>
                <w:rFonts w:cs="Open Sans"/>
                <w:szCs w:val="18"/>
                <w:vertAlign w:val="superscript"/>
              </w:rPr>
              <w:t>c</w:t>
            </w:r>
          </w:p>
        </w:tc>
        <w:tc>
          <w:tcPr>
            <w:tcW w:w="1299" w:type="dxa"/>
          </w:tcPr>
          <w:p w14:paraId="300AC268" w14:textId="5CA1DC2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10.55</w:t>
            </w:r>
          </w:p>
        </w:tc>
        <w:tc>
          <w:tcPr>
            <w:tcW w:w="1077" w:type="dxa"/>
          </w:tcPr>
          <w:p w14:paraId="0FF3803D" w14:textId="2DAD751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84.85*</w:t>
            </w:r>
          </w:p>
        </w:tc>
        <w:tc>
          <w:tcPr>
            <w:tcW w:w="1247" w:type="dxa"/>
          </w:tcPr>
          <w:p w14:paraId="79D0AF5A" w14:textId="3B9F8E3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1.88</w:t>
            </w:r>
            <w:r w:rsidRPr="004A7ED7">
              <w:rPr>
                <w:rFonts w:cs="Open Sans"/>
                <w:szCs w:val="18"/>
                <w:vertAlign w:val="superscript"/>
              </w:rPr>
              <w:t>c</w:t>
            </w:r>
          </w:p>
        </w:tc>
        <w:tc>
          <w:tcPr>
            <w:tcW w:w="1191" w:type="dxa"/>
          </w:tcPr>
          <w:p w14:paraId="283A4834" w14:textId="13827476"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2.72</w:t>
            </w:r>
            <w:r w:rsidRPr="004A7ED7">
              <w:rPr>
                <w:rFonts w:cs="Open Sans"/>
                <w:szCs w:val="18"/>
                <w:vertAlign w:val="superscript"/>
              </w:rPr>
              <w:t>c</w:t>
            </w:r>
          </w:p>
        </w:tc>
        <w:tc>
          <w:tcPr>
            <w:tcW w:w="1134" w:type="dxa"/>
          </w:tcPr>
          <w:p w14:paraId="5178D254" w14:textId="6E52CB6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95.40</w:t>
            </w:r>
          </w:p>
        </w:tc>
      </w:tr>
      <w:tr w:rsidR="00064C7A" w:rsidRPr="004A7ED7" w14:paraId="2BA3CA8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DE648E0" w14:textId="44A69451" w:rsidR="00064C7A" w:rsidRPr="004A7ED7" w:rsidRDefault="00064C7A" w:rsidP="00962748">
            <w:pPr>
              <w:pStyle w:val="Tablebody"/>
              <w:rPr>
                <w:rFonts w:cs="Open Sans"/>
                <w:szCs w:val="18"/>
              </w:rPr>
            </w:pPr>
            <w:r w:rsidRPr="004A7ED7">
              <w:rPr>
                <w:rFonts w:cs="Open Sans"/>
                <w:szCs w:val="18"/>
              </w:rPr>
              <w:t>S9</w:t>
            </w:r>
          </w:p>
        </w:tc>
        <w:tc>
          <w:tcPr>
            <w:tcW w:w="3912" w:type="dxa"/>
          </w:tcPr>
          <w:p w14:paraId="1686947E" w14:textId="516BD33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who are sexually harassed should deal with it themselves rather than report</w:t>
            </w:r>
            <w:r>
              <w:rPr>
                <w:rFonts w:cs="Open Sans"/>
                <w:szCs w:val="18"/>
                <w:lang w:val="en-US"/>
              </w:rPr>
              <w:t> </w:t>
            </w:r>
            <w:r w:rsidRPr="004A7ED7">
              <w:rPr>
                <w:rFonts w:cs="Open Sans"/>
                <w:szCs w:val="18"/>
                <w:lang w:val="en-US"/>
              </w:rPr>
              <w:t>it^</w:t>
            </w:r>
          </w:p>
        </w:tc>
        <w:tc>
          <w:tcPr>
            <w:tcW w:w="1474" w:type="dxa"/>
          </w:tcPr>
          <w:p w14:paraId="43FB5474" w14:textId="3091C41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BE3C634" w14:textId="631D40A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0C376720" w14:textId="7447639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0.93</w:t>
            </w:r>
            <w:r w:rsidRPr="004A7ED7">
              <w:rPr>
                <w:rFonts w:cs="Open Sans"/>
                <w:szCs w:val="18"/>
                <w:vertAlign w:val="superscript"/>
              </w:rPr>
              <w:t>c</w:t>
            </w:r>
          </w:p>
        </w:tc>
        <w:tc>
          <w:tcPr>
            <w:tcW w:w="1304" w:type="dxa"/>
          </w:tcPr>
          <w:p w14:paraId="447BECE0" w14:textId="71C4BF3E"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0.90</w:t>
            </w:r>
            <w:r w:rsidRPr="004A7ED7">
              <w:rPr>
                <w:rFonts w:cs="Open Sans"/>
                <w:szCs w:val="18"/>
                <w:vertAlign w:val="superscript"/>
              </w:rPr>
              <w:t>c</w:t>
            </w:r>
          </w:p>
        </w:tc>
        <w:tc>
          <w:tcPr>
            <w:tcW w:w="1299" w:type="dxa"/>
          </w:tcPr>
          <w:p w14:paraId="613B1455" w14:textId="23E9A5A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5.61</w:t>
            </w:r>
          </w:p>
        </w:tc>
        <w:tc>
          <w:tcPr>
            <w:tcW w:w="1077" w:type="dxa"/>
          </w:tcPr>
          <w:p w14:paraId="3287DB3E" w14:textId="5584184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91.92*</w:t>
            </w:r>
          </w:p>
        </w:tc>
        <w:tc>
          <w:tcPr>
            <w:tcW w:w="1247" w:type="dxa"/>
          </w:tcPr>
          <w:p w14:paraId="20F2B59D" w14:textId="47A4799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0.64</w:t>
            </w:r>
            <w:r w:rsidRPr="004A7ED7">
              <w:rPr>
                <w:rFonts w:cs="Open Sans"/>
                <w:szCs w:val="18"/>
                <w:vertAlign w:val="superscript"/>
              </w:rPr>
              <w:t>c</w:t>
            </w:r>
          </w:p>
        </w:tc>
        <w:tc>
          <w:tcPr>
            <w:tcW w:w="1191" w:type="dxa"/>
          </w:tcPr>
          <w:p w14:paraId="1A2E0494" w14:textId="0BD9843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1.83</w:t>
            </w:r>
            <w:r w:rsidRPr="004A7ED7">
              <w:rPr>
                <w:rFonts w:cs="Open Sans"/>
                <w:szCs w:val="18"/>
                <w:vertAlign w:val="superscript"/>
              </w:rPr>
              <w:t>c</w:t>
            </w:r>
          </w:p>
        </w:tc>
        <w:tc>
          <w:tcPr>
            <w:tcW w:w="1134" w:type="dxa"/>
          </w:tcPr>
          <w:p w14:paraId="7272729C" w14:textId="32B26DE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97.53</w:t>
            </w:r>
          </w:p>
        </w:tc>
      </w:tr>
      <w:tr w:rsidR="00064C7A" w:rsidRPr="004A7ED7" w14:paraId="4FF01F1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82EB243" w14:textId="77777777" w:rsidR="00064C7A" w:rsidRPr="004A7ED7" w:rsidRDefault="00064C7A" w:rsidP="00962748">
            <w:pPr>
              <w:pStyle w:val="Tablebody"/>
              <w:rPr>
                <w:rFonts w:cs="Open Sans"/>
                <w:szCs w:val="18"/>
                <w:lang w:val="en-GB"/>
              </w:rPr>
            </w:pPr>
            <w:r w:rsidRPr="004A7ED7">
              <w:rPr>
                <w:rFonts w:cs="Open Sans"/>
                <w:szCs w:val="18"/>
              </w:rPr>
              <w:t>S19</w:t>
            </w:r>
          </w:p>
        </w:tc>
        <w:tc>
          <w:tcPr>
            <w:tcW w:w="3912" w:type="dxa"/>
          </w:tcPr>
          <w:p w14:paraId="0279766E"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A man is less responsible for rape if he is drunk or affected by drugs at the time^</w:t>
            </w:r>
          </w:p>
        </w:tc>
        <w:tc>
          <w:tcPr>
            <w:tcW w:w="1474" w:type="dxa"/>
          </w:tcPr>
          <w:p w14:paraId="08C11562"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725E05A6"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08CD50B8" w14:textId="062B0A0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5.13</w:t>
            </w:r>
            <w:r w:rsidRPr="004A7ED7">
              <w:rPr>
                <w:rFonts w:cs="Open Sans"/>
                <w:szCs w:val="18"/>
                <w:vertAlign w:val="superscript"/>
              </w:rPr>
              <w:t>c</w:t>
            </w:r>
          </w:p>
        </w:tc>
        <w:tc>
          <w:tcPr>
            <w:tcW w:w="1304" w:type="dxa"/>
          </w:tcPr>
          <w:p w14:paraId="21B86A13" w14:textId="3C9A4C2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3.94</w:t>
            </w:r>
          </w:p>
        </w:tc>
        <w:tc>
          <w:tcPr>
            <w:tcW w:w="1299" w:type="dxa"/>
          </w:tcPr>
          <w:p w14:paraId="75C44354" w14:textId="3F57F36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10.17</w:t>
            </w:r>
          </w:p>
        </w:tc>
        <w:tc>
          <w:tcPr>
            <w:tcW w:w="1077" w:type="dxa"/>
          </w:tcPr>
          <w:p w14:paraId="179B30F0" w14:textId="1B4108B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79.85</w:t>
            </w:r>
          </w:p>
        </w:tc>
        <w:tc>
          <w:tcPr>
            <w:tcW w:w="1247" w:type="dxa"/>
          </w:tcPr>
          <w:p w14:paraId="2266C5C4" w14:textId="4CE5AC5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0.62</w:t>
            </w:r>
            <w:r w:rsidRPr="004A7ED7">
              <w:rPr>
                <w:rFonts w:cs="Open Sans"/>
                <w:szCs w:val="18"/>
                <w:vertAlign w:val="superscript"/>
              </w:rPr>
              <w:t>c</w:t>
            </w:r>
          </w:p>
        </w:tc>
        <w:tc>
          <w:tcPr>
            <w:tcW w:w="1191" w:type="dxa"/>
          </w:tcPr>
          <w:p w14:paraId="1722E608" w14:textId="36F30F66"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9.07</w:t>
            </w:r>
          </w:p>
        </w:tc>
        <w:tc>
          <w:tcPr>
            <w:tcW w:w="1134" w:type="dxa"/>
          </w:tcPr>
          <w:p w14:paraId="068C5045" w14:textId="428278F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90.02</w:t>
            </w:r>
          </w:p>
        </w:tc>
      </w:tr>
      <w:tr w:rsidR="00064C7A" w:rsidRPr="004A7ED7" w14:paraId="4116BAE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2738CDB" w14:textId="769EE12F" w:rsidR="00064C7A" w:rsidRPr="004A7ED7" w:rsidRDefault="00064C7A" w:rsidP="00962748">
            <w:pPr>
              <w:pStyle w:val="Tablebody"/>
              <w:rPr>
                <w:rFonts w:cs="Open Sans"/>
                <w:szCs w:val="18"/>
              </w:rPr>
            </w:pPr>
            <w:r w:rsidRPr="004A7ED7">
              <w:rPr>
                <w:rFonts w:cs="Open Sans"/>
                <w:szCs w:val="18"/>
              </w:rPr>
              <w:t>S19</w:t>
            </w:r>
          </w:p>
        </w:tc>
        <w:tc>
          <w:tcPr>
            <w:tcW w:w="3912" w:type="dxa"/>
          </w:tcPr>
          <w:p w14:paraId="35EF92CA" w14:textId="3BD6B13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A man is less responsible for rape if he is drunk or affected by drugs at the time^</w:t>
            </w:r>
          </w:p>
        </w:tc>
        <w:tc>
          <w:tcPr>
            <w:tcW w:w="1474" w:type="dxa"/>
          </w:tcPr>
          <w:p w14:paraId="42DF1212" w14:textId="365A323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02C50958" w14:textId="3D449B7B"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5C042F69" w14:textId="0C0D861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4.96</w:t>
            </w:r>
            <w:r w:rsidRPr="004A7ED7">
              <w:rPr>
                <w:rFonts w:cs="Open Sans"/>
                <w:szCs w:val="18"/>
                <w:vertAlign w:val="superscript"/>
              </w:rPr>
              <w:t>c</w:t>
            </w:r>
          </w:p>
        </w:tc>
        <w:tc>
          <w:tcPr>
            <w:tcW w:w="1304" w:type="dxa"/>
          </w:tcPr>
          <w:p w14:paraId="279BC310" w14:textId="7DDCFF7B"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2.94</w:t>
            </w:r>
            <w:r w:rsidRPr="004A7ED7">
              <w:rPr>
                <w:rFonts w:cs="Open Sans"/>
                <w:szCs w:val="18"/>
                <w:vertAlign w:val="superscript"/>
              </w:rPr>
              <w:t>c</w:t>
            </w:r>
          </w:p>
        </w:tc>
        <w:tc>
          <w:tcPr>
            <w:tcW w:w="1299" w:type="dxa"/>
          </w:tcPr>
          <w:p w14:paraId="1D970738" w14:textId="2242129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9.00</w:t>
            </w:r>
          </w:p>
        </w:tc>
        <w:tc>
          <w:tcPr>
            <w:tcW w:w="1077" w:type="dxa"/>
          </w:tcPr>
          <w:p w14:paraId="45FCB0FB" w14:textId="5BCEE1F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82.47</w:t>
            </w:r>
          </w:p>
        </w:tc>
        <w:tc>
          <w:tcPr>
            <w:tcW w:w="1247" w:type="dxa"/>
          </w:tcPr>
          <w:p w14:paraId="0A1E6B86" w14:textId="2ABFE81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0.46</w:t>
            </w:r>
            <w:r w:rsidRPr="004A7ED7">
              <w:rPr>
                <w:rFonts w:cs="Open Sans"/>
                <w:szCs w:val="18"/>
                <w:vertAlign w:val="superscript"/>
              </w:rPr>
              <w:t>c</w:t>
            </w:r>
          </w:p>
        </w:tc>
        <w:tc>
          <w:tcPr>
            <w:tcW w:w="1191" w:type="dxa"/>
          </w:tcPr>
          <w:p w14:paraId="4C0F9B17" w14:textId="1F38BED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7.90</w:t>
            </w:r>
          </w:p>
        </w:tc>
        <w:tc>
          <w:tcPr>
            <w:tcW w:w="1134" w:type="dxa"/>
          </w:tcPr>
          <w:p w14:paraId="0DBDB007" w14:textId="5EFED05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91.47</w:t>
            </w:r>
          </w:p>
        </w:tc>
      </w:tr>
      <w:tr w:rsidR="00064C7A" w:rsidRPr="004A7ED7" w14:paraId="12AE273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10A0778" w14:textId="77777777" w:rsidR="00064C7A" w:rsidRPr="004A7ED7" w:rsidRDefault="00064C7A" w:rsidP="00962748">
            <w:pPr>
              <w:pStyle w:val="Tablebody"/>
              <w:rPr>
                <w:rFonts w:cs="Open Sans"/>
                <w:szCs w:val="18"/>
                <w:lang w:val="en-GB"/>
              </w:rPr>
            </w:pPr>
            <w:r w:rsidRPr="004A7ED7">
              <w:rPr>
                <w:rFonts w:cs="Open Sans"/>
                <w:szCs w:val="18"/>
              </w:rPr>
              <w:t>V8</w:t>
            </w:r>
          </w:p>
        </w:tc>
        <w:tc>
          <w:tcPr>
            <w:tcW w:w="3912" w:type="dxa"/>
          </w:tcPr>
          <w:p w14:paraId="38CD6BD3" w14:textId="4E7D685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It’s only really stalking if it’s by a stranger^</w:t>
            </w:r>
          </w:p>
        </w:tc>
        <w:tc>
          <w:tcPr>
            <w:tcW w:w="1474" w:type="dxa"/>
          </w:tcPr>
          <w:p w14:paraId="3BAE4057"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6E71669" w14:textId="77777777"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3EAC9268" w14:textId="5A104C79"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1.80</w:t>
            </w:r>
            <w:r w:rsidRPr="004A7ED7">
              <w:rPr>
                <w:rFonts w:cs="Open Sans"/>
                <w:szCs w:val="18"/>
                <w:vertAlign w:val="superscript"/>
              </w:rPr>
              <w:t>c</w:t>
            </w:r>
          </w:p>
        </w:tc>
        <w:tc>
          <w:tcPr>
            <w:tcW w:w="1304" w:type="dxa"/>
          </w:tcPr>
          <w:p w14:paraId="3838BA90" w14:textId="13B43F03"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3.43</w:t>
            </w:r>
            <w:r w:rsidRPr="004A7ED7">
              <w:rPr>
                <w:rFonts w:cs="Open Sans"/>
                <w:szCs w:val="18"/>
                <w:vertAlign w:val="superscript"/>
              </w:rPr>
              <w:t>c</w:t>
            </w:r>
          </w:p>
        </w:tc>
        <w:tc>
          <w:tcPr>
            <w:tcW w:w="1299" w:type="dxa"/>
          </w:tcPr>
          <w:p w14:paraId="5F54635F" w14:textId="0F3CFED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7.28</w:t>
            </w:r>
          </w:p>
        </w:tc>
        <w:tc>
          <w:tcPr>
            <w:tcW w:w="1077" w:type="dxa"/>
          </w:tcPr>
          <w:p w14:paraId="001A5E81" w14:textId="2EDFD8B2"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86.20</w:t>
            </w:r>
          </w:p>
        </w:tc>
        <w:tc>
          <w:tcPr>
            <w:tcW w:w="1247" w:type="dxa"/>
          </w:tcPr>
          <w:p w14:paraId="6545CE6F" w14:textId="26953A9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1.08</w:t>
            </w:r>
            <w:r w:rsidRPr="004A7ED7">
              <w:rPr>
                <w:rFonts w:cs="Open Sans"/>
                <w:szCs w:val="18"/>
                <w:vertAlign w:val="superscript"/>
              </w:rPr>
              <w:t>c</w:t>
            </w:r>
          </w:p>
        </w:tc>
        <w:tc>
          <w:tcPr>
            <w:tcW w:w="1191" w:type="dxa"/>
          </w:tcPr>
          <w:p w14:paraId="14152EFC" w14:textId="6809A1E8"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5.22</w:t>
            </w:r>
          </w:p>
        </w:tc>
        <w:tc>
          <w:tcPr>
            <w:tcW w:w="1134" w:type="dxa"/>
          </w:tcPr>
          <w:p w14:paraId="33FD2CD8" w14:textId="3D000704"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93.47</w:t>
            </w:r>
          </w:p>
        </w:tc>
      </w:tr>
      <w:tr w:rsidR="00064C7A" w:rsidRPr="004A7ED7" w14:paraId="45BA8FD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DA7DB4D" w14:textId="35F1BF2A" w:rsidR="00064C7A" w:rsidRPr="004A7ED7" w:rsidRDefault="00064C7A" w:rsidP="00962748">
            <w:pPr>
              <w:pStyle w:val="Tablebody"/>
              <w:rPr>
                <w:rFonts w:cs="Open Sans"/>
                <w:szCs w:val="18"/>
              </w:rPr>
            </w:pPr>
            <w:r w:rsidRPr="004A7ED7">
              <w:rPr>
                <w:rFonts w:cs="Open Sans"/>
                <w:szCs w:val="18"/>
              </w:rPr>
              <w:t>V8</w:t>
            </w:r>
          </w:p>
        </w:tc>
        <w:tc>
          <w:tcPr>
            <w:tcW w:w="3912" w:type="dxa"/>
          </w:tcPr>
          <w:p w14:paraId="0B94FF2E" w14:textId="4FD6DA0B"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It’s only really stalking if it’s by a stranger^</w:t>
            </w:r>
          </w:p>
        </w:tc>
        <w:tc>
          <w:tcPr>
            <w:tcW w:w="1474" w:type="dxa"/>
          </w:tcPr>
          <w:p w14:paraId="6E0E31E5" w14:textId="0077BA1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319D0226" w14:textId="0C2A6231"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6F682B44" w14:textId="5105ABDF"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1.08</w:t>
            </w:r>
            <w:r w:rsidRPr="004A7ED7">
              <w:rPr>
                <w:rFonts w:cs="Open Sans"/>
                <w:szCs w:val="18"/>
                <w:vertAlign w:val="superscript"/>
              </w:rPr>
              <w:t>c</w:t>
            </w:r>
          </w:p>
        </w:tc>
        <w:tc>
          <w:tcPr>
            <w:tcW w:w="1304" w:type="dxa"/>
          </w:tcPr>
          <w:p w14:paraId="0A50CA24" w14:textId="619F6695"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2.85</w:t>
            </w:r>
            <w:r w:rsidRPr="004A7ED7">
              <w:rPr>
                <w:rFonts w:cs="Open Sans"/>
                <w:szCs w:val="18"/>
                <w:vertAlign w:val="superscript"/>
              </w:rPr>
              <w:t>c</w:t>
            </w:r>
          </w:p>
        </w:tc>
        <w:tc>
          <w:tcPr>
            <w:tcW w:w="1299" w:type="dxa"/>
          </w:tcPr>
          <w:p w14:paraId="5867730F" w14:textId="3B2F5F1C"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5.84</w:t>
            </w:r>
          </w:p>
        </w:tc>
        <w:tc>
          <w:tcPr>
            <w:tcW w:w="1077" w:type="dxa"/>
          </w:tcPr>
          <w:p w14:paraId="13B5F832" w14:textId="23608E1D"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89.84</w:t>
            </w:r>
          </w:p>
        </w:tc>
        <w:tc>
          <w:tcPr>
            <w:tcW w:w="1247" w:type="dxa"/>
          </w:tcPr>
          <w:p w14:paraId="46FF3F4D" w14:textId="4A38B950"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0.38</w:t>
            </w:r>
            <w:r w:rsidRPr="004A7ED7">
              <w:rPr>
                <w:rFonts w:cs="Open Sans"/>
                <w:szCs w:val="18"/>
                <w:vertAlign w:val="superscript"/>
              </w:rPr>
              <w:t>c</w:t>
            </w:r>
          </w:p>
        </w:tc>
        <w:tc>
          <w:tcPr>
            <w:tcW w:w="1191" w:type="dxa"/>
          </w:tcPr>
          <w:p w14:paraId="492C3C19" w14:textId="7D2A168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3.94</w:t>
            </w:r>
            <w:r w:rsidRPr="004A7ED7">
              <w:rPr>
                <w:rFonts w:cs="Open Sans"/>
                <w:szCs w:val="18"/>
                <w:vertAlign w:val="superscript"/>
              </w:rPr>
              <w:t>c</w:t>
            </w:r>
          </w:p>
        </w:tc>
        <w:tc>
          <w:tcPr>
            <w:tcW w:w="1134" w:type="dxa"/>
          </w:tcPr>
          <w:p w14:paraId="410A5DBA" w14:textId="52AF9C3A" w:rsidR="00064C7A" w:rsidRPr="004A7ED7" w:rsidRDefault="00064C7A"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95.69</w:t>
            </w:r>
          </w:p>
        </w:tc>
      </w:tr>
    </w:tbl>
    <w:p w14:paraId="0D269E7F" w14:textId="3C2B6770" w:rsidR="009C08D2" w:rsidRDefault="007F6FF6" w:rsidP="00966261">
      <w:pPr>
        <w:pStyle w:val="Tablesubheading0"/>
      </w:pPr>
      <w:r>
        <w:lastRenderedPageBreak/>
        <w:t>Subscale:</w:t>
      </w:r>
      <w:r w:rsidRPr="007F6FF6">
        <w:t xml:space="preserve"> </w:t>
      </w:r>
      <w:r w:rsidRPr="00531840">
        <w:t>Mistrust Women</w:t>
      </w:r>
    </w:p>
    <w:tbl>
      <w:tblPr>
        <w:tblStyle w:val="Table-SingleHeaderRow"/>
        <w:tblW w:w="0" w:type="auto"/>
        <w:tblLayout w:type="fixed"/>
        <w:tblLook w:val="00A0" w:firstRow="1" w:lastRow="0" w:firstColumn="1" w:lastColumn="0" w:noHBand="0" w:noVBand="0"/>
      </w:tblPr>
      <w:tblGrid>
        <w:gridCol w:w="723"/>
        <w:gridCol w:w="3912"/>
        <w:gridCol w:w="1474"/>
        <w:gridCol w:w="567"/>
        <w:gridCol w:w="1021"/>
        <w:gridCol w:w="1304"/>
        <w:gridCol w:w="1299"/>
        <w:gridCol w:w="1077"/>
        <w:gridCol w:w="1247"/>
        <w:gridCol w:w="1191"/>
        <w:gridCol w:w="1134"/>
      </w:tblGrid>
      <w:tr w:rsidR="007F6FF6" w:rsidRPr="004A7ED7" w14:paraId="0B96E6C0"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23" w:type="dxa"/>
          </w:tcPr>
          <w:p w14:paraId="63DC8069" w14:textId="77777777" w:rsidR="007F6FF6" w:rsidRPr="004A7ED7" w:rsidRDefault="007F6FF6" w:rsidP="00962748">
            <w:pPr>
              <w:pStyle w:val="Tablebody"/>
              <w:rPr>
                <w:b w:val="0"/>
                <w:lang w:val="en-GB"/>
              </w:rPr>
            </w:pPr>
            <w:r w:rsidRPr="004A7ED7">
              <w:t>Code</w:t>
            </w:r>
          </w:p>
        </w:tc>
        <w:tc>
          <w:tcPr>
            <w:tcW w:w="3912" w:type="dxa"/>
          </w:tcPr>
          <w:p w14:paraId="1D372353"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Abbreviated item wording</w:t>
            </w:r>
          </w:p>
        </w:tc>
        <w:tc>
          <w:tcPr>
            <w:tcW w:w="1474" w:type="dxa"/>
          </w:tcPr>
          <w:p w14:paraId="6752DF32"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Age</w:t>
            </w:r>
          </w:p>
        </w:tc>
        <w:tc>
          <w:tcPr>
            <w:tcW w:w="567" w:type="dxa"/>
          </w:tcPr>
          <w:p w14:paraId="71497C45"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A7ED7">
              <w:rPr>
                <w:rStyle w:val="Emphasis"/>
                <w:lang w:val="en-US"/>
              </w:rPr>
              <w:t>N</w:t>
            </w:r>
          </w:p>
        </w:tc>
        <w:tc>
          <w:tcPr>
            <w:tcW w:w="1021" w:type="dxa"/>
          </w:tcPr>
          <w:p w14:paraId="2B314D9E"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agree</w:t>
            </w:r>
          </w:p>
        </w:tc>
        <w:tc>
          <w:tcPr>
            <w:tcW w:w="1304" w:type="dxa"/>
          </w:tcPr>
          <w:p w14:paraId="1D7B6544"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agree</w:t>
            </w:r>
          </w:p>
        </w:tc>
        <w:tc>
          <w:tcPr>
            <w:tcW w:w="1299" w:type="dxa"/>
          </w:tcPr>
          <w:p w14:paraId="21E8A464"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disagree</w:t>
            </w:r>
          </w:p>
        </w:tc>
        <w:tc>
          <w:tcPr>
            <w:tcW w:w="1077" w:type="dxa"/>
          </w:tcPr>
          <w:p w14:paraId="74F75D20"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disagree</w:t>
            </w:r>
          </w:p>
        </w:tc>
        <w:tc>
          <w:tcPr>
            <w:tcW w:w="1247" w:type="dxa"/>
          </w:tcPr>
          <w:p w14:paraId="50BC9BCC"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Undecided</w:t>
            </w:r>
          </w:p>
        </w:tc>
        <w:tc>
          <w:tcPr>
            <w:tcW w:w="1191" w:type="dxa"/>
          </w:tcPr>
          <w:p w14:paraId="6EB1AEA8"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agree</w:t>
            </w:r>
            <w:r w:rsidRPr="004A7ED7">
              <w:rPr>
                <w:vertAlign w:val="superscript"/>
              </w:rPr>
              <w:t>a</w:t>
            </w:r>
          </w:p>
        </w:tc>
        <w:tc>
          <w:tcPr>
            <w:tcW w:w="1134" w:type="dxa"/>
          </w:tcPr>
          <w:p w14:paraId="31866329" w14:textId="77777777" w:rsidR="007F6FF6" w:rsidRPr="004A7ED7" w:rsidRDefault="007F6FF6"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disagree</w:t>
            </w:r>
            <w:r w:rsidRPr="004A7ED7">
              <w:rPr>
                <w:vertAlign w:val="superscript"/>
              </w:rPr>
              <w:t>b</w:t>
            </w:r>
          </w:p>
        </w:tc>
      </w:tr>
      <w:tr w:rsidR="00414168" w:rsidRPr="004A7ED7" w14:paraId="329AFB1B"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1DD9BE2" w14:textId="77777777" w:rsidR="00414168" w:rsidRPr="004A7ED7" w:rsidRDefault="00414168" w:rsidP="00962748">
            <w:pPr>
              <w:pStyle w:val="Tablebody"/>
              <w:rPr>
                <w:rFonts w:cs="Open Sans"/>
                <w:szCs w:val="18"/>
                <w:lang w:val="en-GB"/>
              </w:rPr>
            </w:pPr>
            <w:r w:rsidRPr="004A7ED7">
              <w:rPr>
                <w:rFonts w:cs="Open Sans"/>
                <w:szCs w:val="18"/>
              </w:rPr>
              <w:t>D23</w:t>
            </w:r>
          </w:p>
        </w:tc>
        <w:tc>
          <w:tcPr>
            <w:tcW w:w="3912" w:type="dxa"/>
          </w:tcPr>
          <w:p w14:paraId="0DB22298" w14:textId="1EE79229"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going through custody battles often make up or exaggerate claims of</w:t>
            </w:r>
            <w:r>
              <w:rPr>
                <w:rFonts w:cs="Open Sans"/>
                <w:szCs w:val="18"/>
                <w:lang w:val="en-US"/>
              </w:rPr>
              <w:t> </w:t>
            </w:r>
            <w:r w:rsidRPr="004A7ED7">
              <w:rPr>
                <w:rFonts w:cs="Open Sans"/>
                <w:szCs w:val="18"/>
                <w:lang w:val="en-US"/>
              </w:rPr>
              <w:t>domestic violence in order to improve their case^</w:t>
            </w:r>
          </w:p>
        </w:tc>
        <w:tc>
          <w:tcPr>
            <w:tcW w:w="1474" w:type="dxa"/>
          </w:tcPr>
          <w:p w14:paraId="05E5CD81"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5C098EC0"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6BED5F9C" w14:textId="39744956"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6.47</w:t>
            </w:r>
          </w:p>
        </w:tc>
        <w:tc>
          <w:tcPr>
            <w:tcW w:w="1304" w:type="dxa"/>
          </w:tcPr>
          <w:p w14:paraId="37F77EDA" w14:textId="7ACE9A80"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30.27*</w:t>
            </w:r>
          </w:p>
        </w:tc>
        <w:tc>
          <w:tcPr>
            <w:tcW w:w="1299" w:type="dxa"/>
          </w:tcPr>
          <w:p w14:paraId="65D31F47" w14:textId="2A575F6C"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29.27</w:t>
            </w:r>
          </w:p>
        </w:tc>
        <w:tc>
          <w:tcPr>
            <w:tcW w:w="1077" w:type="dxa"/>
          </w:tcPr>
          <w:p w14:paraId="64FB0951" w14:textId="0B68AB7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15.08*</w:t>
            </w:r>
          </w:p>
        </w:tc>
        <w:tc>
          <w:tcPr>
            <w:tcW w:w="1247" w:type="dxa"/>
          </w:tcPr>
          <w:p w14:paraId="02F5C8A6" w14:textId="6D62ADB5"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18.56*</w:t>
            </w:r>
          </w:p>
        </w:tc>
        <w:tc>
          <w:tcPr>
            <w:tcW w:w="1191" w:type="dxa"/>
          </w:tcPr>
          <w:p w14:paraId="0B61F80A" w14:textId="7DAEFA7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36.73*</w:t>
            </w:r>
          </w:p>
        </w:tc>
        <w:tc>
          <w:tcPr>
            <w:tcW w:w="1134" w:type="dxa"/>
          </w:tcPr>
          <w:p w14:paraId="59C340D4" w14:textId="549CBD85"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44.35*</w:t>
            </w:r>
          </w:p>
        </w:tc>
      </w:tr>
      <w:tr w:rsidR="00414168" w:rsidRPr="004A7ED7" w14:paraId="62A774C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A49F6AD" w14:textId="2BDAF452" w:rsidR="00414168" w:rsidRPr="004A7ED7" w:rsidRDefault="00414168" w:rsidP="00962748">
            <w:pPr>
              <w:pStyle w:val="Tablebody"/>
              <w:rPr>
                <w:rFonts w:cs="Open Sans"/>
                <w:szCs w:val="18"/>
              </w:rPr>
            </w:pPr>
            <w:r w:rsidRPr="004A7ED7">
              <w:rPr>
                <w:rFonts w:cs="Open Sans"/>
                <w:szCs w:val="18"/>
              </w:rPr>
              <w:t>D23</w:t>
            </w:r>
          </w:p>
        </w:tc>
        <w:tc>
          <w:tcPr>
            <w:tcW w:w="3912" w:type="dxa"/>
          </w:tcPr>
          <w:p w14:paraId="528908F6" w14:textId="21B6027C"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going through custody battles often make up or exaggerate claims of</w:t>
            </w:r>
            <w:r>
              <w:rPr>
                <w:rFonts w:cs="Open Sans"/>
                <w:szCs w:val="18"/>
                <w:lang w:val="en-US"/>
              </w:rPr>
              <w:t> </w:t>
            </w:r>
            <w:r w:rsidRPr="004A7ED7">
              <w:rPr>
                <w:rFonts w:cs="Open Sans"/>
                <w:szCs w:val="18"/>
                <w:lang w:val="en-US"/>
              </w:rPr>
              <w:t>domestic violence in order to improve their case^</w:t>
            </w:r>
          </w:p>
        </w:tc>
        <w:tc>
          <w:tcPr>
            <w:tcW w:w="1474" w:type="dxa"/>
          </w:tcPr>
          <w:p w14:paraId="6E29B575" w14:textId="540D837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51233F84" w14:textId="2578ED0E"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0999ABBB" w14:textId="159596BA" w:rsidR="00414168" w:rsidRPr="00414168"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3.96</w:t>
            </w:r>
            <w:r w:rsidRPr="004A7ED7">
              <w:rPr>
                <w:rFonts w:cs="Open Sans"/>
                <w:szCs w:val="18"/>
                <w:vertAlign w:val="superscript"/>
              </w:rPr>
              <w:t>c</w:t>
            </w:r>
          </w:p>
        </w:tc>
        <w:tc>
          <w:tcPr>
            <w:tcW w:w="1304" w:type="dxa"/>
          </w:tcPr>
          <w:p w14:paraId="17C5347D" w14:textId="630A1A0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19.24*</w:t>
            </w:r>
          </w:p>
        </w:tc>
        <w:tc>
          <w:tcPr>
            <w:tcW w:w="1299" w:type="dxa"/>
          </w:tcPr>
          <w:p w14:paraId="309178D3" w14:textId="326198F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38.11</w:t>
            </w:r>
          </w:p>
        </w:tc>
        <w:tc>
          <w:tcPr>
            <w:tcW w:w="1077" w:type="dxa"/>
          </w:tcPr>
          <w:p w14:paraId="200F6FAD" w14:textId="4986E1D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32.08*</w:t>
            </w:r>
          </w:p>
        </w:tc>
        <w:tc>
          <w:tcPr>
            <w:tcW w:w="1247" w:type="dxa"/>
          </w:tcPr>
          <w:p w14:paraId="1A1FD8B8" w14:textId="202CAFD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6.48*</w:t>
            </w:r>
          </w:p>
        </w:tc>
        <w:tc>
          <w:tcPr>
            <w:tcW w:w="1191" w:type="dxa"/>
          </w:tcPr>
          <w:p w14:paraId="20BF5FA7" w14:textId="3CCB1E2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23.20*</w:t>
            </w:r>
          </w:p>
        </w:tc>
        <w:tc>
          <w:tcPr>
            <w:tcW w:w="1134" w:type="dxa"/>
          </w:tcPr>
          <w:p w14:paraId="7490660A" w14:textId="299BAF31"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70.19*</w:t>
            </w:r>
          </w:p>
        </w:tc>
      </w:tr>
      <w:tr w:rsidR="00414168" w:rsidRPr="004A7ED7" w14:paraId="23AD981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3675568" w14:textId="77777777" w:rsidR="00414168" w:rsidRPr="004A7ED7" w:rsidRDefault="00414168" w:rsidP="00962748">
            <w:pPr>
              <w:pStyle w:val="Tablebody"/>
              <w:rPr>
                <w:rFonts w:cs="Open Sans"/>
                <w:szCs w:val="18"/>
                <w:lang w:val="en-GB"/>
              </w:rPr>
            </w:pPr>
            <w:r w:rsidRPr="004A7ED7">
              <w:rPr>
                <w:rFonts w:cs="Open Sans"/>
                <w:szCs w:val="18"/>
              </w:rPr>
              <w:t>D27</w:t>
            </w:r>
          </w:p>
        </w:tc>
        <w:tc>
          <w:tcPr>
            <w:tcW w:w="3912" w:type="dxa"/>
          </w:tcPr>
          <w:p w14:paraId="5E4469A5" w14:textId="0DFFF7CB"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keeps going back to her abusive</w:t>
            </w:r>
            <w:r>
              <w:rPr>
                <w:rFonts w:cs="Open Sans"/>
                <w:szCs w:val="18"/>
                <w:lang w:val="en-US"/>
              </w:rPr>
              <w:t> </w:t>
            </w:r>
            <w:r w:rsidRPr="004A7ED7">
              <w:rPr>
                <w:rFonts w:cs="Open Sans"/>
                <w:szCs w:val="18"/>
                <w:lang w:val="en-US"/>
              </w:rPr>
              <w:t>partner, then the violence can’t be</w:t>
            </w:r>
            <w:r>
              <w:rPr>
                <w:rFonts w:cs="Open Sans"/>
                <w:szCs w:val="18"/>
                <w:lang w:val="en-US"/>
              </w:rPr>
              <w:t> </w:t>
            </w:r>
            <w:r w:rsidRPr="004A7ED7">
              <w:rPr>
                <w:rFonts w:cs="Open Sans"/>
                <w:szCs w:val="18"/>
                <w:lang w:val="en-US"/>
              </w:rPr>
              <w:t>very</w:t>
            </w:r>
            <w:r>
              <w:rPr>
                <w:rFonts w:cs="Open Sans"/>
                <w:szCs w:val="18"/>
                <w:lang w:val="en-US"/>
              </w:rPr>
              <w:t> </w:t>
            </w:r>
            <w:r w:rsidRPr="004A7ED7">
              <w:rPr>
                <w:rFonts w:cs="Open Sans"/>
                <w:szCs w:val="18"/>
                <w:lang w:val="en-US"/>
              </w:rPr>
              <w:t>serious^</w:t>
            </w:r>
          </w:p>
        </w:tc>
        <w:tc>
          <w:tcPr>
            <w:tcW w:w="1474" w:type="dxa"/>
          </w:tcPr>
          <w:p w14:paraId="0195CA51"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6A7F4410"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070F726C" w14:textId="26C40DAD"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3.15</w:t>
            </w:r>
            <w:r w:rsidRPr="004A7ED7">
              <w:rPr>
                <w:rFonts w:cs="Open Sans"/>
                <w:szCs w:val="18"/>
                <w:vertAlign w:val="superscript"/>
              </w:rPr>
              <w:t>c</w:t>
            </w:r>
          </w:p>
        </w:tc>
        <w:tc>
          <w:tcPr>
            <w:tcW w:w="1304" w:type="dxa"/>
          </w:tcPr>
          <w:p w14:paraId="3E29578A" w14:textId="2A7D2989"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11.62</w:t>
            </w:r>
          </w:p>
        </w:tc>
        <w:tc>
          <w:tcPr>
            <w:tcW w:w="1299" w:type="dxa"/>
          </w:tcPr>
          <w:p w14:paraId="2DB5B526" w14:textId="4AB7653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19.85</w:t>
            </w:r>
          </w:p>
        </w:tc>
        <w:tc>
          <w:tcPr>
            <w:tcW w:w="1077" w:type="dxa"/>
          </w:tcPr>
          <w:p w14:paraId="42245D6A" w14:textId="33037321"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63.47</w:t>
            </w:r>
          </w:p>
        </w:tc>
        <w:tc>
          <w:tcPr>
            <w:tcW w:w="1247" w:type="dxa"/>
          </w:tcPr>
          <w:p w14:paraId="60CB4E78" w14:textId="043C80F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1.91</w:t>
            </w:r>
            <w:r w:rsidRPr="004A7ED7">
              <w:rPr>
                <w:rFonts w:cs="Open Sans"/>
                <w:szCs w:val="18"/>
                <w:vertAlign w:val="superscript"/>
              </w:rPr>
              <w:t>c</w:t>
            </w:r>
          </w:p>
        </w:tc>
        <w:tc>
          <w:tcPr>
            <w:tcW w:w="1191" w:type="dxa"/>
          </w:tcPr>
          <w:p w14:paraId="57DC5CAE" w14:textId="7423F7C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14.77</w:t>
            </w:r>
          </w:p>
        </w:tc>
        <w:tc>
          <w:tcPr>
            <w:tcW w:w="1134" w:type="dxa"/>
          </w:tcPr>
          <w:p w14:paraId="0E9921AD" w14:textId="298A3F45"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83.32</w:t>
            </w:r>
          </w:p>
        </w:tc>
      </w:tr>
      <w:tr w:rsidR="00414168" w:rsidRPr="004A7ED7" w14:paraId="081D29E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9A8BFA3" w14:textId="01DB3C3D" w:rsidR="00414168" w:rsidRPr="004A7ED7" w:rsidRDefault="00414168" w:rsidP="00962748">
            <w:pPr>
              <w:pStyle w:val="Tablebody"/>
              <w:rPr>
                <w:rFonts w:cs="Open Sans"/>
                <w:szCs w:val="18"/>
              </w:rPr>
            </w:pPr>
            <w:r w:rsidRPr="004A7ED7">
              <w:rPr>
                <w:rFonts w:cs="Open Sans"/>
                <w:szCs w:val="18"/>
              </w:rPr>
              <w:t>D27</w:t>
            </w:r>
          </w:p>
        </w:tc>
        <w:tc>
          <w:tcPr>
            <w:tcW w:w="3912" w:type="dxa"/>
          </w:tcPr>
          <w:p w14:paraId="49CCA46F" w14:textId="5CE6BDAE"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keeps going back to her abusive</w:t>
            </w:r>
            <w:r>
              <w:rPr>
                <w:rFonts w:cs="Open Sans"/>
                <w:szCs w:val="18"/>
                <w:lang w:val="en-US"/>
              </w:rPr>
              <w:t> </w:t>
            </w:r>
            <w:r w:rsidRPr="004A7ED7">
              <w:rPr>
                <w:rFonts w:cs="Open Sans"/>
                <w:szCs w:val="18"/>
                <w:lang w:val="en-US"/>
              </w:rPr>
              <w:t>partner, then the violence can’t be</w:t>
            </w:r>
            <w:r>
              <w:rPr>
                <w:rFonts w:cs="Open Sans"/>
                <w:szCs w:val="18"/>
                <w:lang w:val="en-US"/>
              </w:rPr>
              <w:t> </w:t>
            </w:r>
            <w:r w:rsidRPr="004A7ED7">
              <w:rPr>
                <w:rFonts w:cs="Open Sans"/>
                <w:szCs w:val="18"/>
                <w:lang w:val="en-US"/>
              </w:rPr>
              <w:t>very</w:t>
            </w:r>
            <w:r>
              <w:rPr>
                <w:rFonts w:cs="Open Sans"/>
                <w:szCs w:val="18"/>
                <w:lang w:val="en-US"/>
              </w:rPr>
              <w:t> </w:t>
            </w:r>
            <w:r w:rsidRPr="004A7ED7">
              <w:rPr>
                <w:rFonts w:cs="Open Sans"/>
                <w:szCs w:val="18"/>
                <w:lang w:val="en-US"/>
              </w:rPr>
              <w:t>serious^</w:t>
            </w:r>
          </w:p>
        </w:tc>
        <w:tc>
          <w:tcPr>
            <w:tcW w:w="1474" w:type="dxa"/>
          </w:tcPr>
          <w:p w14:paraId="4ACD1675" w14:textId="618BC4EC"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38E36211" w14:textId="4A0E88F2"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6077AD74" w14:textId="4A4D70DA" w:rsidR="00414168" w:rsidRPr="00414168"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3.91</w:t>
            </w:r>
            <w:r w:rsidRPr="004A7ED7">
              <w:rPr>
                <w:rFonts w:cs="Open Sans"/>
                <w:szCs w:val="18"/>
                <w:vertAlign w:val="superscript"/>
              </w:rPr>
              <w:t>c</w:t>
            </w:r>
          </w:p>
        </w:tc>
        <w:tc>
          <w:tcPr>
            <w:tcW w:w="1304" w:type="dxa"/>
          </w:tcPr>
          <w:p w14:paraId="1D2CB808" w14:textId="2592CA53"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5.80</w:t>
            </w:r>
            <w:r w:rsidRPr="004A7ED7">
              <w:rPr>
                <w:rFonts w:cs="Open Sans"/>
                <w:szCs w:val="18"/>
                <w:vertAlign w:val="superscript"/>
              </w:rPr>
              <w:t>c</w:t>
            </w:r>
          </w:p>
        </w:tc>
        <w:tc>
          <w:tcPr>
            <w:tcW w:w="1299" w:type="dxa"/>
          </w:tcPr>
          <w:p w14:paraId="34E43465" w14:textId="799ECAE0"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17.44</w:t>
            </w:r>
          </w:p>
        </w:tc>
        <w:tc>
          <w:tcPr>
            <w:tcW w:w="1077" w:type="dxa"/>
          </w:tcPr>
          <w:p w14:paraId="6545411E" w14:textId="2E3AD0F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72.16</w:t>
            </w:r>
          </w:p>
        </w:tc>
        <w:tc>
          <w:tcPr>
            <w:tcW w:w="1247" w:type="dxa"/>
          </w:tcPr>
          <w:p w14:paraId="28365613" w14:textId="5BC0885F" w:rsidR="00414168" w:rsidRPr="00414168"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0.68</w:t>
            </w:r>
            <w:r w:rsidRPr="004A7ED7">
              <w:rPr>
                <w:rFonts w:cs="Open Sans"/>
                <w:szCs w:val="18"/>
                <w:vertAlign w:val="superscript"/>
              </w:rPr>
              <w:t>c</w:t>
            </w:r>
          </w:p>
        </w:tc>
        <w:tc>
          <w:tcPr>
            <w:tcW w:w="1191" w:type="dxa"/>
          </w:tcPr>
          <w:p w14:paraId="1A7CA838" w14:textId="28F93F7B"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9.71</w:t>
            </w:r>
          </w:p>
        </w:tc>
        <w:tc>
          <w:tcPr>
            <w:tcW w:w="1134" w:type="dxa"/>
          </w:tcPr>
          <w:p w14:paraId="43C217F0" w14:textId="4FF65A3F"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89.60</w:t>
            </w:r>
          </w:p>
        </w:tc>
      </w:tr>
      <w:tr w:rsidR="00414168" w:rsidRPr="004A7ED7" w14:paraId="1DA9856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C8B834D" w14:textId="77777777" w:rsidR="00414168" w:rsidRPr="004A7ED7" w:rsidRDefault="00414168" w:rsidP="00962748">
            <w:pPr>
              <w:pStyle w:val="Tablebody"/>
              <w:rPr>
                <w:rFonts w:cs="Open Sans"/>
                <w:szCs w:val="18"/>
                <w:lang w:val="en-GB"/>
              </w:rPr>
            </w:pPr>
            <w:r w:rsidRPr="004A7ED7">
              <w:rPr>
                <w:rFonts w:cs="Open Sans"/>
                <w:szCs w:val="18"/>
              </w:rPr>
              <w:t>D28</w:t>
            </w:r>
          </w:p>
        </w:tc>
        <w:tc>
          <w:tcPr>
            <w:tcW w:w="3912" w:type="dxa"/>
          </w:tcPr>
          <w:p w14:paraId="1F390335"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It’s easy for a woman to leave an abusive relationship^</w:t>
            </w:r>
          </w:p>
        </w:tc>
        <w:tc>
          <w:tcPr>
            <w:tcW w:w="1474" w:type="dxa"/>
          </w:tcPr>
          <w:p w14:paraId="693CC0BF"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5ABB5DF0"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3320FBD7" w14:textId="48589D3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5.30</w:t>
            </w:r>
          </w:p>
        </w:tc>
        <w:tc>
          <w:tcPr>
            <w:tcW w:w="1304" w:type="dxa"/>
          </w:tcPr>
          <w:p w14:paraId="6B5097DB" w14:textId="00E4CC12"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4.51</w:t>
            </w:r>
          </w:p>
        </w:tc>
        <w:tc>
          <w:tcPr>
            <w:tcW w:w="1299" w:type="dxa"/>
          </w:tcPr>
          <w:p w14:paraId="2F748A98" w14:textId="56933811"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27.23*</w:t>
            </w:r>
          </w:p>
        </w:tc>
        <w:tc>
          <w:tcPr>
            <w:tcW w:w="1077" w:type="dxa"/>
          </w:tcPr>
          <w:p w14:paraId="030C8AD7" w14:textId="362BF0C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59.92*</w:t>
            </w:r>
          </w:p>
        </w:tc>
        <w:tc>
          <w:tcPr>
            <w:tcW w:w="1247" w:type="dxa"/>
          </w:tcPr>
          <w:p w14:paraId="43782EA3" w14:textId="4EC0F695"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3.05</w:t>
            </w:r>
            <w:r w:rsidRPr="004A7ED7">
              <w:rPr>
                <w:rFonts w:cs="Open Sans"/>
                <w:szCs w:val="18"/>
                <w:vertAlign w:val="superscript"/>
              </w:rPr>
              <w:t>c</w:t>
            </w:r>
          </w:p>
        </w:tc>
        <w:tc>
          <w:tcPr>
            <w:tcW w:w="1191" w:type="dxa"/>
          </w:tcPr>
          <w:p w14:paraId="06618928" w14:textId="40A7E7D5"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9.80</w:t>
            </w:r>
          </w:p>
        </w:tc>
        <w:tc>
          <w:tcPr>
            <w:tcW w:w="1134" w:type="dxa"/>
          </w:tcPr>
          <w:p w14:paraId="7405CD7F" w14:textId="7CF5C45B"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87.15</w:t>
            </w:r>
          </w:p>
        </w:tc>
      </w:tr>
      <w:tr w:rsidR="00414168" w:rsidRPr="004A7ED7" w14:paraId="58CC361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098DBDD" w14:textId="53767BF9" w:rsidR="00414168" w:rsidRPr="004A7ED7" w:rsidRDefault="00414168" w:rsidP="00962748">
            <w:pPr>
              <w:pStyle w:val="Tablebody"/>
              <w:rPr>
                <w:rFonts w:cs="Open Sans"/>
                <w:szCs w:val="18"/>
              </w:rPr>
            </w:pPr>
            <w:r w:rsidRPr="004A7ED7">
              <w:rPr>
                <w:rFonts w:cs="Open Sans"/>
                <w:szCs w:val="18"/>
              </w:rPr>
              <w:t>D28</w:t>
            </w:r>
          </w:p>
        </w:tc>
        <w:tc>
          <w:tcPr>
            <w:tcW w:w="3912" w:type="dxa"/>
          </w:tcPr>
          <w:p w14:paraId="73377942" w14:textId="0E2BDA1D"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It’s easy for a woman to leave an abusive relationship^</w:t>
            </w:r>
          </w:p>
        </w:tc>
        <w:tc>
          <w:tcPr>
            <w:tcW w:w="1474" w:type="dxa"/>
          </w:tcPr>
          <w:p w14:paraId="3233E039" w14:textId="435B398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0B2DBF4E" w14:textId="1DBA5286"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20124674" w14:textId="17EF2E38" w:rsidR="00414168" w:rsidRPr="00414168"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6.56</w:t>
            </w:r>
            <w:r w:rsidRPr="004A7ED7">
              <w:rPr>
                <w:rFonts w:cs="Open Sans"/>
                <w:szCs w:val="18"/>
                <w:vertAlign w:val="superscript"/>
              </w:rPr>
              <w:t>c</w:t>
            </w:r>
          </w:p>
        </w:tc>
        <w:tc>
          <w:tcPr>
            <w:tcW w:w="1304" w:type="dxa"/>
          </w:tcPr>
          <w:p w14:paraId="524E1509" w14:textId="467C31E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3.12</w:t>
            </w:r>
            <w:r w:rsidRPr="004A7ED7">
              <w:rPr>
                <w:rFonts w:cs="Open Sans"/>
                <w:szCs w:val="18"/>
                <w:vertAlign w:val="superscript"/>
              </w:rPr>
              <w:t>c</w:t>
            </w:r>
          </w:p>
        </w:tc>
        <w:tc>
          <w:tcPr>
            <w:tcW w:w="1299" w:type="dxa"/>
          </w:tcPr>
          <w:p w14:paraId="7B5E7F0C" w14:textId="68DAD624"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14.24*</w:t>
            </w:r>
          </w:p>
        </w:tc>
        <w:tc>
          <w:tcPr>
            <w:tcW w:w="1077" w:type="dxa"/>
          </w:tcPr>
          <w:p w14:paraId="01ED8E04" w14:textId="3A2EF2F8"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76.07*</w:t>
            </w:r>
          </w:p>
        </w:tc>
        <w:tc>
          <w:tcPr>
            <w:tcW w:w="1247" w:type="dxa"/>
          </w:tcPr>
          <w:p w14:paraId="3D34F254" w14:textId="34E0ABCB"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0.00</w:t>
            </w:r>
          </w:p>
        </w:tc>
        <w:tc>
          <w:tcPr>
            <w:tcW w:w="1191" w:type="dxa"/>
          </w:tcPr>
          <w:p w14:paraId="6D3CC657" w14:textId="30975246"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9.69</w:t>
            </w:r>
          </w:p>
        </w:tc>
        <w:tc>
          <w:tcPr>
            <w:tcW w:w="1134" w:type="dxa"/>
          </w:tcPr>
          <w:p w14:paraId="2BF107FD" w14:textId="1761B59A"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90.31</w:t>
            </w:r>
          </w:p>
        </w:tc>
      </w:tr>
      <w:tr w:rsidR="00414168" w:rsidRPr="004A7ED7" w14:paraId="776B3C8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49A4EB9B" w14:textId="77777777" w:rsidR="00414168" w:rsidRPr="004A7ED7" w:rsidRDefault="00414168" w:rsidP="00962748">
            <w:pPr>
              <w:pStyle w:val="Tablebody"/>
              <w:rPr>
                <w:rFonts w:cs="Open Sans"/>
                <w:szCs w:val="18"/>
                <w:lang w:val="en-GB"/>
              </w:rPr>
            </w:pPr>
            <w:r w:rsidRPr="004A7ED7">
              <w:rPr>
                <w:rFonts w:cs="Open Sans"/>
                <w:szCs w:val="18"/>
              </w:rPr>
              <w:t>D29</w:t>
            </w:r>
          </w:p>
        </w:tc>
        <w:tc>
          <w:tcPr>
            <w:tcW w:w="3912" w:type="dxa"/>
          </w:tcPr>
          <w:p w14:paraId="56EF6DC0"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A female victim who does not leave an abusive partner is partly responsible for the abuse continuing</w:t>
            </w:r>
          </w:p>
        </w:tc>
        <w:tc>
          <w:tcPr>
            <w:tcW w:w="1474" w:type="dxa"/>
          </w:tcPr>
          <w:p w14:paraId="3A5253CA"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03653B96" w14:textId="77777777"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1BA90828" w14:textId="2B2DB66D"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5.41</w:t>
            </w:r>
          </w:p>
        </w:tc>
        <w:tc>
          <w:tcPr>
            <w:tcW w:w="1304" w:type="dxa"/>
          </w:tcPr>
          <w:p w14:paraId="33AC1BD6" w14:textId="4DCCD7B6"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26.09*</w:t>
            </w:r>
          </w:p>
        </w:tc>
        <w:tc>
          <w:tcPr>
            <w:tcW w:w="1299" w:type="dxa"/>
          </w:tcPr>
          <w:p w14:paraId="6BDF9DE0" w14:textId="2E56077C"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25.01*</w:t>
            </w:r>
          </w:p>
        </w:tc>
        <w:tc>
          <w:tcPr>
            <w:tcW w:w="1077" w:type="dxa"/>
          </w:tcPr>
          <w:p w14:paraId="51486EED" w14:textId="3569E2CF"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40.86*</w:t>
            </w:r>
          </w:p>
        </w:tc>
        <w:tc>
          <w:tcPr>
            <w:tcW w:w="1247" w:type="dxa"/>
          </w:tcPr>
          <w:p w14:paraId="06C76E50" w14:textId="40A6AAE6"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2.63</w:t>
            </w:r>
          </w:p>
        </w:tc>
        <w:tc>
          <w:tcPr>
            <w:tcW w:w="1191" w:type="dxa"/>
          </w:tcPr>
          <w:p w14:paraId="3C4A21B9" w14:textId="57510BFF"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31.50*</w:t>
            </w:r>
          </w:p>
        </w:tc>
        <w:tc>
          <w:tcPr>
            <w:tcW w:w="1134" w:type="dxa"/>
          </w:tcPr>
          <w:p w14:paraId="2B7D0D12" w14:textId="5B460E33" w:rsidR="00414168" w:rsidRPr="004A7ED7" w:rsidRDefault="0041416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65.87*</w:t>
            </w:r>
          </w:p>
        </w:tc>
      </w:tr>
      <w:tr w:rsidR="002E24BD" w:rsidRPr="004A7ED7" w14:paraId="2362801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ECD1C74" w14:textId="40B1E5C4" w:rsidR="002E24BD" w:rsidRPr="004A7ED7" w:rsidRDefault="002E24BD" w:rsidP="00962748">
            <w:pPr>
              <w:pStyle w:val="Tablebody"/>
              <w:rPr>
                <w:rFonts w:cs="Open Sans"/>
                <w:szCs w:val="18"/>
              </w:rPr>
            </w:pPr>
            <w:r w:rsidRPr="004A7ED7">
              <w:rPr>
                <w:rFonts w:cs="Open Sans"/>
                <w:szCs w:val="18"/>
              </w:rPr>
              <w:t>D29</w:t>
            </w:r>
          </w:p>
        </w:tc>
        <w:tc>
          <w:tcPr>
            <w:tcW w:w="3912" w:type="dxa"/>
          </w:tcPr>
          <w:p w14:paraId="6DC93B78" w14:textId="1CAF000C"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A female victim who does not leave an abusive partner is partly responsible for the abuse continuing</w:t>
            </w:r>
          </w:p>
        </w:tc>
        <w:tc>
          <w:tcPr>
            <w:tcW w:w="1474" w:type="dxa"/>
          </w:tcPr>
          <w:p w14:paraId="5BFB66AC" w14:textId="00A17D11"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569ECCE5" w14:textId="4E47AB33"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25274310" w14:textId="2E7F9BF2"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3.82</w:t>
            </w:r>
          </w:p>
        </w:tc>
        <w:tc>
          <w:tcPr>
            <w:tcW w:w="1304" w:type="dxa"/>
          </w:tcPr>
          <w:p w14:paraId="6E44766E" w14:textId="708E5EB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16.24*</w:t>
            </w:r>
          </w:p>
        </w:tc>
        <w:tc>
          <w:tcPr>
            <w:tcW w:w="1299" w:type="dxa"/>
          </w:tcPr>
          <w:p w14:paraId="53804DF3" w14:textId="20D571F9"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16.60*</w:t>
            </w:r>
          </w:p>
        </w:tc>
        <w:tc>
          <w:tcPr>
            <w:tcW w:w="1077" w:type="dxa"/>
          </w:tcPr>
          <w:p w14:paraId="7C3B4402" w14:textId="378213EE"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61.60*</w:t>
            </w:r>
          </w:p>
        </w:tc>
        <w:tc>
          <w:tcPr>
            <w:tcW w:w="1247" w:type="dxa"/>
          </w:tcPr>
          <w:p w14:paraId="08ACEDAD" w14:textId="14436D53"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1.75</w:t>
            </w:r>
            <w:r w:rsidRPr="004A7ED7">
              <w:rPr>
                <w:rFonts w:cs="Open Sans"/>
                <w:szCs w:val="18"/>
                <w:vertAlign w:val="superscript"/>
              </w:rPr>
              <w:t>c</w:t>
            </w:r>
          </w:p>
        </w:tc>
        <w:tc>
          <w:tcPr>
            <w:tcW w:w="1191" w:type="dxa"/>
          </w:tcPr>
          <w:p w14:paraId="6D26BD84" w14:textId="79C5D726"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20.05*</w:t>
            </w:r>
          </w:p>
        </w:tc>
        <w:tc>
          <w:tcPr>
            <w:tcW w:w="1134" w:type="dxa"/>
          </w:tcPr>
          <w:p w14:paraId="02416F96" w14:textId="35DBD061"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78.20*</w:t>
            </w:r>
          </w:p>
        </w:tc>
      </w:tr>
      <w:tr w:rsidR="002E24BD" w:rsidRPr="004A7ED7" w14:paraId="3488C4A0"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07FAFCF" w14:textId="77777777" w:rsidR="002E24BD" w:rsidRPr="004A7ED7" w:rsidRDefault="002E24BD" w:rsidP="00962748">
            <w:pPr>
              <w:pStyle w:val="Tablebody"/>
              <w:rPr>
                <w:rFonts w:cs="Open Sans"/>
                <w:szCs w:val="18"/>
                <w:lang w:val="en-GB"/>
              </w:rPr>
            </w:pPr>
            <w:r w:rsidRPr="004A7ED7">
              <w:rPr>
                <w:rFonts w:cs="Open Sans"/>
                <w:szCs w:val="18"/>
              </w:rPr>
              <w:t>S1</w:t>
            </w:r>
          </w:p>
        </w:tc>
        <w:tc>
          <w:tcPr>
            <w:tcW w:w="3912" w:type="dxa"/>
          </w:tcPr>
          <w:p w14:paraId="3D885557"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with mental health issues who report being sexually assaulted are probably lying</w:t>
            </w:r>
            <w:r w:rsidRPr="004A7ED7">
              <w:rPr>
                <w:rFonts w:ascii="Montserrat" w:hAnsi="Montserrat" w:cs="Montserrat"/>
                <w:szCs w:val="18"/>
                <w:lang w:val="en-US"/>
              </w:rPr>
              <w:t>~</w:t>
            </w:r>
          </w:p>
        </w:tc>
        <w:tc>
          <w:tcPr>
            <w:tcW w:w="1474" w:type="dxa"/>
          </w:tcPr>
          <w:p w14:paraId="323ECCD7"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E451811"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231</w:t>
            </w:r>
          </w:p>
        </w:tc>
        <w:tc>
          <w:tcPr>
            <w:tcW w:w="1021" w:type="dxa"/>
          </w:tcPr>
          <w:p w14:paraId="764E81CE" w14:textId="13FE732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1.91</w:t>
            </w:r>
            <w:r w:rsidRPr="004A7ED7">
              <w:rPr>
                <w:rFonts w:cs="Open Sans"/>
                <w:szCs w:val="18"/>
                <w:vertAlign w:val="superscript"/>
              </w:rPr>
              <w:t>c</w:t>
            </w:r>
          </w:p>
        </w:tc>
        <w:tc>
          <w:tcPr>
            <w:tcW w:w="1304" w:type="dxa"/>
          </w:tcPr>
          <w:p w14:paraId="14158786" w14:textId="73AF13F1"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8.90</w:t>
            </w:r>
          </w:p>
        </w:tc>
        <w:tc>
          <w:tcPr>
            <w:tcW w:w="1299" w:type="dxa"/>
          </w:tcPr>
          <w:p w14:paraId="38F7F7C7" w14:textId="25C39923"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27.29*</w:t>
            </w:r>
          </w:p>
        </w:tc>
        <w:tc>
          <w:tcPr>
            <w:tcW w:w="1077" w:type="dxa"/>
          </w:tcPr>
          <w:p w14:paraId="637CBCA7" w14:textId="51CD2463"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56.34*</w:t>
            </w:r>
          </w:p>
        </w:tc>
        <w:tc>
          <w:tcPr>
            <w:tcW w:w="1247" w:type="dxa"/>
          </w:tcPr>
          <w:p w14:paraId="10BE534E" w14:textId="2DED6D9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4.38</w:t>
            </w:r>
            <w:r w:rsidRPr="004A7ED7">
              <w:rPr>
                <w:rFonts w:cs="Open Sans"/>
                <w:szCs w:val="18"/>
                <w:vertAlign w:val="superscript"/>
              </w:rPr>
              <w:t>c</w:t>
            </w:r>
          </w:p>
        </w:tc>
        <w:tc>
          <w:tcPr>
            <w:tcW w:w="1191" w:type="dxa"/>
          </w:tcPr>
          <w:p w14:paraId="27B7FC01" w14:textId="27BB8982"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10.81</w:t>
            </w:r>
          </w:p>
        </w:tc>
        <w:tc>
          <w:tcPr>
            <w:tcW w:w="1134" w:type="dxa"/>
          </w:tcPr>
          <w:p w14:paraId="614F269A" w14:textId="6102B05C"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83.64*</w:t>
            </w:r>
          </w:p>
        </w:tc>
      </w:tr>
      <w:tr w:rsidR="002E24BD" w:rsidRPr="004A7ED7" w14:paraId="342C16A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64D4CAC" w14:textId="68C1DAA8" w:rsidR="002E24BD" w:rsidRPr="004A7ED7" w:rsidRDefault="002E24BD" w:rsidP="00962748">
            <w:pPr>
              <w:pStyle w:val="Tablebody"/>
              <w:rPr>
                <w:rFonts w:cs="Open Sans"/>
                <w:szCs w:val="18"/>
              </w:rPr>
            </w:pPr>
            <w:r w:rsidRPr="004A7ED7">
              <w:rPr>
                <w:rFonts w:cs="Open Sans"/>
                <w:szCs w:val="18"/>
              </w:rPr>
              <w:t>S1</w:t>
            </w:r>
          </w:p>
        </w:tc>
        <w:tc>
          <w:tcPr>
            <w:tcW w:w="3912" w:type="dxa"/>
          </w:tcPr>
          <w:p w14:paraId="2E8319DC" w14:textId="0040F24F"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with mental health issues who report being sexually assaulted are probably</w:t>
            </w:r>
            <w:r>
              <w:rPr>
                <w:rFonts w:cs="Open Sans"/>
                <w:szCs w:val="18"/>
                <w:lang w:val="en-US"/>
              </w:rPr>
              <w:t> </w:t>
            </w:r>
            <w:r w:rsidRPr="004A7ED7">
              <w:rPr>
                <w:rFonts w:cs="Open Sans"/>
                <w:szCs w:val="18"/>
                <w:lang w:val="en-US"/>
              </w:rPr>
              <w:t>lying</w:t>
            </w:r>
            <w:r w:rsidRPr="004A7ED7">
              <w:rPr>
                <w:rFonts w:ascii="Montserrat" w:hAnsi="Montserrat" w:cs="Montserrat"/>
                <w:szCs w:val="18"/>
                <w:lang w:val="en-US"/>
              </w:rPr>
              <w:t>~</w:t>
            </w:r>
          </w:p>
        </w:tc>
        <w:tc>
          <w:tcPr>
            <w:tcW w:w="1474" w:type="dxa"/>
          </w:tcPr>
          <w:p w14:paraId="7683C950" w14:textId="569C6D5B"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38CEEB56" w14:textId="4A1C1FCA"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171</w:t>
            </w:r>
          </w:p>
        </w:tc>
        <w:tc>
          <w:tcPr>
            <w:tcW w:w="1021" w:type="dxa"/>
          </w:tcPr>
          <w:p w14:paraId="799DD597" w14:textId="5AD2B570"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0.68</w:t>
            </w:r>
            <w:r w:rsidRPr="004A7ED7">
              <w:rPr>
                <w:rFonts w:cs="Open Sans"/>
                <w:szCs w:val="18"/>
                <w:vertAlign w:val="superscript"/>
              </w:rPr>
              <w:t>c</w:t>
            </w:r>
          </w:p>
        </w:tc>
        <w:tc>
          <w:tcPr>
            <w:tcW w:w="1304" w:type="dxa"/>
          </w:tcPr>
          <w:p w14:paraId="2CC96594" w14:textId="60059D29"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4.04</w:t>
            </w:r>
            <w:r w:rsidRPr="004A7ED7">
              <w:rPr>
                <w:rFonts w:cs="Open Sans"/>
                <w:szCs w:val="18"/>
                <w:vertAlign w:val="superscript"/>
              </w:rPr>
              <w:t>c</w:t>
            </w:r>
          </w:p>
        </w:tc>
        <w:tc>
          <w:tcPr>
            <w:tcW w:w="1299" w:type="dxa"/>
          </w:tcPr>
          <w:p w14:paraId="5F147E6B" w14:textId="23F5BF96"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13.89*</w:t>
            </w:r>
          </w:p>
        </w:tc>
        <w:tc>
          <w:tcPr>
            <w:tcW w:w="1077" w:type="dxa"/>
          </w:tcPr>
          <w:p w14:paraId="0A6E675A" w14:textId="6026F68B"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80.72*</w:t>
            </w:r>
          </w:p>
        </w:tc>
        <w:tc>
          <w:tcPr>
            <w:tcW w:w="1247" w:type="dxa"/>
          </w:tcPr>
          <w:p w14:paraId="60A1ED7A" w14:textId="7E20085A"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0.68</w:t>
            </w:r>
            <w:r w:rsidRPr="004A7ED7">
              <w:rPr>
                <w:rFonts w:cs="Open Sans"/>
                <w:szCs w:val="18"/>
                <w:vertAlign w:val="superscript"/>
              </w:rPr>
              <w:t>c</w:t>
            </w:r>
          </w:p>
        </w:tc>
        <w:tc>
          <w:tcPr>
            <w:tcW w:w="1191" w:type="dxa"/>
          </w:tcPr>
          <w:p w14:paraId="542B32D0" w14:textId="07866E74"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r w:rsidRPr="004A7ED7">
              <w:rPr>
                <w:rFonts w:cs="Open Sans"/>
                <w:szCs w:val="18"/>
                <w:vertAlign w:val="superscript"/>
              </w:rPr>
              <w:t>c</w:t>
            </w:r>
          </w:p>
        </w:tc>
        <w:tc>
          <w:tcPr>
            <w:tcW w:w="1134" w:type="dxa"/>
          </w:tcPr>
          <w:p w14:paraId="4D0AD8CD" w14:textId="5DC81CB8"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94.61*</w:t>
            </w:r>
          </w:p>
        </w:tc>
      </w:tr>
      <w:tr w:rsidR="002E24BD" w:rsidRPr="004A7ED7" w14:paraId="7FBCC2A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5389433" w14:textId="77777777" w:rsidR="002E24BD" w:rsidRPr="004A7ED7" w:rsidRDefault="002E24BD" w:rsidP="00962748">
            <w:pPr>
              <w:pStyle w:val="Tablebody"/>
              <w:rPr>
                <w:rFonts w:cs="Open Sans"/>
                <w:szCs w:val="18"/>
                <w:lang w:val="en-GB"/>
              </w:rPr>
            </w:pPr>
            <w:r w:rsidRPr="004A7ED7">
              <w:rPr>
                <w:rFonts w:cs="Open Sans"/>
                <w:szCs w:val="18"/>
              </w:rPr>
              <w:t>S2</w:t>
            </w:r>
          </w:p>
        </w:tc>
        <w:tc>
          <w:tcPr>
            <w:tcW w:w="3912" w:type="dxa"/>
          </w:tcPr>
          <w:p w14:paraId="469A594B" w14:textId="601356B9"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When lesbian or bisexual women claim to</w:t>
            </w:r>
            <w:r>
              <w:rPr>
                <w:rFonts w:cs="Open Sans"/>
                <w:szCs w:val="18"/>
                <w:lang w:val="en-US"/>
              </w:rPr>
              <w:t> </w:t>
            </w:r>
            <w:r w:rsidRPr="004A7ED7">
              <w:rPr>
                <w:rFonts w:cs="Open Sans"/>
                <w:szCs w:val="18"/>
                <w:lang w:val="en-US"/>
              </w:rPr>
              <w:t>have been sexually assaulted by their partner, they probably shouldn’t be taken too seriously</w:t>
            </w:r>
            <w:r w:rsidRPr="004A7ED7">
              <w:rPr>
                <w:rFonts w:ascii="Montserrat" w:hAnsi="Montserrat" w:cs="Montserrat"/>
                <w:szCs w:val="18"/>
                <w:lang w:val="en-US"/>
              </w:rPr>
              <w:t>~</w:t>
            </w:r>
          </w:p>
        </w:tc>
        <w:tc>
          <w:tcPr>
            <w:tcW w:w="1474" w:type="dxa"/>
          </w:tcPr>
          <w:p w14:paraId="2A607A40"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523EA138"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231</w:t>
            </w:r>
          </w:p>
        </w:tc>
        <w:tc>
          <w:tcPr>
            <w:tcW w:w="1021" w:type="dxa"/>
          </w:tcPr>
          <w:p w14:paraId="0BF9BE5B" w14:textId="7E6DF165"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1.92</w:t>
            </w:r>
            <w:r w:rsidRPr="004A7ED7">
              <w:rPr>
                <w:rFonts w:cs="Open Sans"/>
                <w:szCs w:val="18"/>
                <w:vertAlign w:val="superscript"/>
              </w:rPr>
              <w:t>c</w:t>
            </w:r>
          </w:p>
        </w:tc>
        <w:tc>
          <w:tcPr>
            <w:tcW w:w="1304" w:type="dxa"/>
          </w:tcPr>
          <w:p w14:paraId="687392B0" w14:textId="4DCA2BF8"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2.36</w:t>
            </w:r>
            <w:r w:rsidRPr="004A7ED7">
              <w:rPr>
                <w:rFonts w:cs="Open Sans"/>
                <w:szCs w:val="18"/>
                <w:vertAlign w:val="superscript"/>
              </w:rPr>
              <w:t>c</w:t>
            </w:r>
          </w:p>
        </w:tc>
        <w:tc>
          <w:tcPr>
            <w:tcW w:w="1299" w:type="dxa"/>
          </w:tcPr>
          <w:p w14:paraId="10C67FAE" w14:textId="500EB9C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11.76</w:t>
            </w:r>
          </w:p>
        </w:tc>
        <w:tc>
          <w:tcPr>
            <w:tcW w:w="1077" w:type="dxa"/>
          </w:tcPr>
          <w:p w14:paraId="34182146" w14:textId="19BCD1AC"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83.26</w:t>
            </w:r>
          </w:p>
        </w:tc>
        <w:tc>
          <w:tcPr>
            <w:tcW w:w="1247" w:type="dxa"/>
          </w:tcPr>
          <w:p w14:paraId="3B8EFD7F" w14:textId="76643A5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0.71</w:t>
            </w:r>
            <w:r w:rsidRPr="004A7ED7">
              <w:rPr>
                <w:rFonts w:cs="Open Sans"/>
                <w:szCs w:val="18"/>
                <w:vertAlign w:val="superscript"/>
              </w:rPr>
              <w:t>c</w:t>
            </w:r>
          </w:p>
        </w:tc>
        <w:tc>
          <w:tcPr>
            <w:tcW w:w="1191" w:type="dxa"/>
          </w:tcPr>
          <w:p w14:paraId="4546AC81" w14:textId="46AA1F7A"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4.28</w:t>
            </w:r>
            <w:r w:rsidRPr="004A7ED7">
              <w:rPr>
                <w:rFonts w:cs="Open Sans"/>
                <w:szCs w:val="18"/>
                <w:vertAlign w:val="superscript"/>
              </w:rPr>
              <w:t>c</w:t>
            </w:r>
          </w:p>
        </w:tc>
        <w:tc>
          <w:tcPr>
            <w:tcW w:w="1134" w:type="dxa"/>
          </w:tcPr>
          <w:p w14:paraId="2389FD07" w14:textId="685D0E85"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95.02</w:t>
            </w:r>
          </w:p>
        </w:tc>
      </w:tr>
      <w:tr w:rsidR="002E24BD" w:rsidRPr="004A7ED7" w14:paraId="774F4BA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58676A7" w14:textId="76AA37F4" w:rsidR="002E24BD" w:rsidRPr="004A7ED7" w:rsidRDefault="002E24BD" w:rsidP="00962748">
            <w:pPr>
              <w:pStyle w:val="Tablebody"/>
              <w:rPr>
                <w:rFonts w:cs="Open Sans"/>
                <w:szCs w:val="18"/>
              </w:rPr>
            </w:pPr>
            <w:r w:rsidRPr="004A7ED7">
              <w:rPr>
                <w:rFonts w:cs="Open Sans"/>
                <w:szCs w:val="18"/>
              </w:rPr>
              <w:t>S2</w:t>
            </w:r>
          </w:p>
        </w:tc>
        <w:tc>
          <w:tcPr>
            <w:tcW w:w="3912" w:type="dxa"/>
          </w:tcPr>
          <w:p w14:paraId="2282D849" w14:textId="62CB372B"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When lesbian or bisexual women claim to</w:t>
            </w:r>
            <w:r>
              <w:rPr>
                <w:rFonts w:cs="Open Sans"/>
                <w:szCs w:val="18"/>
                <w:lang w:val="en-US"/>
              </w:rPr>
              <w:t> </w:t>
            </w:r>
            <w:r w:rsidRPr="004A7ED7">
              <w:rPr>
                <w:rFonts w:cs="Open Sans"/>
                <w:szCs w:val="18"/>
                <w:lang w:val="en-US"/>
              </w:rPr>
              <w:t xml:space="preserve">have been sexually assaulted by their </w:t>
            </w:r>
            <w:r w:rsidRPr="004A7ED7">
              <w:rPr>
                <w:rFonts w:cs="Open Sans"/>
                <w:szCs w:val="18"/>
                <w:lang w:val="en-US"/>
              </w:rPr>
              <w:lastRenderedPageBreak/>
              <w:t>partner, they probably shouldn’t be taken too seriously</w:t>
            </w:r>
            <w:r w:rsidRPr="004A7ED7">
              <w:rPr>
                <w:rFonts w:ascii="Montserrat" w:hAnsi="Montserrat" w:cs="Montserrat"/>
                <w:szCs w:val="18"/>
                <w:lang w:val="en-US"/>
              </w:rPr>
              <w:t>~</w:t>
            </w:r>
          </w:p>
        </w:tc>
        <w:tc>
          <w:tcPr>
            <w:tcW w:w="1474" w:type="dxa"/>
          </w:tcPr>
          <w:p w14:paraId="10B0266A" w14:textId="07D4D83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lastRenderedPageBreak/>
              <w:t>Young women</w:t>
            </w:r>
          </w:p>
        </w:tc>
        <w:tc>
          <w:tcPr>
            <w:tcW w:w="567" w:type="dxa"/>
          </w:tcPr>
          <w:p w14:paraId="50BE6555" w14:textId="0B7758A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171</w:t>
            </w:r>
          </w:p>
        </w:tc>
        <w:tc>
          <w:tcPr>
            <w:tcW w:w="1021" w:type="dxa"/>
          </w:tcPr>
          <w:p w14:paraId="11198BC5" w14:textId="7EC248C0"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1.48</w:t>
            </w:r>
            <w:r w:rsidRPr="004A7ED7">
              <w:rPr>
                <w:rFonts w:cs="Open Sans"/>
                <w:szCs w:val="18"/>
                <w:vertAlign w:val="superscript"/>
              </w:rPr>
              <w:t>c</w:t>
            </w:r>
          </w:p>
        </w:tc>
        <w:tc>
          <w:tcPr>
            <w:tcW w:w="1304" w:type="dxa"/>
          </w:tcPr>
          <w:p w14:paraId="3ACD7813" w14:textId="46553474"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1.83</w:t>
            </w:r>
            <w:r w:rsidRPr="004A7ED7">
              <w:rPr>
                <w:rFonts w:cs="Open Sans"/>
                <w:szCs w:val="18"/>
                <w:vertAlign w:val="superscript"/>
              </w:rPr>
              <w:t>c</w:t>
            </w:r>
          </w:p>
        </w:tc>
        <w:tc>
          <w:tcPr>
            <w:tcW w:w="1299" w:type="dxa"/>
          </w:tcPr>
          <w:p w14:paraId="29090EA3" w14:textId="0CEE1058"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4.22</w:t>
            </w:r>
            <w:r w:rsidRPr="004A7ED7">
              <w:rPr>
                <w:rFonts w:cs="Open Sans"/>
                <w:szCs w:val="18"/>
                <w:vertAlign w:val="superscript"/>
              </w:rPr>
              <w:t>c</w:t>
            </w:r>
          </w:p>
        </w:tc>
        <w:tc>
          <w:tcPr>
            <w:tcW w:w="1077" w:type="dxa"/>
          </w:tcPr>
          <w:p w14:paraId="574B4E24" w14:textId="7676EA49"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92.09</w:t>
            </w:r>
          </w:p>
        </w:tc>
        <w:tc>
          <w:tcPr>
            <w:tcW w:w="1247" w:type="dxa"/>
          </w:tcPr>
          <w:p w14:paraId="7A2B1382" w14:textId="1A63814E"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0.37</w:t>
            </w:r>
            <w:r w:rsidRPr="004A7ED7">
              <w:rPr>
                <w:rFonts w:cs="Open Sans"/>
                <w:szCs w:val="18"/>
                <w:vertAlign w:val="superscript"/>
              </w:rPr>
              <w:t>c</w:t>
            </w:r>
          </w:p>
        </w:tc>
        <w:tc>
          <w:tcPr>
            <w:tcW w:w="1191" w:type="dxa"/>
          </w:tcPr>
          <w:p w14:paraId="2A561221" w14:textId="1110A582" w:rsidR="002E24BD" w:rsidRPr="002E24BD"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3.31</w:t>
            </w:r>
            <w:r w:rsidRPr="004A7ED7">
              <w:rPr>
                <w:rFonts w:cs="Open Sans"/>
                <w:szCs w:val="18"/>
                <w:vertAlign w:val="superscript"/>
              </w:rPr>
              <w:t>c</w:t>
            </w:r>
          </w:p>
        </w:tc>
        <w:tc>
          <w:tcPr>
            <w:tcW w:w="1134" w:type="dxa"/>
          </w:tcPr>
          <w:p w14:paraId="4836BF22" w14:textId="19B8C46A"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96.32</w:t>
            </w:r>
          </w:p>
        </w:tc>
      </w:tr>
      <w:tr w:rsidR="002E24BD" w:rsidRPr="004A7ED7" w14:paraId="3161E62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F54F59B" w14:textId="77777777" w:rsidR="002E24BD" w:rsidRPr="004A7ED7" w:rsidRDefault="002E24BD" w:rsidP="00962748">
            <w:pPr>
              <w:pStyle w:val="Tablebody"/>
              <w:rPr>
                <w:rFonts w:cs="Open Sans"/>
                <w:szCs w:val="18"/>
                <w:lang w:val="en-GB"/>
              </w:rPr>
            </w:pPr>
            <w:r w:rsidRPr="004A7ED7">
              <w:rPr>
                <w:rFonts w:cs="Open Sans"/>
                <w:szCs w:val="18"/>
              </w:rPr>
              <w:t>S10</w:t>
            </w:r>
          </w:p>
        </w:tc>
        <w:tc>
          <w:tcPr>
            <w:tcW w:w="3912" w:type="dxa"/>
          </w:tcPr>
          <w:p w14:paraId="495EE3D8" w14:textId="7A031A98"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who wait weeks or months to</w:t>
            </w:r>
            <w:r>
              <w:rPr>
                <w:rFonts w:cs="Open Sans"/>
                <w:szCs w:val="18"/>
                <w:lang w:val="en-US"/>
              </w:rPr>
              <w:t> </w:t>
            </w:r>
            <w:r w:rsidRPr="004A7ED7">
              <w:rPr>
                <w:rFonts w:cs="Open Sans"/>
                <w:szCs w:val="18"/>
                <w:lang w:val="en-US"/>
              </w:rPr>
              <w:t>report sexual harassment are probably</w:t>
            </w:r>
            <w:r>
              <w:rPr>
                <w:rFonts w:cs="Open Sans"/>
                <w:szCs w:val="18"/>
                <w:lang w:val="en-US"/>
              </w:rPr>
              <w:t> </w:t>
            </w:r>
            <w:r w:rsidRPr="004A7ED7">
              <w:rPr>
                <w:rFonts w:cs="Open Sans"/>
                <w:szCs w:val="18"/>
                <w:lang w:val="en-US"/>
              </w:rPr>
              <w:t>lying</w:t>
            </w:r>
          </w:p>
        </w:tc>
        <w:tc>
          <w:tcPr>
            <w:tcW w:w="1474" w:type="dxa"/>
          </w:tcPr>
          <w:p w14:paraId="5857B992"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387709A7" w14:textId="77777777"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06CD4BED" w14:textId="317208A4"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1.66</w:t>
            </w:r>
            <w:r w:rsidRPr="004A7ED7">
              <w:rPr>
                <w:rFonts w:cs="Open Sans"/>
                <w:szCs w:val="18"/>
                <w:vertAlign w:val="superscript"/>
              </w:rPr>
              <w:t>c</w:t>
            </w:r>
          </w:p>
        </w:tc>
        <w:tc>
          <w:tcPr>
            <w:tcW w:w="1304" w:type="dxa"/>
          </w:tcPr>
          <w:p w14:paraId="00B31354" w14:textId="5130A602"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6.96</w:t>
            </w:r>
          </w:p>
        </w:tc>
        <w:tc>
          <w:tcPr>
            <w:tcW w:w="1299" w:type="dxa"/>
          </w:tcPr>
          <w:p w14:paraId="221E7A5B" w14:textId="087BB57C"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23.05*</w:t>
            </w:r>
          </w:p>
        </w:tc>
        <w:tc>
          <w:tcPr>
            <w:tcW w:w="1077" w:type="dxa"/>
          </w:tcPr>
          <w:p w14:paraId="2E08CF56" w14:textId="536B8DA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64.83*</w:t>
            </w:r>
          </w:p>
        </w:tc>
        <w:tc>
          <w:tcPr>
            <w:tcW w:w="1247" w:type="dxa"/>
          </w:tcPr>
          <w:p w14:paraId="5BEA6AA9" w14:textId="79F98D2A"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3.43</w:t>
            </w:r>
          </w:p>
        </w:tc>
        <w:tc>
          <w:tcPr>
            <w:tcW w:w="1191" w:type="dxa"/>
          </w:tcPr>
          <w:p w14:paraId="786F2EBC" w14:textId="663B6EA5"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8.62*</w:t>
            </w:r>
          </w:p>
        </w:tc>
        <w:tc>
          <w:tcPr>
            <w:tcW w:w="1134" w:type="dxa"/>
          </w:tcPr>
          <w:p w14:paraId="0BFAD8F5" w14:textId="1F48B5EE"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87.88*</w:t>
            </w:r>
          </w:p>
        </w:tc>
      </w:tr>
      <w:tr w:rsidR="002E24BD" w:rsidRPr="004A7ED7" w14:paraId="73F0B98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E23BD4C" w14:textId="239FEB9C" w:rsidR="002E24BD" w:rsidRPr="004A7ED7" w:rsidRDefault="002E24BD" w:rsidP="00962748">
            <w:pPr>
              <w:pStyle w:val="Tablebody"/>
              <w:rPr>
                <w:rFonts w:cs="Open Sans"/>
                <w:szCs w:val="18"/>
              </w:rPr>
            </w:pPr>
            <w:r w:rsidRPr="004A7ED7">
              <w:rPr>
                <w:rFonts w:cs="Open Sans"/>
                <w:szCs w:val="18"/>
              </w:rPr>
              <w:t>S10</w:t>
            </w:r>
          </w:p>
        </w:tc>
        <w:tc>
          <w:tcPr>
            <w:tcW w:w="3912" w:type="dxa"/>
          </w:tcPr>
          <w:p w14:paraId="2C21D285" w14:textId="3D41BAC6"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who wait weeks or months to</w:t>
            </w:r>
            <w:r>
              <w:rPr>
                <w:rFonts w:cs="Open Sans"/>
                <w:szCs w:val="18"/>
                <w:lang w:val="en-US"/>
              </w:rPr>
              <w:t> </w:t>
            </w:r>
            <w:r w:rsidRPr="004A7ED7">
              <w:rPr>
                <w:rFonts w:cs="Open Sans"/>
                <w:szCs w:val="18"/>
                <w:lang w:val="en-US"/>
              </w:rPr>
              <w:t>report sexual harassment are probably</w:t>
            </w:r>
            <w:r>
              <w:rPr>
                <w:rFonts w:cs="Open Sans"/>
                <w:szCs w:val="18"/>
                <w:lang w:val="en-US"/>
              </w:rPr>
              <w:t> </w:t>
            </w:r>
            <w:r w:rsidRPr="004A7ED7">
              <w:rPr>
                <w:rFonts w:cs="Open Sans"/>
                <w:szCs w:val="18"/>
                <w:lang w:val="en-US"/>
              </w:rPr>
              <w:t>lying</w:t>
            </w:r>
          </w:p>
        </w:tc>
        <w:tc>
          <w:tcPr>
            <w:tcW w:w="1474" w:type="dxa"/>
          </w:tcPr>
          <w:p w14:paraId="2895FDDA" w14:textId="2F4A2019"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D385D41" w14:textId="49BE2032"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165E3DEA" w14:textId="1DE5F216"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0.63</w:t>
            </w:r>
            <w:r w:rsidRPr="004A7ED7">
              <w:rPr>
                <w:rFonts w:cs="Open Sans"/>
                <w:szCs w:val="18"/>
                <w:vertAlign w:val="superscript"/>
              </w:rPr>
              <w:t>c</w:t>
            </w:r>
          </w:p>
        </w:tc>
        <w:tc>
          <w:tcPr>
            <w:tcW w:w="1304" w:type="dxa"/>
          </w:tcPr>
          <w:p w14:paraId="3879EF6F" w14:textId="1984FA41"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2.62</w:t>
            </w:r>
            <w:r w:rsidRPr="004A7ED7">
              <w:rPr>
                <w:rFonts w:cs="Open Sans"/>
                <w:szCs w:val="18"/>
                <w:vertAlign w:val="superscript"/>
              </w:rPr>
              <w:t>c</w:t>
            </w:r>
          </w:p>
        </w:tc>
        <w:tc>
          <w:tcPr>
            <w:tcW w:w="1299" w:type="dxa"/>
          </w:tcPr>
          <w:p w14:paraId="38E33C5B" w14:textId="1D81554D"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6.53*</w:t>
            </w:r>
          </w:p>
        </w:tc>
        <w:tc>
          <w:tcPr>
            <w:tcW w:w="1077" w:type="dxa"/>
          </w:tcPr>
          <w:p w14:paraId="008F5065" w14:textId="05B21B9B"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89.44*</w:t>
            </w:r>
          </w:p>
        </w:tc>
        <w:tc>
          <w:tcPr>
            <w:tcW w:w="1247" w:type="dxa"/>
          </w:tcPr>
          <w:p w14:paraId="150BE44C" w14:textId="1CD9B85E"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0.78</w:t>
            </w:r>
            <w:r w:rsidRPr="004A7ED7">
              <w:rPr>
                <w:rFonts w:cs="Open Sans"/>
                <w:szCs w:val="18"/>
                <w:vertAlign w:val="superscript"/>
              </w:rPr>
              <w:t>c</w:t>
            </w:r>
          </w:p>
        </w:tc>
        <w:tc>
          <w:tcPr>
            <w:tcW w:w="1191" w:type="dxa"/>
          </w:tcPr>
          <w:p w14:paraId="0441F488" w14:textId="6782A452"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3.25*</w:t>
            </w:r>
          </w:p>
        </w:tc>
        <w:tc>
          <w:tcPr>
            <w:tcW w:w="1134" w:type="dxa"/>
          </w:tcPr>
          <w:p w14:paraId="714EB7DE" w14:textId="19E6C425" w:rsidR="002E24BD" w:rsidRPr="004A7ED7" w:rsidRDefault="002E24BD"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95.97*</w:t>
            </w:r>
          </w:p>
        </w:tc>
      </w:tr>
      <w:tr w:rsidR="00EF4777" w:rsidRPr="004A7ED7" w14:paraId="5495629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51724EBF" w14:textId="77777777" w:rsidR="00EF4777" w:rsidRPr="004A7ED7" w:rsidRDefault="00EF4777" w:rsidP="00962748">
            <w:pPr>
              <w:pStyle w:val="Tablebody"/>
              <w:rPr>
                <w:rFonts w:cs="Open Sans"/>
                <w:szCs w:val="18"/>
                <w:lang w:val="en-GB"/>
              </w:rPr>
            </w:pPr>
            <w:r w:rsidRPr="004A7ED7">
              <w:rPr>
                <w:rFonts w:cs="Open Sans"/>
                <w:szCs w:val="18"/>
              </w:rPr>
              <w:t>S18</w:t>
            </w:r>
          </w:p>
        </w:tc>
        <w:tc>
          <w:tcPr>
            <w:tcW w:w="3912" w:type="dxa"/>
          </w:tcPr>
          <w:p w14:paraId="2943E661" w14:textId="14BDD11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Many allegations of sexual assault made by</w:t>
            </w:r>
            <w:r>
              <w:rPr>
                <w:rFonts w:cs="Open Sans"/>
                <w:szCs w:val="18"/>
                <w:lang w:val="en-US"/>
              </w:rPr>
              <w:t> </w:t>
            </w:r>
            <w:r w:rsidRPr="004A7ED7">
              <w:rPr>
                <w:rFonts w:cs="Open Sans"/>
                <w:szCs w:val="18"/>
                <w:lang w:val="en-US"/>
              </w:rPr>
              <w:t>women are false</w:t>
            </w:r>
            <w:r w:rsidRPr="004A7ED7">
              <w:rPr>
                <w:rFonts w:ascii="Montserrat" w:hAnsi="Montserrat" w:cs="Montserrat"/>
                <w:szCs w:val="18"/>
                <w:lang w:val="en-US"/>
              </w:rPr>
              <w:t>~</w:t>
            </w:r>
          </w:p>
        </w:tc>
        <w:tc>
          <w:tcPr>
            <w:tcW w:w="1474" w:type="dxa"/>
          </w:tcPr>
          <w:p w14:paraId="2CE9EDC8"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553E3A1"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244</w:t>
            </w:r>
          </w:p>
        </w:tc>
        <w:tc>
          <w:tcPr>
            <w:tcW w:w="1021" w:type="dxa"/>
          </w:tcPr>
          <w:p w14:paraId="0D74C813" w14:textId="0D20C8C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1.75</w:t>
            </w:r>
            <w:r w:rsidRPr="004A7ED7">
              <w:rPr>
                <w:rFonts w:cs="Open Sans"/>
                <w:szCs w:val="18"/>
                <w:vertAlign w:val="superscript"/>
              </w:rPr>
              <w:t>c</w:t>
            </w:r>
          </w:p>
        </w:tc>
        <w:tc>
          <w:tcPr>
            <w:tcW w:w="1304" w:type="dxa"/>
          </w:tcPr>
          <w:p w14:paraId="3CFF54A3" w14:textId="643BF764"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15.17*</w:t>
            </w:r>
          </w:p>
        </w:tc>
        <w:tc>
          <w:tcPr>
            <w:tcW w:w="1299" w:type="dxa"/>
          </w:tcPr>
          <w:p w14:paraId="11D4676F" w14:textId="6B8E90B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38.87*</w:t>
            </w:r>
          </w:p>
        </w:tc>
        <w:tc>
          <w:tcPr>
            <w:tcW w:w="1077" w:type="dxa"/>
          </w:tcPr>
          <w:p w14:paraId="7891C685" w14:textId="4F8CA484"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37.80*</w:t>
            </w:r>
          </w:p>
        </w:tc>
        <w:tc>
          <w:tcPr>
            <w:tcW w:w="1247" w:type="dxa"/>
          </w:tcPr>
          <w:p w14:paraId="5CF0ED5B" w14:textId="079CA9BA"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6.41</w:t>
            </w:r>
            <w:r w:rsidRPr="004A7ED7">
              <w:rPr>
                <w:rFonts w:cs="Open Sans"/>
                <w:szCs w:val="18"/>
                <w:vertAlign w:val="superscript"/>
              </w:rPr>
              <w:t>c</w:t>
            </w:r>
          </w:p>
        </w:tc>
        <w:tc>
          <w:tcPr>
            <w:tcW w:w="1191" w:type="dxa"/>
          </w:tcPr>
          <w:p w14:paraId="0EC0BA10" w14:textId="57BBC9A1"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16.92*</w:t>
            </w:r>
          </w:p>
        </w:tc>
        <w:tc>
          <w:tcPr>
            <w:tcW w:w="1134" w:type="dxa"/>
          </w:tcPr>
          <w:p w14:paraId="55270270" w14:textId="2610971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76.67*</w:t>
            </w:r>
          </w:p>
        </w:tc>
      </w:tr>
      <w:tr w:rsidR="00EF4777" w:rsidRPr="004A7ED7" w14:paraId="15C4707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2B897C8" w14:textId="4506D4B5" w:rsidR="00EF4777" w:rsidRPr="004A7ED7" w:rsidRDefault="00EF4777" w:rsidP="00962748">
            <w:pPr>
              <w:pStyle w:val="Tablebody"/>
              <w:rPr>
                <w:rFonts w:cs="Open Sans"/>
                <w:szCs w:val="18"/>
              </w:rPr>
            </w:pPr>
            <w:r w:rsidRPr="004A7ED7">
              <w:rPr>
                <w:rFonts w:cs="Open Sans"/>
                <w:szCs w:val="18"/>
              </w:rPr>
              <w:t>S18</w:t>
            </w:r>
          </w:p>
        </w:tc>
        <w:tc>
          <w:tcPr>
            <w:tcW w:w="3912" w:type="dxa"/>
          </w:tcPr>
          <w:p w14:paraId="4EA39EA9" w14:textId="78411AAB"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Many allegations of sexual assault made by</w:t>
            </w:r>
            <w:r>
              <w:rPr>
                <w:rFonts w:cs="Open Sans"/>
                <w:szCs w:val="18"/>
                <w:lang w:val="en-US"/>
              </w:rPr>
              <w:t> </w:t>
            </w:r>
            <w:r w:rsidRPr="004A7ED7">
              <w:rPr>
                <w:rFonts w:cs="Open Sans"/>
                <w:szCs w:val="18"/>
                <w:lang w:val="en-US"/>
              </w:rPr>
              <w:t>women are false</w:t>
            </w:r>
            <w:r w:rsidRPr="004A7ED7">
              <w:rPr>
                <w:rFonts w:ascii="Montserrat" w:hAnsi="Montserrat" w:cs="Montserrat"/>
                <w:szCs w:val="18"/>
                <w:lang w:val="en-US"/>
              </w:rPr>
              <w:t>~</w:t>
            </w:r>
          </w:p>
        </w:tc>
        <w:tc>
          <w:tcPr>
            <w:tcW w:w="1474" w:type="dxa"/>
          </w:tcPr>
          <w:p w14:paraId="760A8C69" w14:textId="5A0CB9FF"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0DB9A23E" w14:textId="35485C8E"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187</w:t>
            </w:r>
          </w:p>
        </w:tc>
        <w:tc>
          <w:tcPr>
            <w:tcW w:w="1021" w:type="dxa"/>
          </w:tcPr>
          <w:p w14:paraId="65BF5930" w14:textId="3DC3350A" w:rsidR="00EF4777" w:rsidRPr="00EF477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1.43</w:t>
            </w:r>
            <w:r w:rsidRPr="004A7ED7">
              <w:rPr>
                <w:rFonts w:cs="Open Sans"/>
                <w:szCs w:val="18"/>
                <w:vertAlign w:val="superscript"/>
              </w:rPr>
              <w:t>c</w:t>
            </w:r>
          </w:p>
        </w:tc>
        <w:tc>
          <w:tcPr>
            <w:tcW w:w="1304" w:type="dxa"/>
          </w:tcPr>
          <w:p w14:paraId="7F00DB44" w14:textId="0C66F11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5.57*</w:t>
            </w:r>
            <w:r w:rsidRPr="004A7ED7">
              <w:rPr>
                <w:rFonts w:cs="Open Sans"/>
                <w:szCs w:val="18"/>
                <w:vertAlign w:val="superscript"/>
              </w:rPr>
              <w:t xml:space="preserve"> c</w:t>
            </w:r>
          </w:p>
        </w:tc>
        <w:tc>
          <w:tcPr>
            <w:tcW w:w="1299" w:type="dxa"/>
          </w:tcPr>
          <w:p w14:paraId="2011904F" w14:textId="5752B111"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18.67*</w:t>
            </w:r>
          </w:p>
        </w:tc>
        <w:tc>
          <w:tcPr>
            <w:tcW w:w="1077" w:type="dxa"/>
          </w:tcPr>
          <w:p w14:paraId="2F7C4087" w14:textId="61904D65"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71.43*</w:t>
            </w:r>
          </w:p>
        </w:tc>
        <w:tc>
          <w:tcPr>
            <w:tcW w:w="1247" w:type="dxa"/>
          </w:tcPr>
          <w:p w14:paraId="1E2DCAFF" w14:textId="202802D7" w:rsidR="00EF4777" w:rsidRPr="00EF477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2.13</w:t>
            </w:r>
            <w:r w:rsidRPr="004A7ED7">
              <w:rPr>
                <w:rFonts w:cs="Open Sans"/>
                <w:szCs w:val="18"/>
                <w:vertAlign w:val="superscript"/>
              </w:rPr>
              <w:t>c</w:t>
            </w:r>
          </w:p>
        </w:tc>
        <w:tc>
          <w:tcPr>
            <w:tcW w:w="1191" w:type="dxa"/>
          </w:tcPr>
          <w:p w14:paraId="464FAD6F" w14:textId="5A330AA4"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6.99*</w:t>
            </w:r>
            <w:r w:rsidRPr="004A7ED7">
              <w:rPr>
                <w:rFonts w:cs="Open Sans"/>
                <w:szCs w:val="18"/>
                <w:vertAlign w:val="superscript"/>
              </w:rPr>
              <w:t xml:space="preserve"> c</w:t>
            </w:r>
          </w:p>
        </w:tc>
        <w:tc>
          <w:tcPr>
            <w:tcW w:w="1134" w:type="dxa"/>
          </w:tcPr>
          <w:p w14:paraId="6E7EE92E" w14:textId="65805C8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90.10*</w:t>
            </w:r>
          </w:p>
        </w:tc>
      </w:tr>
      <w:tr w:rsidR="00EF4777" w:rsidRPr="004A7ED7" w14:paraId="6BDACD7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9727EEB" w14:textId="77777777" w:rsidR="00EF4777" w:rsidRPr="004A7ED7" w:rsidRDefault="00EF4777" w:rsidP="00962748">
            <w:pPr>
              <w:pStyle w:val="Tablebody"/>
              <w:rPr>
                <w:rFonts w:cs="Open Sans"/>
                <w:szCs w:val="18"/>
                <w:lang w:val="en-GB"/>
              </w:rPr>
            </w:pPr>
            <w:r w:rsidRPr="004A7ED7">
              <w:rPr>
                <w:rFonts w:cs="Open Sans"/>
                <w:szCs w:val="18"/>
              </w:rPr>
              <w:t>S22</w:t>
            </w:r>
          </w:p>
        </w:tc>
        <w:tc>
          <w:tcPr>
            <w:tcW w:w="3912" w:type="dxa"/>
          </w:tcPr>
          <w:p w14:paraId="287BCC46" w14:textId="1C9130E0"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claims to have been sexually assaulted but has no other physical injuries, she probably shouldn’t be taken too</w:t>
            </w:r>
            <w:r>
              <w:rPr>
                <w:rFonts w:cs="Open Sans"/>
                <w:szCs w:val="18"/>
                <w:lang w:val="en-US"/>
              </w:rPr>
              <w:t> </w:t>
            </w:r>
            <w:r w:rsidRPr="004A7ED7">
              <w:rPr>
                <w:rFonts w:cs="Open Sans"/>
                <w:szCs w:val="18"/>
                <w:lang w:val="en-US"/>
              </w:rPr>
              <w:t>seriously</w:t>
            </w:r>
          </w:p>
        </w:tc>
        <w:tc>
          <w:tcPr>
            <w:tcW w:w="1474" w:type="dxa"/>
          </w:tcPr>
          <w:p w14:paraId="3058572C"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4815003C"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4B0AE7E9" w14:textId="04D683B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0.89</w:t>
            </w:r>
            <w:r w:rsidRPr="004A7ED7">
              <w:rPr>
                <w:rFonts w:cs="Open Sans"/>
                <w:szCs w:val="18"/>
                <w:vertAlign w:val="superscript"/>
              </w:rPr>
              <w:t>c</w:t>
            </w:r>
          </w:p>
        </w:tc>
        <w:tc>
          <w:tcPr>
            <w:tcW w:w="1304" w:type="dxa"/>
          </w:tcPr>
          <w:p w14:paraId="63FF55F7" w14:textId="446C5E35"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5.74</w:t>
            </w:r>
          </w:p>
        </w:tc>
        <w:tc>
          <w:tcPr>
            <w:tcW w:w="1299" w:type="dxa"/>
          </w:tcPr>
          <w:p w14:paraId="58507EC6" w14:textId="1A5FCB4B"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14.68*</w:t>
            </w:r>
          </w:p>
        </w:tc>
        <w:tc>
          <w:tcPr>
            <w:tcW w:w="1077" w:type="dxa"/>
          </w:tcPr>
          <w:p w14:paraId="0ECA5F4B" w14:textId="77F5F5AD"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76.99*</w:t>
            </w:r>
          </w:p>
        </w:tc>
        <w:tc>
          <w:tcPr>
            <w:tcW w:w="1247" w:type="dxa"/>
          </w:tcPr>
          <w:p w14:paraId="696DB040" w14:textId="3A01A36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1.70</w:t>
            </w:r>
            <w:r w:rsidRPr="004A7ED7">
              <w:rPr>
                <w:rFonts w:cs="Open Sans"/>
                <w:szCs w:val="18"/>
                <w:vertAlign w:val="superscript"/>
              </w:rPr>
              <w:t>c</w:t>
            </w:r>
          </w:p>
        </w:tc>
        <w:tc>
          <w:tcPr>
            <w:tcW w:w="1191" w:type="dxa"/>
          </w:tcPr>
          <w:p w14:paraId="5F227AEE" w14:textId="2070F83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6.63</w:t>
            </w:r>
          </w:p>
        </w:tc>
        <w:tc>
          <w:tcPr>
            <w:tcW w:w="1134" w:type="dxa"/>
          </w:tcPr>
          <w:p w14:paraId="5FDAE6F2" w14:textId="127B1F4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91.67</w:t>
            </w:r>
          </w:p>
        </w:tc>
      </w:tr>
      <w:tr w:rsidR="00EF4777" w:rsidRPr="004A7ED7" w14:paraId="475112E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270E7C0A" w14:textId="5E535DBB" w:rsidR="00EF4777" w:rsidRPr="004A7ED7" w:rsidRDefault="00EF4777" w:rsidP="00962748">
            <w:pPr>
              <w:pStyle w:val="Tablebody"/>
              <w:rPr>
                <w:rFonts w:cs="Open Sans"/>
                <w:szCs w:val="18"/>
              </w:rPr>
            </w:pPr>
            <w:r w:rsidRPr="004A7ED7">
              <w:rPr>
                <w:rFonts w:cs="Open Sans"/>
                <w:szCs w:val="18"/>
              </w:rPr>
              <w:t>S22</w:t>
            </w:r>
          </w:p>
        </w:tc>
        <w:tc>
          <w:tcPr>
            <w:tcW w:w="3912" w:type="dxa"/>
          </w:tcPr>
          <w:p w14:paraId="71B95762" w14:textId="48B3932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claims to have been sexually assaulted but has no other physical injuries, she probably shouldn’t be taken too</w:t>
            </w:r>
            <w:r>
              <w:rPr>
                <w:rFonts w:cs="Open Sans"/>
                <w:szCs w:val="18"/>
                <w:lang w:val="en-US"/>
              </w:rPr>
              <w:t> </w:t>
            </w:r>
            <w:r w:rsidRPr="004A7ED7">
              <w:rPr>
                <w:rFonts w:cs="Open Sans"/>
                <w:szCs w:val="18"/>
                <w:lang w:val="en-US"/>
              </w:rPr>
              <w:t>seriously</w:t>
            </w:r>
          </w:p>
        </w:tc>
        <w:tc>
          <w:tcPr>
            <w:tcW w:w="1474" w:type="dxa"/>
          </w:tcPr>
          <w:p w14:paraId="6E5A3CF1" w14:textId="0AD2D4FC"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6E0CA96" w14:textId="55416EA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52955FC3" w14:textId="34870CF2" w:rsidR="00EF4777" w:rsidRPr="00EF477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1.31</w:t>
            </w:r>
            <w:r w:rsidRPr="004A7ED7">
              <w:rPr>
                <w:rFonts w:cs="Open Sans"/>
                <w:szCs w:val="18"/>
                <w:vertAlign w:val="superscript"/>
              </w:rPr>
              <w:t>c</w:t>
            </w:r>
          </w:p>
        </w:tc>
        <w:tc>
          <w:tcPr>
            <w:tcW w:w="1304" w:type="dxa"/>
          </w:tcPr>
          <w:p w14:paraId="3A8E22F7" w14:textId="54A4F3C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1.82</w:t>
            </w:r>
            <w:r w:rsidRPr="004A7ED7">
              <w:rPr>
                <w:rFonts w:cs="Open Sans"/>
                <w:szCs w:val="18"/>
                <w:vertAlign w:val="superscript"/>
              </w:rPr>
              <w:t>c</w:t>
            </w:r>
          </w:p>
        </w:tc>
        <w:tc>
          <w:tcPr>
            <w:tcW w:w="1299" w:type="dxa"/>
          </w:tcPr>
          <w:p w14:paraId="29A9AEBF" w14:textId="6806C83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5.25*</w:t>
            </w:r>
          </w:p>
        </w:tc>
        <w:tc>
          <w:tcPr>
            <w:tcW w:w="1077" w:type="dxa"/>
          </w:tcPr>
          <w:p w14:paraId="6DF19F92" w14:textId="31DEF3D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90.61*</w:t>
            </w:r>
          </w:p>
        </w:tc>
        <w:tc>
          <w:tcPr>
            <w:tcW w:w="1247" w:type="dxa"/>
          </w:tcPr>
          <w:p w14:paraId="7566E823" w14:textId="6BE6BA8D" w:rsidR="00EF4777" w:rsidRPr="00EF477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0.47</w:t>
            </w:r>
            <w:r w:rsidRPr="004A7ED7">
              <w:rPr>
                <w:rFonts w:cs="Open Sans"/>
                <w:szCs w:val="18"/>
                <w:vertAlign w:val="superscript"/>
              </w:rPr>
              <w:t>c</w:t>
            </w:r>
          </w:p>
        </w:tc>
        <w:tc>
          <w:tcPr>
            <w:tcW w:w="1191" w:type="dxa"/>
          </w:tcPr>
          <w:p w14:paraId="62A8F341" w14:textId="435EFE9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3.14</w:t>
            </w:r>
          </w:p>
        </w:tc>
        <w:tc>
          <w:tcPr>
            <w:tcW w:w="1134" w:type="dxa"/>
          </w:tcPr>
          <w:p w14:paraId="4F994DF8" w14:textId="32EE6121"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95.86</w:t>
            </w:r>
          </w:p>
        </w:tc>
      </w:tr>
      <w:tr w:rsidR="00EF4777" w:rsidRPr="004A7ED7" w14:paraId="46272AB9" w14:textId="77777777" w:rsidTr="00962748">
        <w:trPr>
          <w:trHeight w:val="669"/>
        </w:trPr>
        <w:tc>
          <w:tcPr>
            <w:cnfStyle w:val="001000000000" w:firstRow="0" w:lastRow="0" w:firstColumn="1" w:lastColumn="0" w:oddVBand="0" w:evenVBand="0" w:oddHBand="0" w:evenHBand="0" w:firstRowFirstColumn="0" w:firstRowLastColumn="0" w:lastRowFirstColumn="0" w:lastRowLastColumn="0"/>
            <w:tcW w:w="723" w:type="dxa"/>
          </w:tcPr>
          <w:p w14:paraId="72F24630" w14:textId="77777777" w:rsidR="00EF4777" w:rsidRPr="004A7ED7" w:rsidRDefault="00EF4777" w:rsidP="00962748">
            <w:pPr>
              <w:pStyle w:val="Tablebody"/>
              <w:rPr>
                <w:rFonts w:cs="Open Sans"/>
                <w:szCs w:val="18"/>
                <w:lang w:val="en-GB"/>
              </w:rPr>
            </w:pPr>
            <w:r w:rsidRPr="004A7ED7">
              <w:rPr>
                <w:rFonts w:cs="Open Sans"/>
                <w:szCs w:val="18"/>
              </w:rPr>
              <w:t>S23</w:t>
            </w:r>
          </w:p>
        </w:tc>
        <w:tc>
          <w:tcPr>
            <w:tcW w:w="3912" w:type="dxa"/>
          </w:tcPr>
          <w:p w14:paraId="537B8EA1"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It is common for sexual assault accusations to be used as a way of getting back at men</w:t>
            </w:r>
          </w:p>
        </w:tc>
        <w:tc>
          <w:tcPr>
            <w:tcW w:w="1474" w:type="dxa"/>
          </w:tcPr>
          <w:p w14:paraId="461BA59B"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DAD1376"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4B5DA6D3" w14:textId="3C086C1E"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10.14*</w:t>
            </w:r>
          </w:p>
        </w:tc>
        <w:tc>
          <w:tcPr>
            <w:tcW w:w="1304" w:type="dxa"/>
          </w:tcPr>
          <w:p w14:paraId="41687C33" w14:textId="741E977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32.59*</w:t>
            </w:r>
          </w:p>
        </w:tc>
        <w:tc>
          <w:tcPr>
            <w:tcW w:w="1299" w:type="dxa"/>
          </w:tcPr>
          <w:p w14:paraId="7F20C674" w14:textId="4857223E"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25.77</w:t>
            </w:r>
          </w:p>
        </w:tc>
        <w:tc>
          <w:tcPr>
            <w:tcW w:w="1077" w:type="dxa"/>
          </w:tcPr>
          <w:p w14:paraId="35B884C9" w14:textId="513C9070"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24.41*</w:t>
            </w:r>
          </w:p>
        </w:tc>
        <w:tc>
          <w:tcPr>
            <w:tcW w:w="1247" w:type="dxa"/>
          </w:tcPr>
          <w:p w14:paraId="3AA34B7D" w14:textId="682D9D1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6.98</w:t>
            </w:r>
          </w:p>
        </w:tc>
        <w:tc>
          <w:tcPr>
            <w:tcW w:w="1191" w:type="dxa"/>
          </w:tcPr>
          <w:p w14:paraId="302C077E" w14:textId="732C17A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42.73*</w:t>
            </w:r>
          </w:p>
        </w:tc>
        <w:tc>
          <w:tcPr>
            <w:tcW w:w="1134" w:type="dxa"/>
          </w:tcPr>
          <w:p w14:paraId="34193586" w14:textId="0869F8AB"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50.18*</w:t>
            </w:r>
          </w:p>
        </w:tc>
      </w:tr>
      <w:tr w:rsidR="00EF4777" w:rsidRPr="004A7ED7" w14:paraId="4A243E32" w14:textId="77777777" w:rsidTr="00962748">
        <w:trPr>
          <w:trHeight w:val="669"/>
        </w:trPr>
        <w:tc>
          <w:tcPr>
            <w:cnfStyle w:val="001000000000" w:firstRow="0" w:lastRow="0" w:firstColumn="1" w:lastColumn="0" w:oddVBand="0" w:evenVBand="0" w:oddHBand="0" w:evenHBand="0" w:firstRowFirstColumn="0" w:firstRowLastColumn="0" w:lastRowFirstColumn="0" w:lastRowLastColumn="0"/>
            <w:tcW w:w="723" w:type="dxa"/>
          </w:tcPr>
          <w:p w14:paraId="1904915D" w14:textId="06B457E1" w:rsidR="00EF4777" w:rsidRPr="004A7ED7" w:rsidRDefault="00EF4777" w:rsidP="00962748">
            <w:pPr>
              <w:pStyle w:val="Tablebody"/>
              <w:rPr>
                <w:rFonts w:cs="Open Sans"/>
                <w:szCs w:val="18"/>
              </w:rPr>
            </w:pPr>
            <w:r w:rsidRPr="004A7ED7">
              <w:rPr>
                <w:rFonts w:cs="Open Sans"/>
                <w:szCs w:val="18"/>
              </w:rPr>
              <w:t>S23</w:t>
            </w:r>
          </w:p>
        </w:tc>
        <w:tc>
          <w:tcPr>
            <w:tcW w:w="3912" w:type="dxa"/>
          </w:tcPr>
          <w:p w14:paraId="5F4968FC" w14:textId="04F3AD35"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It is common for sexual assault accusations to be used as a way of getting back at men</w:t>
            </w:r>
          </w:p>
        </w:tc>
        <w:tc>
          <w:tcPr>
            <w:tcW w:w="1474" w:type="dxa"/>
          </w:tcPr>
          <w:p w14:paraId="1E4D8156" w14:textId="13487BB6"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E678867" w14:textId="5EBEA41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67AF6A2A" w14:textId="2A288A5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3.68*</w:t>
            </w:r>
          </w:p>
        </w:tc>
        <w:tc>
          <w:tcPr>
            <w:tcW w:w="1304" w:type="dxa"/>
          </w:tcPr>
          <w:p w14:paraId="4AC101C2" w14:textId="06833F4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17.84*</w:t>
            </w:r>
          </w:p>
        </w:tc>
        <w:tc>
          <w:tcPr>
            <w:tcW w:w="1299" w:type="dxa"/>
          </w:tcPr>
          <w:p w14:paraId="22E9FFD9" w14:textId="4BE50BB6"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24.83</w:t>
            </w:r>
          </w:p>
        </w:tc>
        <w:tc>
          <w:tcPr>
            <w:tcW w:w="1077" w:type="dxa"/>
          </w:tcPr>
          <w:p w14:paraId="1DDD8B59" w14:textId="1B7DE7AA"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50.32*</w:t>
            </w:r>
          </w:p>
        </w:tc>
        <w:tc>
          <w:tcPr>
            <w:tcW w:w="1247" w:type="dxa"/>
          </w:tcPr>
          <w:p w14:paraId="08855F01" w14:textId="7547F7F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2.80</w:t>
            </w:r>
          </w:p>
        </w:tc>
        <w:tc>
          <w:tcPr>
            <w:tcW w:w="1191" w:type="dxa"/>
          </w:tcPr>
          <w:p w14:paraId="60754F70" w14:textId="7D947F50"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21.52*</w:t>
            </w:r>
          </w:p>
        </w:tc>
        <w:tc>
          <w:tcPr>
            <w:tcW w:w="1134" w:type="dxa"/>
          </w:tcPr>
          <w:p w14:paraId="278C3D9B" w14:textId="64755AE3"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75.15*</w:t>
            </w:r>
          </w:p>
        </w:tc>
      </w:tr>
      <w:tr w:rsidR="00EF4777" w:rsidRPr="004A7ED7" w14:paraId="525DE63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FC93AF4" w14:textId="77777777" w:rsidR="00EF4777" w:rsidRPr="004A7ED7" w:rsidRDefault="00EF4777" w:rsidP="00962748">
            <w:pPr>
              <w:pStyle w:val="Tablebody"/>
              <w:rPr>
                <w:rFonts w:cs="Open Sans"/>
                <w:szCs w:val="18"/>
                <w:lang w:val="en-GB"/>
              </w:rPr>
            </w:pPr>
            <w:r w:rsidRPr="004A7ED7">
              <w:rPr>
                <w:rFonts w:cs="Open Sans"/>
                <w:szCs w:val="18"/>
              </w:rPr>
              <w:t>S24</w:t>
            </w:r>
          </w:p>
        </w:tc>
        <w:tc>
          <w:tcPr>
            <w:tcW w:w="3912" w:type="dxa"/>
          </w:tcPr>
          <w:p w14:paraId="25E77ECE" w14:textId="15FE495B"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A lot of times, women who say they were raped had led the man on and then had</w:t>
            </w:r>
            <w:r>
              <w:rPr>
                <w:rFonts w:cs="Open Sans"/>
                <w:szCs w:val="18"/>
                <w:lang w:val="en-US"/>
              </w:rPr>
              <w:t> </w:t>
            </w:r>
            <w:r w:rsidRPr="004A7ED7">
              <w:rPr>
                <w:rFonts w:cs="Open Sans"/>
                <w:szCs w:val="18"/>
                <w:lang w:val="en-US"/>
              </w:rPr>
              <w:t>regrets</w:t>
            </w:r>
          </w:p>
        </w:tc>
        <w:tc>
          <w:tcPr>
            <w:tcW w:w="1474" w:type="dxa"/>
          </w:tcPr>
          <w:p w14:paraId="3CF86859"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20C7EB10" w14:textId="77777777"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57C0808E" w14:textId="1A527062"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4.90</w:t>
            </w:r>
          </w:p>
        </w:tc>
        <w:tc>
          <w:tcPr>
            <w:tcW w:w="1304" w:type="dxa"/>
          </w:tcPr>
          <w:p w14:paraId="0BFC650D" w14:textId="2F485F7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21.35*</w:t>
            </w:r>
          </w:p>
        </w:tc>
        <w:tc>
          <w:tcPr>
            <w:tcW w:w="1299" w:type="dxa"/>
          </w:tcPr>
          <w:p w14:paraId="34AAA983" w14:textId="06C85C61"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28.42</w:t>
            </w:r>
          </w:p>
        </w:tc>
        <w:tc>
          <w:tcPr>
            <w:tcW w:w="1077" w:type="dxa"/>
          </w:tcPr>
          <w:p w14:paraId="3903A138" w14:textId="482D297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34.02*</w:t>
            </w:r>
          </w:p>
        </w:tc>
        <w:tc>
          <w:tcPr>
            <w:tcW w:w="1247" w:type="dxa"/>
          </w:tcPr>
          <w:p w14:paraId="27D8A137" w14:textId="0D8F910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10.79*</w:t>
            </w:r>
          </w:p>
        </w:tc>
        <w:tc>
          <w:tcPr>
            <w:tcW w:w="1191" w:type="dxa"/>
          </w:tcPr>
          <w:p w14:paraId="692A99DB" w14:textId="44E526DC"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26.25*</w:t>
            </w:r>
          </w:p>
        </w:tc>
        <w:tc>
          <w:tcPr>
            <w:tcW w:w="1134" w:type="dxa"/>
          </w:tcPr>
          <w:p w14:paraId="737E610B" w14:textId="052C9B19"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62.45*</w:t>
            </w:r>
          </w:p>
        </w:tc>
      </w:tr>
      <w:tr w:rsidR="00EF4777" w:rsidRPr="004A7ED7" w14:paraId="0A91D13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6A704F19" w14:textId="187BDBAC" w:rsidR="00EF4777" w:rsidRPr="004A7ED7" w:rsidRDefault="00EF4777" w:rsidP="00962748">
            <w:pPr>
              <w:pStyle w:val="Tablebody"/>
              <w:rPr>
                <w:rFonts w:cs="Open Sans"/>
                <w:szCs w:val="18"/>
              </w:rPr>
            </w:pPr>
            <w:r w:rsidRPr="004A7ED7">
              <w:rPr>
                <w:rFonts w:cs="Open Sans"/>
                <w:szCs w:val="18"/>
              </w:rPr>
              <w:t>S24</w:t>
            </w:r>
          </w:p>
        </w:tc>
        <w:tc>
          <w:tcPr>
            <w:tcW w:w="3912" w:type="dxa"/>
          </w:tcPr>
          <w:p w14:paraId="71976398" w14:textId="53732EE8"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A lot of times, women who say they were raped had led the man on and then had</w:t>
            </w:r>
            <w:r>
              <w:rPr>
                <w:rFonts w:cs="Open Sans"/>
                <w:szCs w:val="18"/>
                <w:lang w:val="en-US"/>
              </w:rPr>
              <w:t> </w:t>
            </w:r>
            <w:r w:rsidRPr="004A7ED7">
              <w:rPr>
                <w:rFonts w:cs="Open Sans"/>
                <w:szCs w:val="18"/>
                <w:lang w:val="en-US"/>
              </w:rPr>
              <w:t>regrets</w:t>
            </w:r>
          </w:p>
        </w:tc>
        <w:tc>
          <w:tcPr>
            <w:tcW w:w="1474" w:type="dxa"/>
          </w:tcPr>
          <w:p w14:paraId="57D4C58A" w14:textId="51A51AED"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8AB1AC6" w14:textId="4606D7E1"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5AFBEAC1" w14:textId="1F344BF6"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2.72</w:t>
            </w:r>
          </w:p>
        </w:tc>
        <w:tc>
          <w:tcPr>
            <w:tcW w:w="1304" w:type="dxa"/>
          </w:tcPr>
          <w:p w14:paraId="2DC6F1B6" w14:textId="3452EF8A"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10.65*</w:t>
            </w:r>
          </w:p>
        </w:tc>
        <w:tc>
          <w:tcPr>
            <w:tcW w:w="1299" w:type="dxa"/>
          </w:tcPr>
          <w:p w14:paraId="0B6E1C7A" w14:textId="0ECD2D39" w:rsidR="00EF4777" w:rsidRPr="00EF477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20.06</w:t>
            </w:r>
          </w:p>
        </w:tc>
        <w:tc>
          <w:tcPr>
            <w:tcW w:w="1077" w:type="dxa"/>
          </w:tcPr>
          <w:p w14:paraId="35645F14" w14:textId="704C9096"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62.16*</w:t>
            </w:r>
          </w:p>
        </w:tc>
        <w:tc>
          <w:tcPr>
            <w:tcW w:w="1247" w:type="dxa"/>
          </w:tcPr>
          <w:p w14:paraId="2E3CE90A" w14:textId="4453C320"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3.77*</w:t>
            </w:r>
          </w:p>
        </w:tc>
        <w:tc>
          <w:tcPr>
            <w:tcW w:w="1191" w:type="dxa"/>
          </w:tcPr>
          <w:p w14:paraId="28C8AEA7" w14:textId="5C718D8C"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13.36*</w:t>
            </w:r>
          </w:p>
        </w:tc>
        <w:tc>
          <w:tcPr>
            <w:tcW w:w="1134" w:type="dxa"/>
          </w:tcPr>
          <w:p w14:paraId="175748D5" w14:textId="0B50156B" w:rsidR="00EF4777" w:rsidRPr="004A7ED7" w:rsidRDefault="00EF477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82.21*</w:t>
            </w:r>
          </w:p>
        </w:tc>
      </w:tr>
      <w:tr w:rsidR="00BD3F35" w:rsidRPr="004A7ED7" w14:paraId="240A537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155A53C" w14:textId="77777777" w:rsidR="00BD3F35" w:rsidRPr="004A7ED7" w:rsidRDefault="00BD3F35" w:rsidP="00962748">
            <w:pPr>
              <w:pStyle w:val="Tablebody"/>
              <w:rPr>
                <w:rFonts w:cs="Open Sans"/>
                <w:szCs w:val="18"/>
                <w:lang w:val="en-GB"/>
              </w:rPr>
            </w:pPr>
            <w:r w:rsidRPr="004A7ED7">
              <w:rPr>
                <w:rFonts w:cs="Open Sans"/>
                <w:szCs w:val="18"/>
              </w:rPr>
              <w:t>S25</w:t>
            </w:r>
          </w:p>
        </w:tc>
        <w:tc>
          <w:tcPr>
            <w:tcW w:w="3912" w:type="dxa"/>
          </w:tcPr>
          <w:p w14:paraId="1DB09B3B"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who wait weeks or months to report sexual assault are probably lying</w:t>
            </w:r>
          </w:p>
        </w:tc>
        <w:tc>
          <w:tcPr>
            <w:tcW w:w="1474" w:type="dxa"/>
          </w:tcPr>
          <w:p w14:paraId="1B3FF543"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7FB0C21C"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7B83DF4F" w14:textId="28E600FE"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1.57</w:t>
            </w:r>
            <w:r w:rsidRPr="004A7ED7">
              <w:rPr>
                <w:rFonts w:cs="Open Sans"/>
                <w:szCs w:val="18"/>
                <w:vertAlign w:val="superscript"/>
              </w:rPr>
              <w:t>c</w:t>
            </w:r>
          </w:p>
        </w:tc>
        <w:tc>
          <w:tcPr>
            <w:tcW w:w="1304" w:type="dxa"/>
          </w:tcPr>
          <w:p w14:paraId="5738067E" w14:textId="3879332A"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6.23*</w:t>
            </w:r>
          </w:p>
        </w:tc>
        <w:tc>
          <w:tcPr>
            <w:tcW w:w="1299" w:type="dxa"/>
          </w:tcPr>
          <w:p w14:paraId="7F1403F8" w14:textId="4654319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22.85*</w:t>
            </w:r>
          </w:p>
        </w:tc>
        <w:tc>
          <w:tcPr>
            <w:tcW w:w="1077" w:type="dxa"/>
          </w:tcPr>
          <w:p w14:paraId="363ECC05" w14:textId="615F782B"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66.70*</w:t>
            </w:r>
          </w:p>
        </w:tc>
        <w:tc>
          <w:tcPr>
            <w:tcW w:w="1247" w:type="dxa"/>
          </w:tcPr>
          <w:p w14:paraId="181089BD" w14:textId="0C73D684"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2.48</w:t>
            </w:r>
          </w:p>
        </w:tc>
        <w:tc>
          <w:tcPr>
            <w:tcW w:w="1191" w:type="dxa"/>
          </w:tcPr>
          <w:p w14:paraId="606B35FB" w14:textId="342E5878"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7.80*</w:t>
            </w:r>
          </w:p>
        </w:tc>
        <w:tc>
          <w:tcPr>
            <w:tcW w:w="1134" w:type="dxa"/>
          </w:tcPr>
          <w:p w14:paraId="620990F1" w14:textId="7E483BE2"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89.55*</w:t>
            </w:r>
          </w:p>
        </w:tc>
      </w:tr>
      <w:tr w:rsidR="00BD3F35" w:rsidRPr="004A7ED7" w14:paraId="046DDF2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35EA33BC" w14:textId="1009FB1A" w:rsidR="00BD3F35" w:rsidRPr="004A7ED7" w:rsidRDefault="00BD3F35" w:rsidP="00962748">
            <w:pPr>
              <w:pStyle w:val="Tablebody"/>
              <w:rPr>
                <w:rFonts w:cs="Open Sans"/>
                <w:szCs w:val="18"/>
              </w:rPr>
            </w:pPr>
            <w:r w:rsidRPr="004A7ED7">
              <w:rPr>
                <w:rFonts w:cs="Open Sans"/>
                <w:szCs w:val="18"/>
              </w:rPr>
              <w:t>S25</w:t>
            </w:r>
          </w:p>
        </w:tc>
        <w:tc>
          <w:tcPr>
            <w:tcW w:w="3912" w:type="dxa"/>
          </w:tcPr>
          <w:p w14:paraId="74CF730F" w14:textId="6838A844"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who wait weeks or months to report sexual assault are probably lying</w:t>
            </w:r>
          </w:p>
        </w:tc>
        <w:tc>
          <w:tcPr>
            <w:tcW w:w="1474" w:type="dxa"/>
          </w:tcPr>
          <w:p w14:paraId="557DF664" w14:textId="609C35E8"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5C62428D" w14:textId="63CCF320"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5757ACA4" w14:textId="24173200" w:rsidR="00BD3F35" w:rsidRPr="00BD3F35"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0.81</w:t>
            </w:r>
            <w:r w:rsidRPr="004A7ED7">
              <w:rPr>
                <w:rFonts w:cs="Open Sans"/>
                <w:szCs w:val="18"/>
                <w:vertAlign w:val="superscript"/>
              </w:rPr>
              <w:t>c</w:t>
            </w:r>
          </w:p>
        </w:tc>
        <w:tc>
          <w:tcPr>
            <w:tcW w:w="1304" w:type="dxa"/>
          </w:tcPr>
          <w:p w14:paraId="2AFFB9A7" w14:textId="066DAC5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2.02*</w:t>
            </w:r>
            <w:r w:rsidRPr="004A7ED7">
              <w:rPr>
                <w:rFonts w:cs="Open Sans"/>
                <w:szCs w:val="18"/>
                <w:vertAlign w:val="superscript"/>
              </w:rPr>
              <w:t xml:space="preserve"> c</w:t>
            </w:r>
          </w:p>
        </w:tc>
        <w:tc>
          <w:tcPr>
            <w:tcW w:w="1299" w:type="dxa"/>
          </w:tcPr>
          <w:p w14:paraId="29B42E1A" w14:textId="2691E6E9"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8.23*</w:t>
            </w:r>
          </w:p>
        </w:tc>
        <w:tc>
          <w:tcPr>
            <w:tcW w:w="1077" w:type="dxa"/>
          </w:tcPr>
          <w:p w14:paraId="017134A8" w14:textId="4DF8EB16"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87.16*</w:t>
            </w:r>
          </w:p>
        </w:tc>
        <w:tc>
          <w:tcPr>
            <w:tcW w:w="1247" w:type="dxa"/>
          </w:tcPr>
          <w:p w14:paraId="157A5107" w14:textId="579EE719" w:rsidR="00BD3F35" w:rsidRPr="00BD3F35"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1.25</w:t>
            </w:r>
            <w:r w:rsidRPr="004A7ED7">
              <w:rPr>
                <w:rFonts w:cs="Open Sans"/>
                <w:szCs w:val="18"/>
                <w:vertAlign w:val="superscript"/>
              </w:rPr>
              <w:t>c</w:t>
            </w:r>
          </w:p>
        </w:tc>
        <w:tc>
          <w:tcPr>
            <w:tcW w:w="1191" w:type="dxa"/>
          </w:tcPr>
          <w:p w14:paraId="16DE0266" w14:textId="7104C7BC"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2.83*</w:t>
            </w:r>
            <w:r w:rsidRPr="004A7ED7">
              <w:rPr>
                <w:rFonts w:cs="Open Sans"/>
                <w:szCs w:val="18"/>
                <w:vertAlign w:val="superscript"/>
              </w:rPr>
              <w:t xml:space="preserve"> c</w:t>
            </w:r>
          </w:p>
        </w:tc>
        <w:tc>
          <w:tcPr>
            <w:tcW w:w="1134" w:type="dxa"/>
          </w:tcPr>
          <w:p w14:paraId="7971238D" w14:textId="3C4A0255"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95.39*</w:t>
            </w:r>
          </w:p>
        </w:tc>
      </w:tr>
      <w:tr w:rsidR="00BD3F35" w:rsidRPr="004A7ED7" w14:paraId="61413E7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FF6264E" w14:textId="77777777" w:rsidR="00BD3F35" w:rsidRPr="004A7ED7" w:rsidRDefault="00BD3F35" w:rsidP="00962748">
            <w:pPr>
              <w:pStyle w:val="Tablebody"/>
              <w:rPr>
                <w:rFonts w:cs="Open Sans"/>
                <w:szCs w:val="18"/>
                <w:lang w:val="en-GB"/>
              </w:rPr>
            </w:pPr>
            <w:r w:rsidRPr="004A7ED7">
              <w:rPr>
                <w:rFonts w:cs="Open Sans"/>
                <w:szCs w:val="18"/>
              </w:rPr>
              <w:t>V3</w:t>
            </w:r>
          </w:p>
        </w:tc>
        <w:tc>
          <w:tcPr>
            <w:tcW w:w="3912" w:type="dxa"/>
          </w:tcPr>
          <w:p w14:paraId="21286A9C"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Many women exaggerate the extent of men’s violence against women^</w:t>
            </w:r>
          </w:p>
        </w:tc>
        <w:tc>
          <w:tcPr>
            <w:tcW w:w="1474" w:type="dxa"/>
          </w:tcPr>
          <w:p w14:paraId="268EA848"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49DAA22E" w14:textId="77777777"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23B9AB6A" w14:textId="5A35F8D2"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3.39</w:t>
            </w:r>
          </w:p>
        </w:tc>
        <w:tc>
          <w:tcPr>
            <w:tcW w:w="1304" w:type="dxa"/>
          </w:tcPr>
          <w:p w14:paraId="6A201D8A" w14:textId="26EA528D"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23.71*</w:t>
            </w:r>
          </w:p>
        </w:tc>
        <w:tc>
          <w:tcPr>
            <w:tcW w:w="1299" w:type="dxa"/>
          </w:tcPr>
          <w:p w14:paraId="21C9AFEB" w14:textId="36D995F5"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30.49</w:t>
            </w:r>
          </w:p>
        </w:tc>
        <w:tc>
          <w:tcPr>
            <w:tcW w:w="1077" w:type="dxa"/>
          </w:tcPr>
          <w:p w14:paraId="16D34006" w14:textId="5E5A6C48"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30.47*</w:t>
            </w:r>
          </w:p>
        </w:tc>
        <w:tc>
          <w:tcPr>
            <w:tcW w:w="1247" w:type="dxa"/>
          </w:tcPr>
          <w:p w14:paraId="1850F808" w14:textId="522E5C7C"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11.79*</w:t>
            </w:r>
          </w:p>
        </w:tc>
        <w:tc>
          <w:tcPr>
            <w:tcW w:w="1191" w:type="dxa"/>
          </w:tcPr>
          <w:p w14:paraId="65F6C745" w14:textId="70EC66B5"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27.09</w:t>
            </w:r>
          </w:p>
        </w:tc>
        <w:tc>
          <w:tcPr>
            <w:tcW w:w="1134" w:type="dxa"/>
          </w:tcPr>
          <w:p w14:paraId="221D8342" w14:textId="558A78D2"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60.96*</w:t>
            </w:r>
          </w:p>
        </w:tc>
      </w:tr>
      <w:tr w:rsidR="00BD3F35" w:rsidRPr="004A7ED7" w14:paraId="3E107B5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7E4FF7BA" w14:textId="4ED1F45B" w:rsidR="00BD3F35" w:rsidRPr="004A7ED7" w:rsidRDefault="00BD3F35" w:rsidP="00962748">
            <w:pPr>
              <w:pStyle w:val="Tablebody"/>
              <w:rPr>
                <w:rFonts w:cs="Open Sans"/>
                <w:szCs w:val="18"/>
              </w:rPr>
            </w:pPr>
            <w:r w:rsidRPr="004A7ED7">
              <w:rPr>
                <w:rFonts w:cs="Open Sans"/>
                <w:szCs w:val="18"/>
              </w:rPr>
              <w:lastRenderedPageBreak/>
              <w:t>V3</w:t>
            </w:r>
          </w:p>
        </w:tc>
        <w:tc>
          <w:tcPr>
            <w:tcW w:w="3912" w:type="dxa"/>
          </w:tcPr>
          <w:p w14:paraId="5CDF8903" w14:textId="3D066CD5"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Many women exaggerate the extent of men’s violence against women^</w:t>
            </w:r>
          </w:p>
        </w:tc>
        <w:tc>
          <w:tcPr>
            <w:tcW w:w="1474" w:type="dxa"/>
          </w:tcPr>
          <w:p w14:paraId="06982E68" w14:textId="3A89FE5F"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738F7FE" w14:textId="5AF057EE"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1998924D" w14:textId="1CAC9685"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4.94</w:t>
            </w:r>
            <w:r w:rsidRPr="004A7ED7">
              <w:rPr>
                <w:rFonts w:cs="Open Sans"/>
                <w:szCs w:val="18"/>
                <w:vertAlign w:val="superscript"/>
              </w:rPr>
              <w:t>c</w:t>
            </w:r>
          </w:p>
        </w:tc>
        <w:tc>
          <w:tcPr>
            <w:tcW w:w="1304" w:type="dxa"/>
          </w:tcPr>
          <w:p w14:paraId="3ADEA6CA" w14:textId="26FF497F"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rPr>
              <w:t>14.03*</w:t>
            </w:r>
          </w:p>
        </w:tc>
        <w:tc>
          <w:tcPr>
            <w:tcW w:w="1299" w:type="dxa"/>
          </w:tcPr>
          <w:p w14:paraId="5236C6B5" w14:textId="50939771"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24.31</w:t>
            </w:r>
          </w:p>
        </w:tc>
        <w:tc>
          <w:tcPr>
            <w:tcW w:w="1077" w:type="dxa"/>
          </w:tcPr>
          <w:p w14:paraId="2101EA8C" w14:textId="0614930F"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53.45*</w:t>
            </w:r>
          </w:p>
        </w:tc>
        <w:tc>
          <w:tcPr>
            <w:tcW w:w="1247" w:type="dxa"/>
          </w:tcPr>
          <w:p w14:paraId="600AE94F" w14:textId="5F6F76D3"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3.27*</w:t>
            </w:r>
          </w:p>
        </w:tc>
        <w:tc>
          <w:tcPr>
            <w:tcW w:w="1191" w:type="dxa"/>
          </w:tcPr>
          <w:p w14:paraId="6E7E3662" w14:textId="6EFAA16B"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18.97</w:t>
            </w:r>
          </w:p>
        </w:tc>
        <w:tc>
          <w:tcPr>
            <w:tcW w:w="1134" w:type="dxa"/>
          </w:tcPr>
          <w:p w14:paraId="47C079E1" w14:textId="5ED9687D" w:rsidR="00BD3F35" w:rsidRPr="004A7ED7" w:rsidRDefault="00BD3F35"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77.76*</w:t>
            </w:r>
          </w:p>
        </w:tc>
      </w:tr>
    </w:tbl>
    <w:p w14:paraId="6C5D648D" w14:textId="0D13F5D4" w:rsidR="009C08D2" w:rsidRDefault="00872B4E" w:rsidP="00966261">
      <w:pPr>
        <w:pStyle w:val="Tablesubheading0"/>
      </w:pPr>
      <w:r>
        <w:t xml:space="preserve">Subscale: </w:t>
      </w:r>
      <w:r w:rsidRPr="00531840">
        <w:t>Objectify Women</w:t>
      </w:r>
    </w:p>
    <w:tbl>
      <w:tblPr>
        <w:tblStyle w:val="Table-SingleHeaderRow"/>
        <w:tblW w:w="14944" w:type="dxa"/>
        <w:tblLayout w:type="fixed"/>
        <w:tblLook w:val="00A0" w:firstRow="1" w:lastRow="0" w:firstColumn="1" w:lastColumn="0" w:noHBand="0" w:noVBand="0"/>
      </w:tblPr>
      <w:tblGrid>
        <w:gridCol w:w="722"/>
        <w:gridCol w:w="3910"/>
        <w:gridCol w:w="1473"/>
        <w:gridCol w:w="566"/>
        <w:gridCol w:w="1021"/>
        <w:gridCol w:w="1304"/>
        <w:gridCol w:w="1299"/>
        <w:gridCol w:w="1077"/>
        <w:gridCol w:w="1247"/>
        <w:gridCol w:w="1191"/>
        <w:gridCol w:w="1134"/>
      </w:tblGrid>
      <w:tr w:rsidR="00872B4E" w:rsidRPr="004A7ED7" w14:paraId="485D9910" w14:textId="77777777" w:rsidTr="00962748">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722" w:type="dxa"/>
          </w:tcPr>
          <w:p w14:paraId="3754163A" w14:textId="77777777" w:rsidR="00872B4E" w:rsidRPr="004A7ED7" w:rsidRDefault="00872B4E" w:rsidP="00962748">
            <w:pPr>
              <w:pStyle w:val="Tablebody"/>
              <w:rPr>
                <w:b w:val="0"/>
                <w:lang w:val="en-GB"/>
              </w:rPr>
            </w:pPr>
            <w:r w:rsidRPr="004A7ED7">
              <w:t>Code</w:t>
            </w:r>
          </w:p>
        </w:tc>
        <w:tc>
          <w:tcPr>
            <w:tcW w:w="3910" w:type="dxa"/>
          </w:tcPr>
          <w:p w14:paraId="2FE58D55"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Abbreviated item wording</w:t>
            </w:r>
          </w:p>
        </w:tc>
        <w:tc>
          <w:tcPr>
            <w:tcW w:w="1473" w:type="dxa"/>
          </w:tcPr>
          <w:p w14:paraId="146BBCB0"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Age</w:t>
            </w:r>
          </w:p>
        </w:tc>
        <w:tc>
          <w:tcPr>
            <w:tcW w:w="566" w:type="dxa"/>
          </w:tcPr>
          <w:p w14:paraId="0432785E"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A7ED7">
              <w:rPr>
                <w:rStyle w:val="Emphasis"/>
                <w:lang w:val="en-US"/>
              </w:rPr>
              <w:t>N</w:t>
            </w:r>
          </w:p>
        </w:tc>
        <w:tc>
          <w:tcPr>
            <w:tcW w:w="1021" w:type="dxa"/>
          </w:tcPr>
          <w:p w14:paraId="1F406C1E"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agree</w:t>
            </w:r>
          </w:p>
        </w:tc>
        <w:tc>
          <w:tcPr>
            <w:tcW w:w="1304" w:type="dxa"/>
          </w:tcPr>
          <w:p w14:paraId="058076B2"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agree</w:t>
            </w:r>
          </w:p>
        </w:tc>
        <w:tc>
          <w:tcPr>
            <w:tcW w:w="1299" w:type="dxa"/>
          </w:tcPr>
          <w:p w14:paraId="2C563C31"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disagree</w:t>
            </w:r>
          </w:p>
        </w:tc>
        <w:tc>
          <w:tcPr>
            <w:tcW w:w="1077" w:type="dxa"/>
          </w:tcPr>
          <w:p w14:paraId="0350001E"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disagree</w:t>
            </w:r>
          </w:p>
        </w:tc>
        <w:tc>
          <w:tcPr>
            <w:tcW w:w="1247" w:type="dxa"/>
          </w:tcPr>
          <w:p w14:paraId="2F2129FC"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Undecided</w:t>
            </w:r>
          </w:p>
        </w:tc>
        <w:tc>
          <w:tcPr>
            <w:tcW w:w="1191" w:type="dxa"/>
          </w:tcPr>
          <w:p w14:paraId="26546D09"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agree</w:t>
            </w:r>
            <w:r w:rsidRPr="004A7ED7">
              <w:rPr>
                <w:vertAlign w:val="superscript"/>
              </w:rPr>
              <w:t>a</w:t>
            </w:r>
          </w:p>
        </w:tc>
        <w:tc>
          <w:tcPr>
            <w:tcW w:w="1134" w:type="dxa"/>
          </w:tcPr>
          <w:p w14:paraId="0FE7BD80"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disagree</w:t>
            </w:r>
            <w:r w:rsidRPr="004A7ED7">
              <w:rPr>
                <w:vertAlign w:val="superscript"/>
              </w:rPr>
              <w:t>b</w:t>
            </w:r>
          </w:p>
        </w:tc>
      </w:tr>
      <w:tr w:rsidR="003A5C2C" w:rsidRPr="004A7ED7" w14:paraId="284C263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D12CCAA" w14:textId="77777777" w:rsidR="003A5C2C" w:rsidRPr="004A7ED7" w:rsidRDefault="003A5C2C" w:rsidP="00962748">
            <w:pPr>
              <w:pStyle w:val="Tablebody"/>
              <w:rPr>
                <w:rFonts w:cs="Open Sans"/>
                <w:szCs w:val="18"/>
                <w:lang w:val="en-GB"/>
              </w:rPr>
            </w:pPr>
            <w:r w:rsidRPr="004A7ED7">
              <w:rPr>
                <w:rFonts w:cs="Open Sans"/>
                <w:szCs w:val="18"/>
              </w:rPr>
              <w:t>D26</w:t>
            </w:r>
          </w:p>
        </w:tc>
        <w:tc>
          <w:tcPr>
            <w:tcW w:w="3910" w:type="dxa"/>
          </w:tcPr>
          <w:p w14:paraId="25425EF7" w14:textId="77777777"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who flirt all the time are somewhat to blame if their partner gets jealous and hits them^</w:t>
            </w:r>
          </w:p>
        </w:tc>
        <w:tc>
          <w:tcPr>
            <w:tcW w:w="1473" w:type="dxa"/>
          </w:tcPr>
          <w:p w14:paraId="7E41EEF6" w14:textId="77777777"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42794D47" w14:textId="77777777"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1EA01590" w14:textId="3865CE9E"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1.60</w:t>
            </w:r>
            <w:r w:rsidRPr="004A7ED7">
              <w:rPr>
                <w:rFonts w:cs="Open Sans"/>
                <w:szCs w:val="18"/>
                <w:vertAlign w:val="superscript"/>
              </w:rPr>
              <w:t>c</w:t>
            </w:r>
          </w:p>
        </w:tc>
        <w:tc>
          <w:tcPr>
            <w:tcW w:w="1304" w:type="dxa"/>
          </w:tcPr>
          <w:p w14:paraId="77C6EC19" w14:textId="71731E21"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8.46</w:t>
            </w:r>
          </w:p>
        </w:tc>
        <w:tc>
          <w:tcPr>
            <w:tcW w:w="1299" w:type="dxa"/>
          </w:tcPr>
          <w:p w14:paraId="66040782" w14:textId="62194A71"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17.99</w:t>
            </w:r>
          </w:p>
        </w:tc>
        <w:tc>
          <w:tcPr>
            <w:tcW w:w="1077" w:type="dxa"/>
          </w:tcPr>
          <w:p w14:paraId="1178330B" w14:textId="59801855"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68.29*</w:t>
            </w:r>
          </w:p>
        </w:tc>
        <w:tc>
          <w:tcPr>
            <w:tcW w:w="1247" w:type="dxa"/>
          </w:tcPr>
          <w:p w14:paraId="150D970D" w14:textId="00D72A58"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3.51</w:t>
            </w:r>
            <w:r w:rsidRPr="004A7ED7">
              <w:rPr>
                <w:rFonts w:cs="Open Sans"/>
                <w:szCs w:val="18"/>
                <w:vertAlign w:val="superscript"/>
              </w:rPr>
              <w:t>c</w:t>
            </w:r>
          </w:p>
        </w:tc>
        <w:tc>
          <w:tcPr>
            <w:tcW w:w="1191" w:type="dxa"/>
          </w:tcPr>
          <w:p w14:paraId="569E62C6" w14:textId="7D3B9FE9"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10.07</w:t>
            </w:r>
          </w:p>
        </w:tc>
        <w:tc>
          <w:tcPr>
            <w:tcW w:w="1134" w:type="dxa"/>
          </w:tcPr>
          <w:p w14:paraId="5A0C6359" w14:textId="7F0B5DCE"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86.29</w:t>
            </w:r>
          </w:p>
        </w:tc>
      </w:tr>
      <w:tr w:rsidR="003A5C2C" w:rsidRPr="004A7ED7" w14:paraId="38A20739"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3FE8C993" w14:textId="3D2994DB" w:rsidR="003A5C2C" w:rsidRPr="004A7ED7" w:rsidRDefault="003A5C2C" w:rsidP="00962748">
            <w:pPr>
              <w:pStyle w:val="Tablebody"/>
              <w:rPr>
                <w:rFonts w:cs="Open Sans"/>
                <w:szCs w:val="18"/>
              </w:rPr>
            </w:pPr>
            <w:r w:rsidRPr="004A7ED7">
              <w:rPr>
                <w:rFonts w:cs="Open Sans"/>
                <w:szCs w:val="18"/>
              </w:rPr>
              <w:t>D26</w:t>
            </w:r>
          </w:p>
        </w:tc>
        <w:tc>
          <w:tcPr>
            <w:tcW w:w="3910" w:type="dxa"/>
          </w:tcPr>
          <w:p w14:paraId="6089D561" w14:textId="5AA32240"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who flirt all the time are somewhat to blame if their partner gets jealous and hits them^</w:t>
            </w:r>
          </w:p>
        </w:tc>
        <w:tc>
          <w:tcPr>
            <w:tcW w:w="1473" w:type="dxa"/>
          </w:tcPr>
          <w:p w14:paraId="22CBE74C" w14:textId="3F65E191"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03750829" w14:textId="428B5C3B"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4FEEEF4A" w14:textId="2871FF8F" w:rsidR="003A5C2C" w:rsidRPr="003A5C2C"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1.52</w:t>
            </w:r>
            <w:r w:rsidRPr="004A7ED7">
              <w:rPr>
                <w:rFonts w:cs="Open Sans"/>
                <w:szCs w:val="18"/>
                <w:vertAlign w:val="superscript"/>
              </w:rPr>
              <w:t>c</w:t>
            </w:r>
          </w:p>
        </w:tc>
        <w:tc>
          <w:tcPr>
            <w:tcW w:w="1304" w:type="dxa"/>
          </w:tcPr>
          <w:p w14:paraId="7D56018B" w14:textId="7F02C5FA"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6.37</w:t>
            </w:r>
            <w:r w:rsidRPr="004A7ED7">
              <w:rPr>
                <w:rFonts w:cs="Open Sans"/>
                <w:szCs w:val="18"/>
                <w:vertAlign w:val="superscript"/>
              </w:rPr>
              <w:t>c</w:t>
            </w:r>
          </w:p>
        </w:tc>
        <w:tc>
          <w:tcPr>
            <w:tcW w:w="1299" w:type="dxa"/>
          </w:tcPr>
          <w:p w14:paraId="22F0E8FB" w14:textId="79474EE6"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11.03</w:t>
            </w:r>
          </w:p>
        </w:tc>
        <w:tc>
          <w:tcPr>
            <w:tcW w:w="1077" w:type="dxa"/>
          </w:tcPr>
          <w:p w14:paraId="5BB4C3C6" w14:textId="22324EB9"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79.93*</w:t>
            </w:r>
          </w:p>
        </w:tc>
        <w:tc>
          <w:tcPr>
            <w:tcW w:w="1247" w:type="dxa"/>
          </w:tcPr>
          <w:p w14:paraId="3D8C08BA" w14:textId="41CD6CE3" w:rsidR="003A5C2C" w:rsidRPr="003A5C2C"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1.15</w:t>
            </w:r>
            <w:r w:rsidRPr="004A7ED7">
              <w:rPr>
                <w:rFonts w:cs="Open Sans"/>
                <w:szCs w:val="18"/>
                <w:vertAlign w:val="superscript"/>
              </w:rPr>
              <w:t>c</w:t>
            </w:r>
          </w:p>
        </w:tc>
        <w:tc>
          <w:tcPr>
            <w:tcW w:w="1191" w:type="dxa"/>
          </w:tcPr>
          <w:p w14:paraId="31072D04" w14:textId="6CFAAA5E"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7.89</w:t>
            </w:r>
          </w:p>
        </w:tc>
        <w:tc>
          <w:tcPr>
            <w:tcW w:w="1134" w:type="dxa"/>
          </w:tcPr>
          <w:p w14:paraId="4AD71734" w14:textId="54B51402" w:rsidR="003A5C2C" w:rsidRPr="004A7ED7" w:rsidRDefault="003A5C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90.96</w:t>
            </w:r>
          </w:p>
        </w:tc>
      </w:tr>
      <w:tr w:rsidR="00243FA7" w:rsidRPr="004A7ED7" w14:paraId="7C089B8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6339738C" w14:textId="77777777" w:rsidR="00243FA7" w:rsidRPr="004A7ED7" w:rsidRDefault="00243FA7" w:rsidP="00962748">
            <w:pPr>
              <w:pStyle w:val="Tablebody"/>
              <w:rPr>
                <w:rFonts w:cs="Open Sans"/>
                <w:szCs w:val="18"/>
                <w:lang w:val="en-GB"/>
              </w:rPr>
            </w:pPr>
            <w:r w:rsidRPr="004A7ED7">
              <w:rPr>
                <w:rFonts w:cs="Open Sans"/>
                <w:szCs w:val="18"/>
              </w:rPr>
              <w:t>S3</w:t>
            </w:r>
          </w:p>
        </w:tc>
        <w:tc>
          <w:tcPr>
            <w:tcW w:w="3910" w:type="dxa"/>
          </w:tcPr>
          <w:p w14:paraId="2E12B0FB"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A woman should be flattered if she gets wolf-whistles or catcalls when walking past a group of men in public^</w:t>
            </w:r>
          </w:p>
        </w:tc>
        <w:tc>
          <w:tcPr>
            <w:tcW w:w="1473" w:type="dxa"/>
          </w:tcPr>
          <w:p w14:paraId="1E1C4EF9"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3F0E6C5E"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2C795DA1" w14:textId="5C1DC140"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2.54</w:t>
            </w:r>
            <w:r w:rsidRPr="004A7ED7">
              <w:rPr>
                <w:rFonts w:cs="Open Sans"/>
                <w:szCs w:val="18"/>
                <w:vertAlign w:val="superscript"/>
              </w:rPr>
              <w:t>c</w:t>
            </w:r>
          </w:p>
        </w:tc>
        <w:tc>
          <w:tcPr>
            <w:tcW w:w="1304" w:type="dxa"/>
          </w:tcPr>
          <w:p w14:paraId="5D29D897" w14:textId="2789B043"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5.12</w:t>
            </w:r>
          </w:p>
        </w:tc>
        <w:tc>
          <w:tcPr>
            <w:tcW w:w="1299" w:type="dxa"/>
          </w:tcPr>
          <w:p w14:paraId="7067A694" w14:textId="4B72733E"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23.91*</w:t>
            </w:r>
          </w:p>
        </w:tc>
        <w:tc>
          <w:tcPr>
            <w:tcW w:w="1077" w:type="dxa"/>
          </w:tcPr>
          <w:p w14:paraId="504ECE26" w14:textId="6E491CED"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64.76*</w:t>
            </w:r>
          </w:p>
        </w:tc>
        <w:tc>
          <w:tcPr>
            <w:tcW w:w="1247" w:type="dxa"/>
          </w:tcPr>
          <w:p w14:paraId="1FB06629" w14:textId="0ACCBE1C"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3.24</w:t>
            </w:r>
          </w:p>
        </w:tc>
        <w:tc>
          <w:tcPr>
            <w:tcW w:w="1191" w:type="dxa"/>
          </w:tcPr>
          <w:p w14:paraId="7386DF8B" w14:textId="41E57663"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7.66</w:t>
            </w:r>
          </w:p>
        </w:tc>
        <w:tc>
          <w:tcPr>
            <w:tcW w:w="1134" w:type="dxa"/>
          </w:tcPr>
          <w:p w14:paraId="232FCE43" w14:textId="0FD7928C"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88.67</w:t>
            </w:r>
          </w:p>
        </w:tc>
      </w:tr>
      <w:tr w:rsidR="00243FA7" w:rsidRPr="004A7ED7" w14:paraId="39086EA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609816C1" w14:textId="7A763801" w:rsidR="00243FA7" w:rsidRPr="004A7ED7" w:rsidRDefault="00243FA7" w:rsidP="00962748">
            <w:pPr>
              <w:pStyle w:val="Tablebody"/>
              <w:rPr>
                <w:rFonts w:cs="Open Sans"/>
                <w:szCs w:val="18"/>
              </w:rPr>
            </w:pPr>
            <w:r w:rsidRPr="004A7ED7">
              <w:rPr>
                <w:rFonts w:cs="Open Sans"/>
                <w:szCs w:val="18"/>
              </w:rPr>
              <w:t>S3</w:t>
            </w:r>
          </w:p>
        </w:tc>
        <w:tc>
          <w:tcPr>
            <w:tcW w:w="3910" w:type="dxa"/>
          </w:tcPr>
          <w:p w14:paraId="45ADC4C7" w14:textId="618FF1A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A woman should be flattered if she gets wolf-whistles or catcalls when walking past a group of men in public^</w:t>
            </w:r>
          </w:p>
        </w:tc>
        <w:tc>
          <w:tcPr>
            <w:tcW w:w="1473" w:type="dxa"/>
          </w:tcPr>
          <w:p w14:paraId="3662D7E4" w14:textId="6A364472"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09011841" w14:textId="3EECACC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0E71B5F7" w14:textId="7C8B9D85"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2.40</w:t>
            </w:r>
            <w:r w:rsidRPr="004A7ED7">
              <w:rPr>
                <w:rFonts w:cs="Open Sans"/>
                <w:szCs w:val="18"/>
                <w:vertAlign w:val="superscript"/>
              </w:rPr>
              <w:t>c</w:t>
            </w:r>
          </w:p>
        </w:tc>
        <w:tc>
          <w:tcPr>
            <w:tcW w:w="1304" w:type="dxa"/>
          </w:tcPr>
          <w:p w14:paraId="30A9ACC6" w14:textId="43591474"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3.20</w:t>
            </w:r>
            <w:r w:rsidRPr="004A7ED7">
              <w:rPr>
                <w:rFonts w:cs="Open Sans"/>
                <w:szCs w:val="18"/>
                <w:vertAlign w:val="superscript"/>
              </w:rPr>
              <w:t>c</w:t>
            </w:r>
          </w:p>
        </w:tc>
        <w:tc>
          <w:tcPr>
            <w:tcW w:w="1299" w:type="dxa"/>
          </w:tcPr>
          <w:p w14:paraId="157AC0A8" w14:textId="00BBE7D8"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15.45*</w:t>
            </w:r>
          </w:p>
        </w:tc>
        <w:tc>
          <w:tcPr>
            <w:tcW w:w="1077" w:type="dxa"/>
          </w:tcPr>
          <w:p w14:paraId="5603D8B9" w14:textId="6F6AC65F"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77.55*</w:t>
            </w:r>
          </w:p>
        </w:tc>
        <w:tc>
          <w:tcPr>
            <w:tcW w:w="1247" w:type="dxa"/>
          </w:tcPr>
          <w:p w14:paraId="076DCDC6" w14:textId="05E79807"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1.16</w:t>
            </w:r>
            <w:r w:rsidRPr="004A7ED7">
              <w:rPr>
                <w:rFonts w:cs="Open Sans"/>
                <w:szCs w:val="18"/>
                <w:vertAlign w:val="superscript"/>
              </w:rPr>
              <w:t>c</w:t>
            </w:r>
          </w:p>
        </w:tc>
        <w:tc>
          <w:tcPr>
            <w:tcW w:w="1191" w:type="dxa"/>
          </w:tcPr>
          <w:p w14:paraId="1DF5CAC3" w14:textId="645A6D4E"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5.59</w:t>
            </w:r>
          </w:p>
        </w:tc>
        <w:tc>
          <w:tcPr>
            <w:tcW w:w="1134" w:type="dxa"/>
          </w:tcPr>
          <w:p w14:paraId="6913D612" w14:textId="09F20630"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93.00</w:t>
            </w:r>
          </w:p>
        </w:tc>
      </w:tr>
      <w:tr w:rsidR="00243FA7" w:rsidRPr="004A7ED7" w14:paraId="6342219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795FE1C7" w14:textId="77777777" w:rsidR="00243FA7" w:rsidRPr="004A7ED7" w:rsidRDefault="00243FA7" w:rsidP="00962748">
            <w:pPr>
              <w:pStyle w:val="Tablebody"/>
              <w:rPr>
                <w:rFonts w:cs="Open Sans"/>
                <w:szCs w:val="18"/>
                <w:lang w:val="en-GB"/>
              </w:rPr>
            </w:pPr>
            <w:r w:rsidRPr="004A7ED7">
              <w:rPr>
                <w:rFonts w:cs="Open Sans"/>
                <w:szCs w:val="18"/>
              </w:rPr>
              <w:t>S4</w:t>
            </w:r>
          </w:p>
        </w:tc>
        <w:tc>
          <w:tcPr>
            <w:tcW w:w="3910" w:type="dxa"/>
          </w:tcPr>
          <w:p w14:paraId="6E657B0A"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is drunk and starts having sex with a man, but then falls asleep, it is understandable if he continues having sex with her anyway^</w:t>
            </w:r>
          </w:p>
        </w:tc>
        <w:tc>
          <w:tcPr>
            <w:tcW w:w="1473" w:type="dxa"/>
          </w:tcPr>
          <w:p w14:paraId="462E1044"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7032CE40"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18B3ED18" w14:textId="1326FF64"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1.16</w:t>
            </w:r>
            <w:r w:rsidRPr="004A7ED7">
              <w:rPr>
                <w:rFonts w:cs="Open Sans"/>
                <w:szCs w:val="18"/>
                <w:vertAlign w:val="superscript"/>
              </w:rPr>
              <w:t>c</w:t>
            </w:r>
          </w:p>
        </w:tc>
        <w:tc>
          <w:tcPr>
            <w:tcW w:w="1304" w:type="dxa"/>
          </w:tcPr>
          <w:p w14:paraId="6C298271" w14:textId="698C384F"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2.79</w:t>
            </w:r>
            <w:r w:rsidRPr="004A7ED7">
              <w:rPr>
                <w:rFonts w:cs="Open Sans"/>
                <w:szCs w:val="18"/>
                <w:vertAlign w:val="superscript"/>
              </w:rPr>
              <w:t>c</w:t>
            </w:r>
          </w:p>
        </w:tc>
        <w:tc>
          <w:tcPr>
            <w:tcW w:w="1299" w:type="dxa"/>
          </w:tcPr>
          <w:p w14:paraId="7488E539" w14:textId="43BA0689"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11.10*</w:t>
            </w:r>
          </w:p>
        </w:tc>
        <w:tc>
          <w:tcPr>
            <w:tcW w:w="1077" w:type="dxa"/>
          </w:tcPr>
          <w:p w14:paraId="1064C776" w14:textId="55350E19"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82.84*</w:t>
            </w:r>
          </w:p>
        </w:tc>
        <w:tc>
          <w:tcPr>
            <w:tcW w:w="1247" w:type="dxa"/>
          </w:tcPr>
          <w:p w14:paraId="36DA7938" w14:textId="20BFF5A0"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2.12</w:t>
            </w:r>
            <w:r w:rsidRPr="004A7ED7">
              <w:rPr>
                <w:rFonts w:cs="Open Sans"/>
                <w:szCs w:val="18"/>
                <w:vertAlign w:val="superscript"/>
              </w:rPr>
              <w:t>c</w:t>
            </w:r>
          </w:p>
        </w:tc>
        <w:tc>
          <w:tcPr>
            <w:tcW w:w="1191" w:type="dxa"/>
          </w:tcPr>
          <w:p w14:paraId="3BC0D08D" w14:textId="6FAF980E"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3.95</w:t>
            </w:r>
            <w:r w:rsidRPr="004A7ED7">
              <w:rPr>
                <w:rFonts w:cs="Open Sans"/>
                <w:szCs w:val="18"/>
                <w:vertAlign w:val="superscript"/>
              </w:rPr>
              <w:t>c</w:t>
            </w:r>
          </w:p>
        </w:tc>
        <w:tc>
          <w:tcPr>
            <w:tcW w:w="1134" w:type="dxa"/>
          </w:tcPr>
          <w:p w14:paraId="7374CF50" w14:textId="5511EE43"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93.94</w:t>
            </w:r>
          </w:p>
        </w:tc>
      </w:tr>
      <w:tr w:rsidR="00243FA7" w:rsidRPr="004A7ED7" w14:paraId="4C41705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75C1F1CF" w14:textId="6F5505CF" w:rsidR="00243FA7" w:rsidRPr="004A7ED7" w:rsidRDefault="00243FA7" w:rsidP="00962748">
            <w:pPr>
              <w:pStyle w:val="Tablebody"/>
              <w:rPr>
                <w:rFonts w:cs="Open Sans"/>
                <w:szCs w:val="18"/>
              </w:rPr>
            </w:pPr>
            <w:r w:rsidRPr="004A7ED7">
              <w:rPr>
                <w:rFonts w:cs="Open Sans"/>
                <w:szCs w:val="18"/>
              </w:rPr>
              <w:t>S4</w:t>
            </w:r>
          </w:p>
        </w:tc>
        <w:tc>
          <w:tcPr>
            <w:tcW w:w="3910" w:type="dxa"/>
          </w:tcPr>
          <w:p w14:paraId="2C6685F7" w14:textId="67170934"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is drunk and starts having sex with a man, but then falls asleep, it is understandable if he continues having sex with her anyway^</w:t>
            </w:r>
          </w:p>
        </w:tc>
        <w:tc>
          <w:tcPr>
            <w:tcW w:w="1473" w:type="dxa"/>
          </w:tcPr>
          <w:p w14:paraId="742E20A1" w14:textId="79C8F00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28A6C0C4" w14:textId="2CACF1BE"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0459EEBE" w14:textId="5A204D68"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0.38</w:t>
            </w:r>
            <w:r w:rsidRPr="004A7ED7">
              <w:rPr>
                <w:rFonts w:cs="Open Sans"/>
                <w:szCs w:val="18"/>
                <w:vertAlign w:val="superscript"/>
              </w:rPr>
              <w:t>c</w:t>
            </w:r>
          </w:p>
        </w:tc>
        <w:tc>
          <w:tcPr>
            <w:tcW w:w="1304" w:type="dxa"/>
          </w:tcPr>
          <w:p w14:paraId="753FAD91" w14:textId="53D33B06"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3.21</w:t>
            </w:r>
            <w:r w:rsidRPr="004A7ED7">
              <w:rPr>
                <w:rFonts w:cs="Open Sans"/>
                <w:szCs w:val="18"/>
                <w:vertAlign w:val="superscript"/>
              </w:rPr>
              <w:t>c</w:t>
            </w:r>
          </w:p>
        </w:tc>
        <w:tc>
          <w:tcPr>
            <w:tcW w:w="1299" w:type="dxa"/>
          </w:tcPr>
          <w:p w14:paraId="43B569C3" w14:textId="52999108"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3.74*</w:t>
            </w:r>
            <w:r w:rsidRPr="004A7ED7">
              <w:rPr>
                <w:rFonts w:cs="Open Sans"/>
                <w:szCs w:val="18"/>
                <w:vertAlign w:val="superscript"/>
              </w:rPr>
              <w:t xml:space="preserve"> c</w:t>
            </w:r>
          </w:p>
        </w:tc>
        <w:tc>
          <w:tcPr>
            <w:tcW w:w="1077" w:type="dxa"/>
          </w:tcPr>
          <w:p w14:paraId="24AB9B6E" w14:textId="28BC271B"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92.16*</w:t>
            </w:r>
          </w:p>
        </w:tc>
        <w:tc>
          <w:tcPr>
            <w:tcW w:w="1247" w:type="dxa"/>
          </w:tcPr>
          <w:p w14:paraId="6FDC86CF" w14:textId="7F3EADA0"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0.50</w:t>
            </w:r>
            <w:r w:rsidRPr="004A7ED7">
              <w:rPr>
                <w:rFonts w:cs="Open Sans"/>
                <w:szCs w:val="18"/>
                <w:vertAlign w:val="superscript"/>
              </w:rPr>
              <w:t>c</w:t>
            </w:r>
          </w:p>
        </w:tc>
        <w:tc>
          <w:tcPr>
            <w:tcW w:w="1191" w:type="dxa"/>
          </w:tcPr>
          <w:p w14:paraId="1B3C9E2C" w14:textId="119080F3"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3.60</w:t>
            </w:r>
            <w:r w:rsidRPr="004A7ED7">
              <w:rPr>
                <w:rFonts w:cs="Open Sans"/>
                <w:szCs w:val="18"/>
                <w:vertAlign w:val="superscript"/>
              </w:rPr>
              <w:t>c</w:t>
            </w:r>
          </w:p>
        </w:tc>
        <w:tc>
          <w:tcPr>
            <w:tcW w:w="1134" w:type="dxa"/>
          </w:tcPr>
          <w:p w14:paraId="545B43B6" w14:textId="3711F64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95.90</w:t>
            </w:r>
          </w:p>
        </w:tc>
      </w:tr>
      <w:tr w:rsidR="00243FA7" w:rsidRPr="004A7ED7" w14:paraId="6050FAB6"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5176D5E4" w14:textId="77777777" w:rsidR="00243FA7" w:rsidRPr="004A7ED7" w:rsidRDefault="00243FA7" w:rsidP="00962748">
            <w:pPr>
              <w:pStyle w:val="Tablebody"/>
              <w:rPr>
                <w:rFonts w:cs="Open Sans"/>
                <w:szCs w:val="18"/>
                <w:lang w:val="en-GB"/>
              </w:rPr>
            </w:pPr>
            <w:r w:rsidRPr="004A7ED7">
              <w:rPr>
                <w:rFonts w:cs="Open Sans"/>
                <w:szCs w:val="18"/>
              </w:rPr>
              <w:t>S5</w:t>
            </w:r>
          </w:p>
        </w:tc>
        <w:tc>
          <w:tcPr>
            <w:tcW w:w="3910" w:type="dxa"/>
          </w:tcPr>
          <w:p w14:paraId="56F8746D"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often say “no” when they mean “yes”^</w:t>
            </w:r>
          </w:p>
        </w:tc>
        <w:tc>
          <w:tcPr>
            <w:tcW w:w="1473" w:type="dxa"/>
          </w:tcPr>
          <w:p w14:paraId="14976952"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0FB01B99"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3EACD7FF" w14:textId="244683D2"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2.02</w:t>
            </w:r>
            <w:r w:rsidRPr="004A7ED7">
              <w:rPr>
                <w:rFonts w:cs="Open Sans"/>
                <w:szCs w:val="18"/>
                <w:vertAlign w:val="superscript"/>
              </w:rPr>
              <w:t>c</w:t>
            </w:r>
          </w:p>
        </w:tc>
        <w:tc>
          <w:tcPr>
            <w:tcW w:w="1304" w:type="dxa"/>
          </w:tcPr>
          <w:p w14:paraId="497EC45F" w14:textId="76FFEAA9"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7.20</w:t>
            </w:r>
          </w:p>
        </w:tc>
        <w:tc>
          <w:tcPr>
            <w:tcW w:w="1299" w:type="dxa"/>
          </w:tcPr>
          <w:p w14:paraId="02FAD325" w14:textId="685DCE59"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16.30*</w:t>
            </w:r>
          </w:p>
        </w:tc>
        <w:tc>
          <w:tcPr>
            <w:tcW w:w="1077" w:type="dxa"/>
          </w:tcPr>
          <w:p w14:paraId="1611CD30" w14:textId="30863C18"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70.39*</w:t>
            </w:r>
          </w:p>
        </w:tc>
        <w:tc>
          <w:tcPr>
            <w:tcW w:w="1247" w:type="dxa"/>
          </w:tcPr>
          <w:p w14:paraId="53634B59" w14:textId="3245F549"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3.98</w:t>
            </w:r>
          </w:p>
        </w:tc>
        <w:tc>
          <w:tcPr>
            <w:tcW w:w="1191" w:type="dxa"/>
          </w:tcPr>
          <w:p w14:paraId="13CF33DD" w14:textId="06F74D8B"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9.22</w:t>
            </w:r>
          </w:p>
        </w:tc>
        <w:tc>
          <w:tcPr>
            <w:tcW w:w="1134" w:type="dxa"/>
          </w:tcPr>
          <w:p w14:paraId="5F19153F" w14:textId="5F5D1B8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86.69</w:t>
            </w:r>
          </w:p>
        </w:tc>
      </w:tr>
      <w:tr w:rsidR="00243FA7" w:rsidRPr="004A7ED7" w14:paraId="71E319E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7402E0F" w14:textId="294BCEAC" w:rsidR="00243FA7" w:rsidRPr="004A7ED7" w:rsidRDefault="00243FA7" w:rsidP="00962748">
            <w:pPr>
              <w:pStyle w:val="Tablebody"/>
              <w:rPr>
                <w:rFonts w:cs="Open Sans"/>
                <w:szCs w:val="18"/>
              </w:rPr>
            </w:pPr>
            <w:r w:rsidRPr="004A7ED7">
              <w:rPr>
                <w:rFonts w:cs="Open Sans"/>
                <w:szCs w:val="18"/>
              </w:rPr>
              <w:t>S5</w:t>
            </w:r>
          </w:p>
        </w:tc>
        <w:tc>
          <w:tcPr>
            <w:tcW w:w="3910" w:type="dxa"/>
          </w:tcPr>
          <w:p w14:paraId="4433AC86" w14:textId="378D074B"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often say “no” when they mean “yes”^</w:t>
            </w:r>
          </w:p>
        </w:tc>
        <w:tc>
          <w:tcPr>
            <w:tcW w:w="1473" w:type="dxa"/>
          </w:tcPr>
          <w:p w14:paraId="0D6E5791" w14:textId="385D8DC8"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5D2202B5" w14:textId="7814FAB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21C0F4E6" w14:textId="403BDE7D"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1.92</w:t>
            </w:r>
            <w:r w:rsidRPr="004A7ED7">
              <w:rPr>
                <w:rFonts w:cs="Open Sans"/>
                <w:szCs w:val="18"/>
                <w:vertAlign w:val="superscript"/>
              </w:rPr>
              <w:t>c</w:t>
            </w:r>
          </w:p>
        </w:tc>
        <w:tc>
          <w:tcPr>
            <w:tcW w:w="1304" w:type="dxa"/>
          </w:tcPr>
          <w:p w14:paraId="0126FEAE" w14:textId="797824A2"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7.75</w:t>
            </w:r>
          </w:p>
        </w:tc>
        <w:tc>
          <w:tcPr>
            <w:tcW w:w="1299" w:type="dxa"/>
          </w:tcPr>
          <w:p w14:paraId="6B2C76F8" w14:textId="71C2227E"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7.47*</w:t>
            </w:r>
          </w:p>
        </w:tc>
        <w:tc>
          <w:tcPr>
            <w:tcW w:w="1077" w:type="dxa"/>
          </w:tcPr>
          <w:p w14:paraId="6EBFBDF2" w14:textId="3FB226C5"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81.45*</w:t>
            </w:r>
          </w:p>
        </w:tc>
        <w:tc>
          <w:tcPr>
            <w:tcW w:w="1247" w:type="dxa"/>
          </w:tcPr>
          <w:p w14:paraId="4DC53C07" w14:textId="40DFC1D8"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1.41</w:t>
            </w:r>
            <w:r w:rsidRPr="004A7ED7">
              <w:rPr>
                <w:rFonts w:cs="Open Sans"/>
                <w:szCs w:val="18"/>
                <w:vertAlign w:val="superscript"/>
              </w:rPr>
              <w:t>c</w:t>
            </w:r>
          </w:p>
        </w:tc>
        <w:tc>
          <w:tcPr>
            <w:tcW w:w="1191" w:type="dxa"/>
          </w:tcPr>
          <w:p w14:paraId="71404217" w14:textId="3B644AA5" w:rsidR="00243FA7" w:rsidRPr="00243FA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9.67</w:t>
            </w:r>
          </w:p>
        </w:tc>
        <w:tc>
          <w:tcPr>
            <w:tcW w:w="1134" w:type="dxa"/>
          </w:tcPr>
          <w:p w14:paraId="778985E8" w14:textId="0F309C5F"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88.92</w:t>
            </w:r>
          </w:p>
        </w:tc>
      </w:tr>
      <w:tr w:rsidR="00243FA7" w:rsidRPr="004A7ED7" w14:paraId="3454D827"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79F50D0C" w14:textId="77777777" w:rsidR="00243FA7" w:rsidRPr="004A7ED7" w:rsidRDefault="00243FA7" w:rsidP="00962748">
            <w:pPr>
              <w:pStyle w:val="Tablebody"/>
              <w:rPr>
                <w:rFonts w:cs="Open Sans"/>
                <w:szCs w:val="18"/>
                <w:lang w:val="en-GB"/>
              </w:rPr>
            </w:pPr>
            <w:r w:rsidRPr="004A7ED7">
              <w:rPr>
                <w:rFonts w:cs="Open Sans"/>
                <w:szCs w:val="18"/>
              </w:rPr>
              <w:t>S6</w:t>
            </w:r>
          </w:p>
        </w:tc>
        <w:tc>
          <w:tcPr>
            <w:tcW w:w="3910" w:type="dxa"/>
          </w:tcPr>
          <w:p w14:paraId="49028556" w14:textId="2F9ADABB"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sends a naked picture to her partner, then she is partly responsible if</w:t>
            </w:r>
            <w:r w:rsidR="00826C3F">
              <w:rPr>
                <w:rFonts w:cs="Open Sans"/>
                <w:szCs w:val="18"/>
                <w:lang w:val="en-US"/>
              </w:rPr>
              <w:t> </w:t>
            </w:r>
            <w:r w:rsidRPr="004A7ED7">
              <w:rPr>
                <w:rFonts w:cs="Open Sans"/>
                <w:szCs w:val="18"/>
                <w:lang w:val="en-US"/>
              </w:rPr>
              <w:t>he</w:t>
            </w:r>
            <w:r w:rsidR="00826C3F">
              <w:rPr>
                <w:rFonts w:cs="Open Sans"/>
                <w:szCs w:val="18"/>
                <w:lang w:val="en-US"/>
              </w:rPr>
              <w:t> </w:t>
            </w:r>
            <w:r w:rsidRPr="004A7ED7">
              <w:rPr>
                <w:rFonts w:cs="Open Sans"/>
                <w:szCs w:val="18"/>
                <w:lang w:val="en-US"/>
              </w:rPr>
              <w:t>shares it without her permission</w:t>
            </w:r>
          </w:p>
        </w:tc>
        <w:tc>
          <w:tcPr>
            <w:tcW w:w="1473" w:type="dxa"/>
          </w:tcPr>
          <w:p w14:paraId="00C21760"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31077D44" w14:textId="7777777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253DCEA8" w14:textId="3D509C53"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5.71</w:t>
            </w:r>
          </w:p>
        </w:tc>
        <w:tc>
          <w:tcPr>
            <w:tcW w:w="1304" w:type="dxa"/>
          </w:tcPr>
          <w:p w14:paraId="2B615110" w14:textId="2CD61A6D"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12.45</w:t>
            </w:r>
          </w:p>
        </w:tc>
        <w:tc>
          <w:tcPr>
            <w:tcW w:w="1299" w:type="dxa"/>
          </w:tcPr>
          <w:p w14:paraId="08BB45CD" w14:textId="74CE4167"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11.67</w:t>
            </w:r>
          </w:p>
        </w:tc>
        <w:tc>
          <w:tcPr>
            <w:tcW w:w="1077" w:type="dxa"/>
          </w:tcPr>
          <w:p w14:paraId="06A4C77E" w14:textId="43CB5952"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68.61</w:t>
            </w:r>
          </w:p>
        </w:tc>
        <w:tc>
          <w:tcPr>
            <w:tcW w:w="1247" w:type="dxa"/>
          </w:tcPr>
          <w:p w14:paraId="7D1E273D" w14:textId="631C4A84"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1.49</w:t>
            </w:r>
            <w:r w:rsidRPr="004A7ED7">
              <w:rPr>
                <w:rFonts w:cs="Open Sans"/>
                <w:szCs w:val="18"/>
                <w:vertAlign w:val="superscript"/>
              </w:rPr>
              <w:t>c</w:t>
            </w:r>
          </w:p>
        </w:tc>
        <w:tc>
          <w:tcPr>
            <w:tcW w:w="1191" w:type="dxa"/>
          </w:tcPr>
          <w:p w14:paraId="519F8F6E" w14:textId="450D01F1"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18.16</w:t>
            </w:r>
          </w:p>
        </w:tc>
        <w:tc>
          <w:tcPr>
            <w:tcW w:w="1134" w:type="dxa"/>
          </w:tcPr>
          <w:p w14:paraId="663FB021" w14:textId="1B276E9A" w:rsidR="00243FA7" w:rsidRPr="004A7ED7" w:rsidRDefault="00243FA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80.28</w:t>
            </w:r>
          </w:p>
        </w:tc>
      </w:tr>
      <w:tr w:rsidR="00826C3F" w:rsidRPr="004A7ED7" w14:paraId="761BC671"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55E58A7" w14:textId="68FF8F9A" w:rsidR="00826C3F" w:rsidRPr="004A7ED7" w:rsidRDefault="00826C3F" w:rsidP="00962748">
            <w:pPr>
              <w:pStyle w:val="Tablebody"/>
              <w:rPr>
                <w:rFonts w:cs="Open Sans"/>
                <w:szCs w:val="18"/>
              </w:rPr>
            </w:pPr>
            <w:r w:rsidRPr="004A7ED7">
              <w:rPr>
                <w:rFonts w:cs="Open Sans"/>
                <w:szCs w:val="18"/>
              </w:rPr>
              <w:lastRenderedPageBreak/>
              <w:t>S6</w:t>
            </w:r>
          </w:p>
        </w:tc>
        <w:tc>
          <w:tcPr>
            <w:tcW w:w="3910" w:type="dxa"/>
          </w:tcPr>
          <w:p w14:paraId="0F7BA14A" w14:textId="08B4AFA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sends a naked picture to her partner, then she is partly responsible if</w:t>
            </w:r>
            <w:r>
              <w:rPr>
                <w:rFonts w:cs="Open Sans"/>
                <w:szCs w:val="18"/>
                <w:lang w:val="en-US"/>
              </w:rPr>
              <w:t> </w:t>
            </w:r>
            <w:r w:rsidRPr="004A7ED7">
              <w:rPr>
                <w:rFonts w:cs="Open Sans"/>
                <w:szCs w:val="18"/>
                <w:lang w:val="en-US"/>
              </w:rPr>
              <w:t>he</w:t>
            </w:r>
            <w:r>
              <w:rPr>
                <w:rFonts w:cs="Open Sans"/>
                <w:szCs w:val="18"/>
                <w:lang w:val="en-US"/>
              </w:rPr>
              <w:t> </w:t>
            </w:r>
            <w:r w:rsidRPr="004A7ED7">
              <w:rPr>
                <w:rFonts w:cs="Open Sans"/>
                <w:szCs w:val="18"/>
                <w:lang w:val="en-US"/>
              </w:rPr>
              <w:t>shares it without her permission</w:t>
            </w:r>
          </w:p>
        </w:tc>
        <w:tc>
          <w:tcPr>
            <w:tcW w:w="1473" w:type="dxa"/>
          </w:tcPr>
          <w:p w14:paraId="14E74437" w14:textId="1DCAEC39"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0730AB87" w14:textId="0CD514DC"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713120B3" w14:textId="658E00B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6.08</w:t>
            </w:r>
          </w:p>
        </w:tc>
        <w:tc>
          <w:tcPr>
            <w:tcW w:w="1304" w:type="dxa"/>
          </w:tcPr>
          <w:p w14:paraId="04C057E3" w14:textId="13BDEFDB"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11.44</w:t>
            </w:r>
          </w:p>
        </w:tc>
        <w:tc>
          <w:tcPr>
            <w:tcW w:w="1299" w:type="dxa"/>
          </w:tcPr>
          <w:p w14:paraId="61F83F75" w14:textId="78A75EB3"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10.12</w:t>
            </w:r>
          </w:p>
        </w:tc>
        <w:tc>
          <w:tcPr>
            <w:tcW w:w="1077" w:type="dxa"/>
          </w:tcPr>
          <w:p w14:paraId="0BA75ADA" w14:textId="47E8F76E"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72.01</w:t>
            </w:r>
          </w:p>
        </w:tc>
        <w:tc>
          <w:tcPr>
            <w:tcW w:w="1247" w:type="dxa"/>
          </w:tcPr>
          <w:p w14:paraId="2E550D87" w14:textId="2536963E" w:rsidR="00826C3F" w:rsidRPr="00826C3F" w:rsidRDefault="00826C3F" w:rsidP="00962748">
            <w:pPr>
              <w:pStyle w:val="Tablebody"/>
              <w:cnfStyle w:val="000000000000" w:firstRow="0" w:lastRow="0" w:firstColumn="0" w:lastColumn="0" w:oddVBand="0" w:evenVBand="0" w:oddHBand="0" w:evenHBand="0" w:firstRowFirstColumn="0" w:firstRowLastColumn="0" w:lastRowFirstColumn="0" w:lastRowLastColumn="0"/>
            </w:pPr>
            <w:r w:rsidRPr="004A7ED7">
              <w:rPr>
                <w:rFonts w:cs="Open Sans"/>
                <w:szCs w:val="18"/>
              </w:rPr>
              <w:t>0.36</w:t>
            </w:r>
            <w:r w:rsidRPr="004A7ED7">
              <w:rPr>
                <w:rFonts w:cs="Open Sans"/>
                <w:szCs w:val="18"/>
                <w:vertAlign w:val="superscript"/>
              </w:rPr>
              <w:t>c</w:t>
            </w:r>
          </w:p>
        </w:tc>
        <w:tc>
          <w:tcPr>
            <w:tcW w:w="1191" w:type="dxa"/>
          </w:tcPr>
          <w:p w14:paraId="0FF4AD97" w14:textId="0F3016C8"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17.51</w:t>
            </w:r>
          </w:p>
        </w:tc>
        <w:tc>
          <w:tcPr>
            <w:tcW w:w="1134" w:type="dxa"/>
          </w:tcPr>
          <w:p w14:paraId="38B44083" w14:textId="42E6A436"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82.13</w:t>
            </w:r>
          </w:p>
        </w:tc>
      </w:tr>
      <w:tr w:rsidR="00826C3F" w:rsidRPr="004A7ED7" w14:paraId="00A93B5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49D26C92" w14:textId="77777777" w:rsidR="00826C3F" w:rsidRPr="004A7ED7" w:rsidRDefault="00826C3F" w:rsidP="00962748">
            <w:pPr>
              <w:pStyle w:val="Tablebody"/>
              <w:rPr>
                <w:rFonts w:cs="Open Sans"/>
                <w:szCs w:val="18"/>
                <w:lang w:val="en-GB"/>
              </w:rPr>
            </w:pPr>
            <w:r w:rsidRPr="004A7ED7">
              <w:rPr>
                <w:rFonts w:cs="Open Sans"/>
                <w:szCs w:val="18"/>
              </w:rPr>
              <w:t>S7</w:t>
            </w:r>
          </w:p>
        </w:tc>
        <w:tc>
          <w:tcPr>
            <w:tcW w:w="3910" w:type="dxa"/>
          </w:tcPr>
          <w:p w14:paraId="289C0903"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Since some women are so sexual in public, it’s understandable that some men think they can touch women without permission</w:t>
            </w:r>
          </w:p>
        </w:tc>
        <w:tc>
          <w:tcPr>
            <w:tcW w:w="1473" w:type="dxa"/>
          </w:tcPr>
          <w:p w14:paraId="0512881E"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32FC9A13"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30A8FAB0" w14:textId="4138CFCF"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2.21</w:t>
            </w:r>
          </w:p>
        </w:tc>
        <w:tc>
          <w:tcPr>
            <w:tcW w:w="1304" w:type="dxa"/>
          </w:tcPr>
          <w:p w14:paraId="44279999" w14:textId="0ED3CEDB"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299" w:type="dxa"/>
          </w:tcPr>
          <w:p w14:paraId="2B791B01" w14:textId="026A7310"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7.58*</w:t>
            </w:r>
          </w:p>
        </w:tc>
        <w:tc>
          <w:tcPr>
            <w:tcW w:w="1077" w:type="dxa"/>
          </w:tcPr>
          <w:p w14:paraId="0B15439D" w14:textId="28C8198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82.82*</w:t>
            </w:r>
          </w:p>
        </w:tc>
        <w:tc>
          <w:tcPr>
            <w:tcW w:w="1247" w:type="dxa"/>
          </w:tcPr>
          <w:p w14:paraId="38FA5830" w14:textId="1F0FD22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1.05</w:t>
            </w:r>
            <w:r w:rsidRPr="004A7ED7">
              <w:rPr>
                <w:rFonts w:cs="Open Sans"/>
                <w:szCs w:val="18"/>
                <w:vertAlign w:val="superscript"/>
              </w:rPr>
              <w:t>c</w:t>
            </w:r>
          </w:p>
        </w:tc>
        <w:tc>
          <w:tcPr>
            <w:tcW w:w="1191" w:type="dxa"/>
          </w:tcPr>
          <w:p w14:paraId="21BC75A6" w14:textId="0D16E81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8.33</w:t>
            </w:r>
          </w:p>
        </w:tc>
        <w:tc>
          <w:tcPr>
            <w:tcW w:w="1134" w:type="dxa"/>
          </w:tcPr>
          <w:p w14:paraId="79886575" w14:textId="17826E4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90.41</w:t>
            </w:r>
          </w:p>
        </w:tc>
      </w:tr>
      <w:tr w:rsidR="00826C3F" w:rsidRPr="004A7ED7" w14:paraId="741BA3EF"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3DED293D" w14:textId="55748E8B" w:rsidR="00826C3F" w:rsidRPr="004A7ED7" w:rsidRDefault="00826C3F" w:rsidP="00962748">
            <w:pPr>
              <w:pStyle w:val="Tablebody"/>
              <w:rPr>
                <w:rFonts w:cs="Open Sans"/>
                <w:szCs w:val="18"/>
              </w:rPr>
            </w:pPr>
            <w:r w:rsidRPr="004A7ED7">
              <w:rPr>
                <w:rFonts w:cs="Open Sans"/>
                <w:szCs w:val="18"/>
              </w:rPr>
              <w:t>S7</w:t>
            </w:r>
          </w:p>
        </w:tc>
        <w:tc>
          <w:tcPr>
            <w:tcW w:w="3910" w:type="dxa"/>
          </w:tcPr>
          <w:p w14:paraId="4E53E0FA" w14:textId="67E94202"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Since some women are so sexual in public, it’s understandable that some men think they can touch women without permission</w:t>
            </w:r>
          </w:p>
        </w:tc>
        <w:tc>
          <w:tcPr>
            <w:tcW w:w="1473" w:type="dxa"/>
          </w:tcPr>
          <w:p w14:paraId="02EAAC2B" w14:textId="7A962F9F"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7FDB9CD3" w14:textId="6EADF25A"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002F01BE" w14:textId="78CDBD92" w:rsidR="00826C3F" w:rsidRPr="00826C3F"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1.93</w:t>
            </w:r>
            <w:r w:rsidRPr="004A7ED7">
              <w:rPr>
                <w:rFonts w:cs="Open Sans"/>
                <w:szCs w:val="18"/>
                <w:vertAlign w:val="superscript"/>
              </w:rPr>
              <w:t>c</w:t>
            </w:r>
          </w:p>
        </w:tc>
        <w:tc>
          <w:tcPr>
            <w:tcW w:w="1304" w:type="dxa"/>
          </w:tcPr>
          <w:p w14:paraId="2CB4EB83" w14:textId="7AF3F089"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3.71</w:t>
            </w:r>
          </w:p>
        </w:tc>
        <w:tc>
          <w:tcPr>
            <w:tcW w:w="1299" w:type="dxa"/>
          </w:tcPr>
          <w:p w14:paraId="46927855" w14:textId="48CCE99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2.91*</w:t>
            </w:r>
          </w:p>
        </w:tc>
        <w:tc>
          <w:tcPr>
            <w:tcW w:w="1077" w:type="dxa"/>
          </w:tcPr>
          <w:p w14:paraId="56389905" w14:textId="1F8727D5"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90.99*</w:t>
            </w:r>
          </w:p>
        </w:tc>
        <w:tc>
          <w:tcPr>
            <w:tcW w:w="1247" w:type="dxa"/>
          </w:tcPr>
          <w:p w14:paraId="1728E995" w14:textId="3CFEB9E0" w:rsidR="00826C3F" w:rsidRPr="00826C3F"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0.47</w:t>
            </w:r>
            <w:r w:rsidRPr="004A7ED7">
              <w:rPr>
                <w:rFonts w:cs="Open Sans"/>
                <w:szCs w:val="18"/>
                <w:vertAlign w:val="superscript"/>
              </w:rPr>
              <w:t>c</w:t>
            </w:r>
          </w:p>
        </w:tc>
        <w:tc>
          <w:tcPr>
            <w:tcW w:w="1191" w:type="dxa"/>
          </w:tcPr>
          <w:p w14:paraId="685B5651" w14:textId="4C081FD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5.64</w:t>
            </w:r>
          </w:p>
        </w:tc>
        <w:tc>
          <w:tcPr>
            <w:tcW w:w="1134" w:type="dxa"/>
          </w:tcPr>
          <w:p w14:paraId="352C007E" w14:textId="6BD67540"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93.90</w:t>
            </w:r>
          </w:p>
        </w:tc>
      </w:tr>
      <w:tr w:rsidR="00826C3F" w:rsidRPr="004A7ED7" w14:paraId="1001887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A6DB3AE" w14:textId="77777777" w:rsidR="00826C3F" w:rsidRPr="004A7ED7" w:rsidRDefault="00826C3F" w:rsidP="00962748">
            <w:pPr>
              <w:pStyle w:val="Tablebody"/>
              <w:rPr>
                <w:rFonts w:cs="Open Sans"/>
                <w:szCs w:val="18"/>
                <w:lang w:val="en-GB"/>
              </w:rPr>
            </w:pPr>
            <w:r w:rsidRPr="004A7ED7">
              <w:rPr>
                <w:rFonts w:cs="Open Sans"/>
                <w:szCs w:val="18"/>
              </w:rPr>
              <w:t>S8</w:t>
            </w:r>
          </w:p>
        </w:tc>
        <w:tc>
          <w:tcPr>
            <w:tcW w:w="3910" w:type="dxa"/>
          </w:tcPr>
          <w:p w14:paraId="2D92C765" w14:textId="0BB422B8"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When a man is very sexually aroused, he</w:t>
            </w:r>
            <w:r>
              <w:rPr>
                <w:rFonts w:cs="Open Sans"/>
                <w:szCs w:val="18"/>
                <w:lang w:val="en-US"/>
              </w:rPr>
              <w:t> </w:t>
            </w:r>
            <w:r w:rsidRPr="004A7ED7">
              <w:rPr>
                <w:rFonts w:cs="Open Sans"/>
                <w:szCs w:val="18"/>
                <w:lang w:val="en-US"/>
              </w:rPr>
              <w:t>may not even realise that the woman doesn’t want to have sex</w:t>
            </w:r>
          </w:p>
        </w:tc>
        <w:tc>
          <w:tcPr>
            <w:tcW w:w="1473" w:type="dxa"/>
          </w:tcPr>
          <w:p w14:paraId="72F83578"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37283D3F"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472C4043" w14:textId="32D68230"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8.75</w:t>
            </w:r>
          </w:p>
        </w:tc>
        <w:tc>
          <w:tcPr>
            <w:tcW w:w="1304" w:type="dxa"/>
          </w:tcPr>
          <w:p w14:paraId="233561AA" w14:textId="56F866CF"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22.55</w:t>
            </w:r>
          </w:p>
        </w:tc>
        <w:tc>
          <w:tcPr>
            <w:tcW w:w="1299" w:type="dxa"/>
          </w:tcPr>
          <w:p w14:paraId="11057C01" w14:textId="7829B88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14.64*</w:t>
            </w:r>
          </w:p>
        </w:tc>
        <w:tc>
          <w:tcPr>
            <w:tcW w:w="1077" w:type="dxa"/>
          </w:tcPr>
          <w:p w14:paraId="45CE306E" w14:textId="3BB8D2CC"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48.21*</w:t>
            </w:r>
          </w:p>
        </w:tc>
        <w:tc>
          <w:tcPr>
            <w:tcW w:w="1247" w:type="dxa"/>
          </w:tcPr>
          <w:p w14:paraId="2A09C106" w14:textId="2065C5A2"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5.24</w:t>
            </w:r>
          </w:p>
        </w:tc>
        <w:tc>
          <w:tcPr>
            <w:tcW w:w="1191" w:type="dxa"/>
          </w:tcPr>
          <w:p w14:paraId="299B8991" w14:textId="49A5102A"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31.30</w:t>
            </w:r>
          </w:p>
        </w:tc>
        <w:tc>
          <w:tcPr>
            <w:tcW w:w="1134" w:type="dxa"/>
          </w:tcPr>
          <w:p w14:paraId="49B06AE4" w14:textId="74FD9AFF"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62.85</w:t>
            </w:r>
          </w:p>
        </w:tc>
      </w:tr>
      <w:tr w:rsidR="00826C3F" w:rsidRPr="004A7ED7" w14:paraId="1EE4A55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590D5AC0" w14:textId="5010D31D" w:rsidR="00826C3F" w:rsidRPr="004A7ED7" w:rsidRDefault="00826C3F" w:rsidP="00962748">
            <w:pPr>
              <w:pStyle w:val="Tablebody"/>
              <w:rPr>
                <w:rFonts w:cs="Open Sans"/>
                <w:szCs w:val="18"/>
              </w:rPr>
            </w:pPr>
            <w:r w:rsidRPr="004A7ED7">
              <w:rPr>
                <w:rFonts w:cs="Open Sans"/>
                <w:szCs w:val="18"/>
              </w:rPr>
              <w:t>S8</w:t>
            </w:r>
          </w:p>
        </w:tc>
        <w:tc>
          <w:tcPr>
            <w:tcW w:w="3910" w:type="dxa"/>
          </w:tcPr>
          <w:p w14:paraId="705F5376" w14:textId="62293BAC"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When a man is very sexually aroused, he</w:t>
            </w:r>
            <w:r>
              <w:rPr>
                <w:rFonts w:cs="Open Sans"/>
                <w:szCs w:val="18"/>
                <w:lang w:val="en-US"/>
              </w:rPr>
              <w:t> </w:t>
            </w:r>
            <w:r w:rsidRPr="004A7ED7">
              <w:rPr>
                <w:rFonts w:cs="Open Sans"/>
                <w:szCs w:val="18"/>
                <w:lang w:val="en-US"/>
              </w:rPr>
              <w:t>may not even realise that the woman doesn’t want to have sex</w:t>
            </w:r>
          </w:p>
        </w:tc>
        <w:tc>
          <w:tcPr>
            <w:tcW w:w="1473" w:type="dxa"/>
          </w:tcPr>
          <w:p w14:paraId="1411BC4C" w14:textId="15B33889"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07716EC7" w14:textId="178CA9BA"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72551E17" w14:textId="5DE93F0C"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9.38</w:t>
            </w:r>
          </w:p>
        </w:tc>
        <w:tc>
          <w:tcPr>
            <w:tcW w:w="1304" w:type="dxa"/>
          </w:tcPr>
          <w:p w14:paraId="5A874B39" w14:textId="629015DF"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15.54</w:t>
            </w:r>
          </w:p>
        </w:tc>
        <w:tc>
          <w:tcPr>
            <w:tcW w:w="1299" w:type="dxa"/>
          </w:tcPr>
          <w:p w14:paraId="097AAD7E" w14:textId="7398AA6B"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7.91*</w:t>
            </w:r>
          </w:p>
        </w:tc>
        <w:tc>
          <w:tcPr>
            <w:tcW w:w="1077" w:type="dxa"/>
          </w:tcPr>
          <w:p w14:paraId="3D36ADB9" w14:textId="7A19680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63.89*</w:t>
            </w:r>
          </w:p>
        </w:tc>
        <w:tc>
          <w:tcPr>
            <w:tcW w:w="1247" w:type="dxa"/>
          </w:tcPr>
          <w:p w14:paraId="7D8D0DD1" w14:textId="18638B0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3.16</w:t>
            </w:r>
          </w:p>
        </w:tc>
        <w:tc>
          <w:tcPr>
            <w:tcW w:w="1191" w:type="dxa"/>
          </w:tcPr>
          <w:p w14:paraId="7462A8C1" w14:textId="55119663"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24.91</w:t>
            </w:r>
          </w:p>
        </w:tc>
        <w:tc>
          <w:tcPr>
            <w:tcW w:w="1134" w:type="dxa"/>
          </w:tcPr>
          <w:p w14:paraId="406C8986" w14:textId="23A33F2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71.81</w:t>
            </w:r>
          </w:p>
        </w:tc>
      </w:tr>
      <w:tr w:rsidR="00826C3F" w:rsidRPr="004A7ED7" w14:paraId="1996DBC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221FDFD" w14:textId="77777777" w:rsidR="00826C3F" w:rsidRPr="004A7ED7" w:rsidRDefault="00826C3F" w:rsidP="00962748">
            <w:pPr>
              <w:pStyle w:val="Tablebody"/>
              <w:rPr>
                <w:rFonts w:cs="Open Sans"/>
                <w:szCs w:val="18"/>
                <w:lang w:val="en-GB"/>
              </w:rPr>
            </w:pPr>
            <w:r w:rsidRPr="004A7ED7">
              <w:rPr>
                <w:rFonts w:cs="Open Sans"/>
                <w:szCs w:val="18"/>
              </w:rPr>
              <w:t>S11</w:t>
            </w:r>
          </w:p>
        </w:tc>
        <w:tc>
          <w:tcPr>
            <w:tcW w:w="3910" w:type="dxa"/>
          </w:tcPr>
          <w:p w14:paraId="6D198F9A"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Women find it flattering to be persistently pursued, even if they are not interested^</w:t>
            </w:r>
          </w:p>
        </w:tc>
        <w:tc>
          <w:tcPr>
            <w:tcW w:w="1473" w:type="dxa"/>
          </w:tcPr>
          <w:p w14:paraId="08A6E5BC"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05C81F2A"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456</w:t>
            </w:r>
          </w:p>
        </w:tc>
        <w:tc>
          <w:tcPr>
            <w:tcW w:w="1021" w:type="dxa"/>
          </w:tcPr>
          <w:p w14:paraId="2AD55158" w14:textId="07EE921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2.19</w:t>
            </w:r>
            <w:r w:rsidRPr="004A7ED7">
              <w:rPr>
                <w:rFonts w:cs="Open Sans"/>
                <w:szCs w:val="18"/>
                <w:vertAlign w:val="superscript"/>
              </w:rPr>
              <w:t>c</w:t>
            </w:r>
          </w:p>
        </w:tc>
        <w:tc>
          <w:tcPr>
            <w:tcW w:w="1304" w:type="dxa"/>
          </w:tcPr>
          <w:p w14:paraId="5BCB3131" w14:textId="51F41D1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11.63</w:t>
            </w:r>
          </w:p>
        </w:tc>
        <w:tc>
          <w:tcPr>
            <w:tcW w:w="1299" w:type="dxa"/>
          </w:tcPr>
          <w:p w14:paraId="186BA93D" w14:textId="25B9184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22.14</w:t>
            </w:r>
          </w:p>
        </w:tc>
        <w:tc>
          <w:tcPr>
            <w:tcW w:w="1077" w:type="dxa"/>
          </w:tcPr>
          <w:p w14:paraId="7386BA21" w14:textId="106E7F6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58.31*</w:t>
            </w:r>
          </w:p>
        </w:tc>
        <w:tc>
          <w:tcPr>
            <w:tcW w:w="1247" w:type="dxa"/>
          </w:tcPr>
          <w:p w14:paraId="09B3BF2D" w14:textId="4832E12E"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5.30</w:t>
            </w:r>
          </w:p>
        </w:tc>
        <w:tc>
          <w:tcPr>
            <w:tcW w:w="1191" w:type="dxa"/>
          </w:tcPr>
          <w:p w14:paraId="27B90DBB" w14:textId="66452BF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13.82</w:t>
            </w:r>
          </w:p>
        </w:tc>
        <w:tc>
          <w:tcPr>
            <w:tcW w:w="1134" w:type="dxa"/>
          </w:tcPr>
          <w:p w14:paraId="09303611" w14:textId="6967AB5D"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80.45*</w:t>
            </w:r>
          </w:p>
        </w:tc>
      </w:tr>
      <w:tr w:rsidR="00826C3F" w:rsidRPr="004A7ED7" w14:paraId="331547B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453E1F51" w14:textId="1F89C6AB" w:rsidR="00826C3F" w:rsidRPr="004A7ED7" w:rsidRDefault="00826C3F" w:rsidP="00962748">
            <w:pPr>
              <w:pStyle w:val="Tablebody"/>
              <w:rPr>
                <w:rFonts w:cs="Open Sans"/>
                <w:szCs w:val="18"/>
              </w:rPr>
            </w:pPr>
            <w:r w:rsidRPr="004A7ED7">
              <w:rPr>
                <w:rFonts w:cs="Open Sans"/>
                <w:szCs w:val="18"/>
              </w:rPr>
              <w:t>S11</w:t>
            </w:r>
          </w:p>
        </w:tc>
        <w:tc>
          <w:tcPr>
            <w:tcW w:w="3910" w:type="dxa"/>
          </w:tcPr>
          <w:p w14:paraId="7B443074" w14:textId="4C487686"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Women find it flattering to be persistently pursued, even if they are not interested^</w:t>
            </w:r>
          </w:p>
        </w:tc>
        <w:tc>
          <w:tcPr>
            <w:tcW w:w="1473" w:type="dxa"/>
          </w:tcPr>
          <w:p w14:paraId="0203BDAB" w14:textId="12F7D01E"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648FEF68" w14:textId="47F7D5C8"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355</w:t>
            </w:r>
          </w:p>
        </w:tc>
        <w:tc>
          <w:tcPr>
            <w:tcW w:w="1021" w:type="dxa"/>
          </w:tcPr>
          <w:p w14:paraId="3B1D2040" w14:textId="6668109D" w:rsidR="00826C3F" w:rsidRPr="00826C3F"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0.97</w:t>
            </w:r>
            <w:r w:rsidRPr="004A7ED7">
              <w:rPr>
                <w:rFonts w:cs="Open Sans"/>
                <w:szCs w:val="18"/>
                <w:vertAlign w:val="superscript"/>
              </w:rPr>
              <w:t>c</w:t>
            </w:r>
          </w:p>
        </w:tc>
        <w:tc>
          <w:tcPr>
            <w:tcW w:w="1304" w:type="dxa"/>
          </w:tcPr>
          <w:p w14:paraId="10000D91" w14:textId="398A2150"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7.37</w:t>
            </w:r>
          </w:p>
        </w:tc>
        <w:tc>
          <w:tcPr>
            <w:tcW w:w="1299" w:type="dxa"/>
          </w:tcPr>
          <w:p w14:paraId="5F4F778E" w14:textId="41FF843E"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17.18</w:t>
            </w:r>
          </w:p>
        </w:tc>
        <w:tc>
          <w:tcPr>
            <w:tcW w:w="1077" w:type="dxa"/>
          </w:tcPr>
          <w:p w14:paraId="5212C2F9" w14:textId="42CEBE7C"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72.62*</w:t>
            </w:r>
          </w:p>
        </w:tc>
        <w:tc>
          <w:tcPr>
            <w:tcW w:w="1247" w:type="dxa"/>
          </w:tcPr>
          <w:p w14:paraId="791CAB46" w14:textId="132DA2B1" w:rsidR="00826C3F" w:rsidRPr="00826C3F"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1.26</w:t>
            </w:r>
            <w:r w:rsidRPr="004A7ED7">
              <w:rPr>
                <w:rFonts w:cs="Open Sans"/>
                <w:szCs w:val="18"/>
                <w:vertAlign w:val="superscript"/>
              </w:rPr>
              <w:t>c</w:t>
            </w:r>
          </w:p>
        </w:tc>
        <w:tc>
          <w:tcPr>
            <w:tcW w:w="1191" w:type="dxa"/>
          </w:tcPr>
          <w:p w14:paraId="465E8034" w14:textId="5D41D006"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8.34</w:t>
            </w:r>
          </w:p>
        </w:tc>
        <w:tc>
          <w:tcPr>
            <w:tcW w:w="1134" w:type="dxa"/>
          </w:tcPr>
          <w:p w14:paraId="03ECEB8E" w14:textId="4925FFC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89.80*</w:t>
            </w:r>
          </w:p>
        </w:tc>
      </w:tr>
      <w:tr w:rsidR="00826C3F" w:rsidRPr="004A7ED7" w14:paraId="27A3E96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15F0D982" w14:textId="77777777" w:rsidR="00826C3F" w:rsidRPr="004A7ED7" w:rsidRDefault="00826C3F" w:rsidP="00962748">
            <w:pPr>
              <w:pStyle w:val="Tablebody"/>
              <w:rPr>
                <w:rFonts w:cs="Open Sans"/>
                <w:szCs w:val="18"/>
                <w:lang w:val="en-GB"/>
              </w:rPr>
            </w:pPr>
            <w:r w:rsidRPr="004A7ED7">
              <w:rPr>
                <w:rFonts w:cs="Open Sans"/>
                <w:szCs w:val="18"/>
              </w:rPr>
              <w:t>S17</w:t>
            </w:r>
          </w:p>
        </w:tc>
        <w:tc>
          <w:tcPr>
            <w:tcW w:w="3910" w:type="dxa"/>
          </w:tcPr>
          <w:p w14:paraId="53D509FF" w14:textId="3CC6E9B4"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doesn’t physically resist – even</w:t>
            </w:r>
            <w:r>
              <w:rPr>
                <w:rFonts w:cs="Open Sans"/>
                <w:szCs w:val="18"/>
                <w:lang w:val="en-US"/>
              </w:rPr>
              <w:t> </w:t>
            </w:r>
            <w:r w:rsidRPr="004A7ED7">
              <w:rPr>
                <w:rFonts w:cs="Open Sans"/>
                <w:szCs w:val="18"/>
                <w:lang w:val="en-US"/>
              </w:rPr>
              <w:t>if protesting verbally – then it isn’t really rape</w:t>
            </w:r>
            <w:r w:rsidRPr="004A7ED7">
              <w:rPr>
                <w:rFonts w:ascii="Montserrat" w:hAnsi="Montserrat" w:cs="Montserrat"/>
                <w:szCs w:val="18"/>
                <w:lang w:val="en-US"/>
              </w:rPr>
              <w:t>~</w:t>
            </w:r>
          </w:p>
        </w:tc>
        <w:tc>
          <w:tcPr>
            <w:tcW w:w="1473" w:type="dxa"/>
          </w:tcPr>
          <w:p w14:paraId="2EED5733"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62371804" w14:textId="77777777"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244</w:t>
            </w:r>
          </w:p>
        </w:tc>
        <w:tc>
          <w:tcPr>
            <w:tcW w:w="1021" w:type="dxa"/>
          </w:tcPr>
          <w:p w14:paraId="23006BA6" w14:textId="41524C13"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1.00</w:t>
            </w:r>
            <w:r w:rsidRPr="004A7ED7">
              <w:rPr>
                <w:rFonts w:cs="Open Sans"/>
                <w:szCs w:val="18"/>
                <w:vertAlign w:val="superscript"/>
              </w:rPr>
              <w:t>c</w:t>
            </w:r>
          </w:p>
        </w:tc>
        <w:tc>
          <w:tcPr>
            <w:tcW w:w="1304" w:type="dxa"/>
          </w:tcPr>
          <w:p w14:paraId="2DF891AC" w14:textId="0D3D441B"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4.14</w:t>
            </w:r>
            <w:r w:rsidRPr="004A7ED7">
              <w:rPr>
                <w:rFonts w:cs="Open Sans"/>
                <w:szCs w:val="18"/>
                <w:vertAlign w:val="superscript"/>
              </w:rPr>
              <w:t>c</w:t>
            </w:r>
          </w:p>
        </w:tc>
        <w:tc>
          <w:tcPr>
            <w:tcW w:w="1299" w:type="dxa"/>
          </w:tcPr>
          <w:p w14:paraId="797DAFD8" w14:textId="4B05EB9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8.34</w:t>
            </w:r>
          </w:p>
        </w:tc>
        <w:tc>
          <w:tcPr>
            <w:tcW w:w="1077" w:type="dxa"/>
          </w:tcPr>
          <w:p w14:paraId="75A52329" w14:textId="1F60C6B0"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83.53</w:t>
            </w:r>
          </w:p>
        </w:tc>
        <w:tc>
          <w:tcPr>
            <w:tcW w:w="1247" w:type="dxa"/>
          </w:tcPr>
          <w:p w14:paraId="2BDAC13F" w14:textId="58C70B62"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2.49</w:t>
            </w:r>
            <w:r w:rsidRPr="004A7ED7">
              <w:rPr>
                <w:rFonts w:cs="Open Sans"/>
                <w:szCs w:val="18"/>
                <w:vertAlign w:val="superscript"/>
              </w:rPr>
              <w:t>c</w:t>
            </w:r>
          </w:p>
        </w:tc>
        <w:tc>
          <w:tcPr>
            <w:tcW w:w="1191" w:type="dxa"/>
          </w:tcPr>
          <w:p w14:paraId="2CD2DAE5" w14:textId="670C9972"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5.14</w:t>
            </w:r>
            <w:r w:rsidRPr="004A7ED7">
              <w:rPr>
                <w:rFonts w:cs="Open Sans"/>
                <w:szCs w:val="18"/>
                <w:vertAlign w:val="superscript"/>
              </w:rPr>
              <w:t>c</w:t>
            </w:r>
          </w:p>
        </w:tc>
        <w:tc>
          <w:tcPr>
            <w:tcW w:w="1134" w:type="dxa"/>
          </w:tcPr>
          <w:p w14:paraId="7AE4692D" w14:textId="3F7EA6B1" w:rsidR="00826C3F" w:rsidRPr="004A7ED7" w:rsidRDefault="00826C3F"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91.86</w:t>
            </w:r>
          </w:p>
        </w:tc>
      </w:tr>
      <w:tr w:rsidR="00BC1F87" w:rsidRPr="004A7ED7" w14:paraId="5F60E8E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12DB479F" w14:textId="6647D912" w:rsidR="00BC1F87" w:rsidRPr="004A7ED7" w:rsidRDefault="00BC1F87" w:rsidP="00962748">
            <w:pPr>
              <w:pStyle w:val="Tablebody"/>
              <w:rPr>
                <w:rFonts w:cs="Open Sans"/>
                <w:szCs w:val="18"/>
              </w:rPr>
            </w:pPr>
            <w:r w:rsidRPr="004A7ED7">
              <w:rPr>
                <w:rFonts w:cs="Open Sans"/>
                <w:szCs w:val="18"/>
              </w:rPr>
              <w:t>S17</w:t>
            </w:r>
          </w:p>
        </w:tc>
        <w:tc>
          <w:tcPr>
            <w:tcW w:w="3910" w:type="dxa"/>
          </w:tcPr>
          <w:p w14:paraId="015756D0" w14:textId="39C8C258"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doesn’t physically resist – even</w:t>
            </w:r>
            <w:r>
              <w:rPr>
                <w:rFonts w:cs="Open Sans"/>
                <w:szCs w:val="18"/>
                <w:lang w:val="en-US"/>
              </w:rPr>
              <w:t> </w:t>
            </w:r>
            <w:r w:rsidRPr="004A7ED7">
              <w:rPr>
                <w:rFonts w:cs="Open Sans"/>
                <w:szCs w:val="18"/>
                <w:lang w:val="en-US"/>
              </w:rPr>
              <w:t>if protesting verbally – then it isn’t really rape</w:t>
            </w:r>
            <w:r w:rsidRPr="004A7ED7">
              <w:rPr>
                <w:rFonts w:ascii="Montserrat" w:hAnsi="Montserrat" w:cs="Montserrat"/>
                <w:szCs w:val="18"/>
                <w:lang w:val="en-US"/>
              </w:rPr>
              <w:t>~</w:t>
            </w:r>
          </w:p>
        </w:tc>
        <w:tc>
          <w:tcPr>
            <w:tcW w:w="1473" w:type="dxa"/>
          </w:tcPr>
          <w:p w14:paraId="0EAA17F2" w14:textId="060F091C"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2E65631A" w14:textId="09DD2B8D"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187</w:t>
            </w:r>
          </w:p>
        </w:tc>
        <w:tc>
          <w:tcPr>
            <w:tcW w:w="1021" w:type="dxa"/>
          </w:tcPr>
          <w:p w14:paraId="0EE18B29" w14:textId="3054897C"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1.94</w:t>
            </w:r>
            <w:r w:rsidRPr="004A7ED7">
              <w:rPr>
                <w:rFonts w:cs="Open Sans"/>
                <w:szCs w:val="18"/>
                <w:vertAlign w:val="superscript"/>
              </w:rPr>
              <w:t>c</w:t>
            </w:r>
          </w:p>
        </w:tc>
        <w:tc>
          <w:tcPr>
            <w:tcW w:w="1304" w:type="dxa"/>
          </w:tcPr>
          <w:p w14:paraId="241097C1" w14:textId="362B384F"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3.29</w:t>
            </w:r>
            <w:r w:rsidRPr="004A7ED7">
              <w:rPr>
                <w:rFonts w:cs="Open Sans"/>
                <w:szCs w:val="18"/>
                <w:vertAlign w:val="superscript"/>
              </w:rPr>
              <w:t>c</w:t>
            </w:r>
          </w:p>
        </w:tc>
        <w:tc>
          <w:tcPr>
            <w:tcW w:w="1299" w:type="dxa"/>
          </w:tcPr>
          <w:p w14:paraId="637720D5" w14:textId="5B08E771"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6.67</w:t>
            </w:r>
            <w:r w:rsidRPr="004A7ED7">
              <w:rPr>
                <w:rFonts w:cs="Open Sans"/>
                <w:szCs w:val="18"/>
                <w:vertAlign w:val="superscript"/>
              </w:rPr>
              <w:t>c</w:t>
            </w:r>
          </w:p>
        </w:tc>
        <w:tc>
          <w:tcPr>
            <w:tcW w:w="1077" w:type="dxa"/>
          </w:tcPr>
          <w:p w14:paraId="0CB31084" w14:textId="4F91E60F"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87.32</w:t>
            </w:r>
          </w:p>
        </w:tc>
        <w:tc>
          <w:tcPr>
            <w:tcW w:w="1247" w:type="dxa"/>
          </w:tcPr>
          <w:p w14:paraId="654878F9" w14:textId="0E04185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0.00</w:t>
            </w:r>
          </w:p>
        </w:tc>
        <w:tc>
          <w:tcPr>
            <w:tcW w:w="1191" w:type="dxa"/>
          </w:tcPr>
          <w:p w14:paraId="00D74393" w14:textId="29736D2D"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5.22</w:t>
            </w:r>
            <w:r w:rsidRPr="004A7ED7">
              <w:rPr>
                <w:rFonts w:cs="Open Sans"/>
                <w:szCs w:val="18"/>
                <w:vertAlign w:val="superscript"/>
              </w:rPr>
              <w:t>c</w:t>
            </w:r>
          </w:p>
        </w:tc>
        <w:tc>
          <w:tcPr>
            <w:tcW w:w="1134" w:type="dxa"/>
          </w:tcPr>
          <w:p w14:paraId="2F0B4B9F" w14:textId="7D279B9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94.00</w:t>
            </w:r>
          </w:p>
        </w:tc>
      </w:tr>
      <w:tr w:rsidR="00BC1F87" w:rsidRPr="004A7ED7" w14:paraId="72F8EDBD"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31BBEEAB" w14:textId="77777777" w:rsidR="00BC1F87" w:rsidRPr="004A7ED7" w:rsidRDefault="00BC1F87" w:rsidP="00962748">
            <w:pPr>
              <w:pStyle w:val="Tablebody"/>
              <w:rPr>
                <w:rFonts w:cs="Open Sans"/>
                <w:szCs w:val="18"/>
                <w:lang w:val="en-GB"/>
              </w:rPr>
            </w:pPr>
            <w:r w:rsidRPr="004A7ED7">
              <w:rPr>
                <w:rFonts w:cs="Open Sans"/>
                <w:szCs w:val="18"/>
              </w:rPr>
              <w:t>S20</w:t>
            </w:r>
          </w:p>
        </w:tc>
        <w:tc>
          <w:tcPr>
            <w:tcW w:w="3910" w:type="dxa"/>
          </w:tcPr>
          <w:p w14:paraId="11BFD6B6"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is raped while drunk or affected by drugs, she is at least partly responsible</w:t>
            </w:r>
          </w:p>
        </w:tc>
        <w:tc>
          <w:tcPr>
            <w:tcW w:w="1473" w:type="dxa"/>
          </w:tcPr>
          <w:p w14:paraId="079CCDA0"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25892DDF"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913</w:t>
            </w:r>
          </w:p>
        </w:tc>
        <w:tc>
          <w:tcPr>
            <w:tcW w:w="1021" w:type="dxa"/>
          </w:tcPr>
          <w:p w14:paraId="2797AD2F" w14:textId="6DBBCC43"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2.75</w:t>
            </w:r>
          </w:p>
        </w:tc>
        <w:tc>
          <w:tcPr>
            <w:tcW w:w="1304" w:type="dxa"/>
          </w:tcPr>
          <w:p w14:paraId="07066339" w14:textId="3434A622"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7.09</w:t>
            </w:r>
          </w:p>
        </w:tc>
        <w:tc>
          <w:tcPr>
            <w:tcW w:w="1299" w:type="dxa"/>
          </w:tcPr>
          <w:p w14:paraId="2E73C7C5" w14:textId="2F70CCE4"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12.87</w:t>
            </w:r>
          </w:p>
        </w:tc>
        <w:tc>
          <w:tcPr>
            <w:tcW w:w="1077" w:type="dxa"/>
          </w:tcPr>
          <w:p w14:paraId="2DD38BE2" w14:textId="487C139A"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76.25*</w:t>
            </w:r>
          </w:p>
        </w:tc>
        <w:tc>
          <w:tcPr>
            <w:tcW w:w="1247" w:type="dxa"/>
          </w:tcPr>
          <w:p w14:paraId="46DE2ABD" w14:textId="63616481"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1.05</w:t>
            </w:r>
            <w:r w:rsidRPr="004A7ED7">
              <w:rPr>
                <w:rFonts w:cs="Open Sans"/>
                <w:szCs w:val="18"/>
                <w:vertAlign w:val="superscript"/>
              </w:rPr>
              <w:t>c</w:t>
            </w:r>
          </w:p>
        </w:tc>
        <w:tc>
          <w:tcPr>
            <w:tcW w:w="1191" w:type="dxa"/>
          </w:tcPr>
          <w:p w14:paraId="1368D929" w14:textId="36EA52F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9.84*</w:t>
            </w:r>
          </w:p>
        </w:tc>
        <w:tc>
          <w:tcPr>
            <w:tcW w:w="1134" w:type="dxa"/>
          </w:tcPr>
          <w:p w14:paraId="487CB357" w14:textId="4160BAC8"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89.11*</w:t>
            </w:r>
          </w:p>
        </w:tc>
      </w:tr>
      <w:tr w:rsidR="00BC1F87" w:rsidRPr="004A7ED7" w14:paraId="4AE359A2"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6B3E4D1F" w14:textId="1510E862" w:rsidR="00BC1F87" w:rsidRPr="004A7ED7" w:rsidRDefault="00BC1F87" w:rsidP="00962748">
            <w:pPr>
              <w:pStyle w:val="Tablebody"/>
              <w:rPr>
                <w:rFonts w:cs="Open Sans"/>
                <w:szCs w:val="18"/>
              </w:rPr>
            </w:pPr>
            <w:r w:rsidRPr="004A7ED7">
              <w:rPr>
                <w:rFonts w:cs="Open Sans"/>
                <w:szCs w:val="18"/>
              </w:rPr>
              <w:t>S20</w:t>
            </w:r>
          </w:p>
        </w:tc>
        <w:tc>
          <w:tcPr>
            <w:tcW w:w="3910" w:type="dxa"/>
          </w:tcPr>
          <w:p w14:paraId="50218344" w14:textId="18C28248"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is raped while drunk or affected by drugs, she is at least partly responsible</w:t>
            </w:r>
          </w:p>
        </w:tc>
        <w:tc>
          <w:tcPr>
            <w:tcW w:w="1473" w:type="dxa"/>
          </w:tcPr>
          <w:p w14:paraId="30B59BD9" w14:textId="790CBB86"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4228ACFF" w14:textId="78830CCC"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715</w:t>
            </w:r>
          </w:p>
        </w:tc>
        <w:tc>
          <w:tcPr>
            <w:tcW w:w="1021" w:type="dxa"/>
          </w:tcPr>
          <w:p w14:paraId="5ED72BE7" w14:textId="32C7A6BE"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1.25</w:t>
            </w:r>
            <w:r w:rsidRPr="004A7ED7">
              <w:rPr>
                <w:rFonts w:cs="Open Sans"/>
                <w:szCs w:val="18"/>
                <w:vertAlign w:val="superscript"/>
              </w:rPr>
              <w:t>c</w:t>
            </w:r>
          </w:p>
        </w:tc>
        <w:tc>
          <w:tcPr>
            <w:tcW w:w="1304" w:type="dxa"/>
          </w:tcPr>
          <w:p w14:paraId="7142B9CC" w14:textId="7FA3B47C"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2.82</w:t>
            </w:r>
            <w:r w:rsidRPr="004A7ED7">
              <w:rPr>
                <w:rFonts w:cs="Open Sans"/>
                <w:szCs w:val="18"/>
                <w:vertAlign w:val="superscript"/>
              </w:rPr>
              <w:t>c</w:t>
            </w:r>
          </w:p>
        </w:tc>
        <w:tc>
          <w:tcPr>
            <w:tcW w:w="1299" w:type="dxa"/>
          </w:tcPr>
          <w:p w14:paraId="258EBC78" w14:textId="1C7E250B"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8.31</w:t>
            </w:r>
          </w:p>
        </w:tc>
        <w:tc>
          <w:tcPr>
            <w:tcW w:w="1077" w:type="dxa"/>
          </w:tcPr>
          <w:p w14:paraId="2A9013B7" w14:textId="2A598CD2"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86.65*</w:t>
            </w:r>
          </w:p>
        </w:tc>
        <w:tc>
          <w:tcPr>
            <w:tcW w:w="1247" w:type="dxa"/>
          </w:tcPr>
          <w:p w14:paraId="64EEE661" w14:textId="36011A79"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0.68</w:t>
            </w:r>
            <w:r w:rsidRPr="004A7ED7">
              <w:rPr>
                <w:rFonts w:cs="Open Sans"/>
                <w:szCs w:val="18"/>
                <w:vertAlign w:val="superscript"/>
              </w:rPr>
              <w:t>c</w:t>
            </w:r>
          </w:p>
        </w:tc>
        <w:tc>
          <w:tcPr>
            <w:tcW w:w="1191" w:type="dxa"/>
          </w:tcPr>
          <w:p w14:paraId="40B03FEF" w14:textId="567D8C12"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4.07*</w:t>
            </w:r>
          </w:p>
        </w:tc>
        <w:tc>
          <w:tcPr>
            <w:tcW w:w="1134" w:type="dxa"/>
          </w:tcPr>
          <w:p w14:paraId="1F564009" w14:textId="42CCAEF5"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94.96*</w:t>
            </w:r>
          </w:p>
        </w:tc>
      </w:tr>
      <w:tr w:rsidR="00BC1F87" w:rsidRPr="004A7ED7" w14:paraId="41D338D4"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010F9335" w14:textId="77777777" w:rsidR="00BC1F87" w:rsidRPr="004A7ED7" w:rsidRDefault="00BC1F87" w:rsidP="00962748">
            <w:pPr>
              <w:pStyle w:val="Tablebody"/>
              <w:rPr>
                <w:rFonts w:cs="Open Sans"/>
                <w:szCs w:val="18"/>
                <w:lang w:val="en-GB"/>
              </w:rPr>
            </w:pPr>
            <w:r w:rsidRPr="004A7ED7">
              <w:rPr>
                <w:rFonts w:cs="Open Sans"/>
                <w:szCs w:val="18"/>
              </w:rPr>
              <w:t>S21</w:t>
            </w:r>
          </w:p>
        </w:tc>
        <w:tc>
          <w:tcPr>
            <w:tcW w:w="3910" w:type="dxa"/>
          </w:tcPr>
          <w:p w14:paraId="4D8EF939"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If a woman meets up with a man she met on a mobile dating app, she’s partly responsible if he forces sex on her^</w:t>
            </w:r>
          </w:p>
        </w:tc>
        <w:tc>
          <w:tcPr>
            <w:tcW w:w="1473" w:type="dxa"/>
          </w:tcPr>
          <w:p w14:paraId="00FBD68E"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6" w:type="dxa"/>
          </w:tcPr>
          <w:p w14:paraId="5862B22B" w14:textId="777777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612</w:t>
            </w:r>
          </w:p>
        </w:tc>
        <w:tc>
          <w:tcPr>
            <w:tcW w:w="1021" w:type="dxa"/>
          </w:tcPr>
          <w:p w14:paraId="5F9AA7F5" w14:textId="126E7693"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1.72</w:t>
            </w:r>
            <w:r w:rsidRPr="004A7ED7">
              <w:rPr>
                <w:rFonts w:cs="Open Sans"/>
                <w:szCs w:val="18"/>
                <w:vertAlign w:val="superscript"/>
              </w:rPr>
              <w:t>c</w:t>
            </w:r>
          </w:p>
        </w:tc>
        <w:tc>
          <w:tcPr>
            <w:tcW w:w="1304" w:type="dxa"/>
          </w:tcPr>
          <w:p w14:paraId="31AAB816" w14:textId="4650027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3.09</w:t>
            </w:r>
            <w:r w:rsidRPr="004A7ED7">
              <w:rPr>
                <w:rFonts w:cs="Open Sans"/>
                <w:szCs w:val="18"/>
                <w:vertAlign w:val="superscript"/>
              </w:rPr>
              <w:t>c</w:t>
            </w:r>
          </w:p>
        </w:tc>
        <w:tc>
          <w:tcPr>
            <w:tcW w:w="1299" w:type="dxa"/>
          </w:tcPr>
          <w:p w14:paraId="23CFC40E" w14:textId="3110E71C"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7.62</w:t>
            </w:r>
          </w:p>
        </w:tc>
        <w:tc>
          <w:tcPr>
            <w:tcW w:w="1077" w:type="dxa"/>
          </w:tcPr>
          <w:p w14:paraId="64E0A975" w14:textId="5B874100"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87.04</w:t>
            </w:r>
          </w:p>
        </w:tc>
        <w:tc>
          <w:tcPr>
            <w:tcW w:w="1247" w:type="dxa"/>
          </w:tcPr>
          <w:p w14:paraId="23FB1D0D" w14:textId="6C7A9709"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0.53</w:t>
            </w:r>
            <w:r w:rsidRPr="004A7ED7">
              <w:rPr>
                <w:rFonts w:cs="Open Sans"/>
                <w:szCs w:val="18"/>
                <w:vertAlign w:val="superscript"/>
              </w:rPr>
              <w:t>c</w:t>
            </w:r>
          </w:p>
        </w:tc>
        <w:tc>
          <w:tcPr>
            <w:tcW w:w="1191" w:type="dxa"/>
          </w:tcPr>
          <w:p w14:paraId="663E2AEF" w14:textId="77A23FB6"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4.82</w:t>
            </w:r>
          </w:p>
        </w:tc>
        <w:tc>
          <w:tcPr>
            <w:tcW w:w="1134" w:type="dxa"/>
          </w:tcPr>
          <w:p w14:paraId="3BC64F0B" w14:textId="03E11433"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94.66</w:t>
            </w:r>
          </w:p>
        </w:tc>
      </w:tr>
      <w:tr w:rsidR="00BC1F87" w:rsidRPr="004A7ED7" w14:paraId="2844A35C"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2" w:type="dxa"/>
          </w:tcPr>
          <w:p w14:paraId="3A6CBD32" w14:textId="453DE0E1" w:rsidR="00BC1F87" w:rsidRPr="004A7ED7" w:rsidRDefault="00BC1F87" w:rsidP="00962748">
            <w:pPr>
              <w:pStyle w:val="Tablebody"/>
              <w:rPr>
                <w:rFonts w:cs="Open Sans"/>
                <w:szCs w:val="18"/>
              </w:rPr>
            </w:pPr>
            <w:r w:rsidRPr="004A7ED7">
              <w:rPr>
                <w:rFonts w:cs="Open Sans"/>
                <w:szCs w:val="18"/>
              </w:rPr>
              <w:t>S21</w:t>
            </w:r>
          </w:p>
        </w:tc>
        <w:tc>
          <w:tcPr>
            <w:tcW w:w="3910" w:type="dxa"/>
          </w:tcPr>
          <w:p w14:paraId="78A2FCE1" w14:textId="21DF0828"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If a woman meets up with a man she met on a mobile dating app, she’s partly responsible if he forces sex on her^</w:t>
            </w:r>
          </w:p>
        </w:tc>
        <w:tc>
          <w:tcPr>
            <w:tcW w:w="1473" w:type="dxa"/>
          </w:tcPr>
          <w:p w14:paraId="1FCC3C26" w14:textId="0448A074"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6" w:type="dxa"/>
          </w:tcPr>
          <w:p w14:paraId="792C53BF" w14:textId="71404546"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471</w:t>
            </w:r>
          </w:p>
        </w:tc>
        <w:tc>
          <w:tcPr>
            <w:tcW w:w="1021" w:type="dxa"/>
          </w:tcPr>
          <w:p w14:paraId="6D27AC42" w14:textId="483E206B"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1.39</w:t>
            </w:r>
            <w:r w:rsidRPr="004A7ED7">
              <w:rPr>
                <w:rFonts w:cs="Open Sans"/>
                <w:szCs w:val="18"/>
                <w:vertAlign w:val="superscript"/>
              </w:rPr>
              <w:t>c</w:t>
            </w:r>
          </w:p>
        </w:tc>
        <w:tc>
          <w:tcPr>
            <w:tcW w:w="1304" w:type="dxa"/>
          </w:tcPr>
          <w:p w14:paraId="27CC5426" w14:textId="067B6E2B"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4.50</w:t>
            </w:r>
            <w:r w:rsidRPr="004A7ED7">
              <w:rPr>
                <w:rFonts w:cs="Open Sans"/>
                <w:szCs w:val="18"/>
                <w:vertAlign w:val="superscript"/>
              </w:rPr>
              <w:t>c</w:t>
            </w:r>
          </w:p>
        </w:tc>
        <w:tc>
          <w:tcPr>
            <w:tcW w:w="1299" w:type="dxa"/>
          </w:tcPr>
          <w:p w14:paraId="76AE21D8" w14:textId="370D92B3"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5.60</w:t>
            </w:r>
          </w:p>
        </w:tc>
        <w:tc>
          <w:tcPr>
            <w:tcW w:w="1077" w:type="dxa"/>
          </w:tcPr>
          <w:p w14:paraId="10CA9CC2" w14:textId="118EFE57"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87.88</w:t>
            </w:r>
          </w:p>
        </w:tc>
        <w:tc>
          <w:tcPr>
            <w:tcW w:w="1247" w:type="dxa"/>
          </w:tcPr>
          <w:p w14:paraId="54721419" w14:textId="4C301AA2" w:rsidR="00BC1F87" w:rsidRPr="00BC1F8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0.14</w:t>
            </w:r>
            <w:r w:rsidRPr="004A7ED7">
              <w:rPr>
                <w:rFonts w:cs="Open Sans"/>
                <w:szCs w:val="18"/>
                <w:vertAlign w:val="superscript"/>
              </w:rPr>
              <w:t>c</w:t>
            </w:r>
          </w:p>
        </w:tc>
        <w:tc>
          <w:tcPr>
            <w:tcW w:w="1191" w:type="dxa"/>
          </w:tcPr>
          <w:p w14:paraId="58E67DDD" w14:textId="5CC223FA"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5.89</w:t>
            </w:r>
          </w:p>
        </w:tc>
        <w:tc>
          <w:tcPr>
            <w:tcW w:w="1134" w:type="dxa"/>
          </w:tcPr>
          <w:p w14:paraId="0800F85C" w14:textId="0A6AEB2C" w:rsidR="00BC1F87" w:rsidRPr="004A7ED7" w:rsidRDefault="00BC1F87"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vertAlign w:val="superscript"/>
              </w:rPr>
            </w:pPr>
            <w:r w:rsidRPr="004A7ED7">
              <w:rPr>
                <w:rFonts w:cs="Open Sans"/>
                <w:szCs w:val="18"/>
              </w:rPr>
              <w:t>93.48</w:t>
            </w:r>
          </w:p>
        </w:tc>
      </w:tr>
    </w:tbl>
    <w:p w14:paraId="51CA8ED8" w14:textId="611D9CEA" w:rsidR="00872B4E" w:rsidRDefault="00872B4E" w:rsidP="00966261">
      <w:pPr>
        <w:pStyle w:val="Tablesubheading0"/>
      </w:pPr>
      <w:r>
        <w:lastRenderedPageBreak/>
        <w:t xml:space="preserve">Subscale: </w:t>
      </w:r>
      <w:r w:rsidRPr="00531840">
        <w:t>Objectify Women</w:t>
      </w:r>
    </w:p>
    <w:p w14:paraId="0327CB03" w14:textId="28A3EE2F" w:rsidR="00872B4E" w:rsidRPr="00D80F32" w:rsidRDefault="00872B4E" w:rsidP="00C84EA3">
      <w:pPr>
        <w:pStyle w:val="Tablesubheading"/>
      </w:pPr>
      <w:r w:rsidRPr="00D80F32">
        <w:t>After coming home from a party, a man kisses his wife and tries to have sex with her. She pushes him away, but he has sex with her anyway.</w:t>
      </w:r>
    </w:p>
    <w:tbl>
      <w:tblPr>
        <w:tblStyle w:val="Table-SingleHeaderRow"/>
        <w:tblW w:w="0" w:type="auto"/>
        <w:tblLayout w:type="fixed"/>
        <w:tblLook w:val="00A0" w:firstRow="1" w:lastRow="0" w:firstColumn="1" w:lastColumn="0" w:noHBand="0" w:noVBand="0"/>
      </w:tblPr>
      <w:tblGrid>
        <w:gridCol w:w="723"/>
        <w:gridCol w:w="3912"/>
        <w:gridCol w:w="1474"/>
        <w:gridCol w:w="567"/>
        <w:gridCol w:w="1021"/>
        <w:gridCol w:w="1304"/>
        <w:gridCol w:w="1299"/>
        <w:gridCol w:w="1077"/>
        <w:gridCol w:w="1247"/>
        <w:gridCol w:w="1191"/>
        <w:gridCol w:w="1134"/>
      </w:tblGrid>
      <w:tr w:rsidR="00872B4E" w:rsidRPr="004A7ED7" w14:paraId="1B10B09A" w14:textId="77777777" w:rsidTr="00962748">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723" w:type="dxa"/>
          </w:tcPr>
          <w:p w14:paraId="04AD289B" w14:textId="77777777" w:rsidR="00872B4E" w:rsidRPr="004A7ED7" w:rsidRDefault="00872B4E" w:rsidP="00962748">
            <w:pPr>
              <w:pStyle w:val="Tablebody"/>
              <w:rPr>
                <w:b w:val="0"/>
                <w:lang w:val="en-GB"/>
              </w:rPr>
            </w:pPr>
            <w:r w:rsidRPr="004A7ED7">
              <w:t>Code</w:t>
            </w:r>
          </w:p>
        </w:tc>
        <w:tc>
          <w:tcPr>
            <w:tcW w:w="3912" w:type="dxa"/>
          </w:tcPr>
          <w:p w14:paraId="01FB842D"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Abbreviated item wording</w:t>
            </w:r>
          </w:p>
        </w:tc>
        <w:tc>
          <w:tcPr>
            <w:tcW w:w="1474" w:type="dxa"/>
          </w:tcPr>
          <w:p w14:paraId="290A58DD"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Age</w:t>
            </w:r>
          </w:p>
        </w:tc>
        <w:tc>
          <w:tcPr>
            <w:tcW w:w="567" w:type="dxa"/>
          </w:tcPr>
          <w:p w14:paraId="0CFFD7B4"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A7ED7">
              <w:rPr>
                <w:rStyle w:val="Emphasis"/>
                <w:lang w:val="en-US"/>
              </w:rPr>
              <w:t>N</w:t>
            </w:r>
          </w:p>
        </w:tc>
        <w:tc>
          <w:tcPr>
            <w:tcW w:w="1021" w:type="dxa"/>
          </w:tcPr>
          <w:p w14:paraId="4E02CE76"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agree</w:t>
            </w:r>
          </w:p>
        </w:tc>
        <w:tc>
          <w:tcPr>
            <w:tcW w:w="1304" w:type="dxa"/>
          </w:tcPr>
          <w:p w14:paraId="5CB755F0"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agree</w:t>
            </w:r>
          </w:p>
        </w:tc>
        <w:tc>
          <w:tcPr>
            <w:tcW w:w="1299" w:type="dxa"/>
          </w:tcPr>
          <w:p w14:paraId="0068C690"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disagree</w:t>
            </w:r>
          </w:p>
        </w:tc>
        <w:tc>
          <w:tcPr>
            <w:tcW w:w="1077" w:type="dxa"/>
          </w:tcPr>
          <w:p w14:paraId="4E9624C7"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disagree</w:t>
            </w:r>
          </w:p>
        </w:tc>
        <w:tc>
          <w:tcPr>
            <w:tcW w:w="1247" w:type="dxa"/>
          </w:tcPr>
          <w:p w14:paraId="710DD569"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Undecided</w:t>
            </w:r>
          </w:p>
        </w:tc>
        <w:tc>
          <w:tcPr>
            <w:tcW w:w="1191" w:type="dxa"/>
          </w:tcPr>
          <w:p w14:paraId="3AC113AF"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agree</w:t>
            </w:r>
            <w:r w:rsidRPr="004A7ED7">
              <w:rPr>
                <w:vertAlign w:val="superscript"/>
              </w:rPr>
              <w:t>a</w:t>
            </w:r>
          </w:p>
        </w:tc>
        <w:tc>
          <w:tcPr>
            <w:tcW w:w="1134" w:type="dxa"/>
          </w:tcPr>
          <w:p w14:paraId="1C1CE1D7"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disagree</w:t>
            </w:r>
            <w:r w:rsidRPr="004A7ED7">
              <w:rPr>
                <w:vertAlign w:val="superscript"/>
              </w:rPr>
              <w:t>b</w:t>
            </w:r>
          </w:p>
        </w:tc>
      </w:tr>
      <w:tr w:rsidR="002E312C" w:rsidRPr="004A7ED7" w14:paraId="5F8F1988"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32B294D" w14:textId="77777777" w:rsidR="002E312C" w:rsidRPr="004A7ED7" w:rsidRDefault="002E312C" w:rsidP="00962748">
            <w:pPr>
              <w:pStyle w:val="Tablebody"/>
              <w:rPr>
                <w:rFonts w:cs="Open Sans"/>
                <w:szCs w:val="18"/>
                <w:lang w:val="en-GB"/>
              </w:rPr>
            </w:pPr>
            <w:r w:rsidRPr="004A7ED7">
              <w:rPr>
                <w:rFonts w:cs="Open Sans"/>
                <w:szCs w:val="18"/>
              </w:rPr>
              <w:t>S12</w:t>
            </w:r>
          </w:p>
        </w:tc>
        <w:tc>
          <w:tcPr>
            <w:tcW w:w="3912" w:type="dxa"/>
          </w:tcPr>
          <w:p w14:paraId="29DC1F74" w14:textId="7E27163B"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Do you agree or disagree that the man is</w:t>
            </w:r>
            <w:r>
              <w:rPr>
                <w:rFonts w:cs="Open Sans"/>
                <w:szCs w:val="18"/>
                <w:lang w:val="en-US"/>
              </w:rPr>
              <w:t> </w:t>
            </w:r>
            <w:r w:rsidRPr="004A7ED7">
              <w:rPr>
                <w:rFonts w:cs="Open Sans"/>
                <w:szCs w:val="18"/>
                <w:lang w:val="en-US"/>
              </w:rPr>
              <w:t xml:space="preserve">justified? </w:t>
            </w:r>
            <w:r w:rsidRPr="004A7ED7">
              <w:rPr>
                <w:rFonts w:cs="Open Sans"/>
                <w:szCs w:val="18"/>
              </w:rPr>
              <w:t>(</w:t>
            </w:r>
            <w:r w:rsidRPr="004A7ED7">
              <w:rPr>
                <w:rFonts w:cs="Open Sans"/>
                <w:i/>
                <w:iCs/>
                <w:szCs w:val="18"/>
                <w:lang w:val="en-US"/>
              </w:rPr>
              <w:t>Married – He initiates</w:t>
            </w:r>
            <w:r w:rsidRPr="004A7ED7">
              <w:rPr>
                <w:rFonts w:cs="Open Sans"/>
                <w:szCs w:val="18"/>
              </w:rPr>
              <w:t>)</w:t>
            </w:r>
            <w:r w:rsidRPr="004A7ED7">
              <w:rPr>
                <w:rFonts w:ascii="Montserrat" w:hAnsi="Montserrat" w:cs="Montserrat"/>
                <w:szCs w:val="18"/>
              </w:rPr>
              <w:t>~</w:t>
            </w:r>
          </w:p>
        </w:tc>
        <w:tc>
          <w:tcPr>
            <w:tcW w:w="1474" w:type="dxa"/>
          </w:tcPr>
          <w:p w14:paraId="7CAF6C9F" w14:textId="77777777"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70E70B8A" w14:textId="77777777"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215</w:t>
            </w:r>
          </w:p>
        </w:tc>
        <w:tc>
          <w:tcPr>
            <w:tcW w:w="1021" w:type="dxa"/>
          </w:tcPr>
          <w:p w14:paraId="64180955" w14:textId="142B253E"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0.62</w:t>
            </w:r>
            <w:r w:rsidRPr="004A7ED7">
              <w:rPr>
                <w:rFonts w:cs="Open Sans"/>
                <w:szCs w:val="18"/>
                <w:vertAlign w:val="superscript"/>
              </w:rPr>
              <w:t>c</w:t>
            </w:r>
          </w:p>
        </w:tc>
        <w:tc>
          <w:tcPr>
            <w:tcW w:w="1304" w:type="dxa"/>
          </w:tcPr>
          <w:p w14:paraId="4DF97F78" w14:textId="010BE362"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1.78</w:t>
            </w:r>
            <w:r w:rsidRPr="004A7ED7">
              <w:rPr>
                <w:rFonts w:cs="Open Sans"/>
                <w:szCs w:val="18"/>
                <w:vertAlign w:val="superscript"/>
              </w:rPr>
              <w:t>c</w:t>
            </w:r>
          </w:p>
        </w:tc>
        <w:tc>
          <w:tcPr>
            <w:tcW w:w="1299" w:type="dxa"/>
          </w:tcPr>
          <w:p w14:paraId="3787D5A0" w14:textId="401ED6C8"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6.60</w:t>
            </w:r>
            <w:r w:rsidRPr="004A7ED7">
              <w:rPr>
                <w:rFonts w:cs="Open Sans"/>
                <w:szCs w:val="18"/>
                <w:vertAlign w:val="superscript"/>
              </w:rPr>
              <w:t>c</w:t>
            </w:r>
          </w:p>
        </w:tc>
        <w:tc>
          <w:tcPr>
            <w:tcW w:w="1077" w:type="dxa"/>
          </w:tcPr>
          <w:p w14:paraId="3861E0B8" w14:textId="133FCC72"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90.00</w:t>
            </w:r>
          </w:p>
        </w:tc>
        <w:tc>
          <w:tcPr>
            <w:tcW w:w="1247" w:type="dxa"/>
          </w:tcPr>
          <w:p w14:paraId="1E11BE87" w14:textId="1192E545"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1.00</w:t>
            </w:r>
            <w:r w:rsidRPr="004A7ED7">
              <w:rPr>
                <w:rFonts w:cs="Open Sans"/>
                <w:szCs w:val="18"/>
                <w:vertAlign w:val="superscript"/>
              </w:rPr>
              <w:t>c</w:t>
            </w:r>
          </w:p>
        </w:tc>
        <w:tc>
          <w:tcPr>
            <w:tcW w:w="1191" w:type="dxa"/>
          </w:tcPr>
          <w:p w14:paraId="527C8E85" w14:textId="59476511"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2.40</w:t>
            </w:r>
            <w:r w:rsidRPr="004A7ED7">
              <w:rPr>
                <w:rFonts w:cs="Open Sans"/>
                <w:szCs w:val="18"/>
                <w:vertAlign w:val="superscript"/>
              </w:rPr>
              <w:t>c</w:t>
            </w:r>
          </w:p>
        </w:tc>
        <w:tc>
          <w:tcPr>
            <w:tcW w:w="1134" w:type="dxa"/>
          </w:tcPr>
          <w:p w14:paraId="7F32EBDA" w14:textId="636B7A7C"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96.60</w:t>
            </w:r>
          </w:p>
        </w:tc>
      </w:tr>
      <w:tr w:rsidR="002E312C" w:rsidRPr="004A7ED7" w14:paraId="56C46AD3"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94414BF" w14:textId="17FCBB96" w:rsidR="002E312C" w:rsidRPr="004A7ED7" w:rsidRDefault="002E312C" w:rsidP="00962748">
            <w:pPr>
              <w:pStyle w:val="Tablebody"/>
              <w:rPr>
                <w:rFonts w:cs="Open Sans"/>
                <w:szCs w:val="18"/>
              </w:rPr>
            </w:pPr>
            <w:r w:rsidRPr="004A7ED7">
              <w:rPr>
                <w:rFonts w:cs="Open Sans"/>
                <w:szCs w:val="18"/>
              </w:rPr>
              <w:t>S12</w:t>
            </w:r>
          </w:p>
        </w:tc>
        <w:tc>
          <w:tcPr>
            <w:tcW w:w="3912" w:type="dxa"/>
          </w:tcPr>
          <w:p w14:paraId="63DC9B0E" w14:textId="040907A7"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Do you agree or disagree that the man is</w:t>
            </w:r>
            <w:r>
              <w:rPr>
                <w:rFonts w:cs="Open Sans"/>
                <w:szCs w:val="18"/>
                <w:lang w:val="en-US"/>
              </w:rPr>
              <w:t> </w:t>
            </w:r>
            <w:r w:rsidRPr="004A7ED7">
              <w:rPr>
                <w:rFonts w:cs="Open Sans"/>
                <w:szCs w:val="18"/>
                <w:lang w:val="en-US"/>
              </w:rPr>
              <w:t xml:space="preserve">justified? </w:t>
            </w:r>
            <w:r w:rsidRPr="004A7ED7">
              <w:rPr>
                <w:rFonts w:cs="Open Sans"/>
                <w:szCs w:val="18"/>
              </w:rPr>
              <w:t>(</w:t>
            </w:r>
            <w:r w:rsidRPr="004A7ED7">
              <w:rPr>
                <w:rFonts w:cs="Open Sans"/>
                <w:i/>
                <w:iCs/>
                <w:szCs w:val="18"/>
                <w:lang w:val="en-US"/>
              </w:rPr>
              <w:t>Married – He initiates</w:t>
            </w:r>
            <w:r w:rsidRPr="004A7ED7">
              <w:rPr>
                <w:rFonts w:cs="Open Sans"/>
                <w:szCs w:val="18"/>
              </w:rPr>
              <w:t>)</w:t>
            </w:r>
            <w:r w:rsidRPr="004A7ED7">
              <w:rPr>
                <w:rFonts w:ascii="Montserrat" w:hAnsi="Montserrat" w:cs="Montserrat"/>
                <w:szCs w:val="18"/>
              </w:rPr>
              <w:t>~</w:t>
            </w:r>
          </w:p>
        </w:tc>
        <w:tc>
          <w:tcPr>
            <w:tcW w:w="1474" w:type="dxa"/>
          </w:tcPr>
          <w:p w14:paraId="213566B8" w14:textId="20EB7ED8"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18B25346" w14:textId="056DEE0D"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173</w:t>
            </w:r>
          </w:p>
        </w:tc>
        <w:tc>
          <w:tcPr>
            <w:tcW w:w="1021" w:type="dxa"/>
          </w:tcPr>
          <w:p w14:paraId="0C316146" w14:textId="65522A6F"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1.28</w:t>
            </w:r>
            <w:r w:rsidRPr="004A7ED7">
              <w:rPr>
                <w:rFonts w:cs="Open Sans"/>
                <w:szCs w:val="18"/>
                <w:vertAlign w:val="superscript"/>
              </w:rPr>
              <w:t>c</w:t>
            </w:r>
          </w:p>
        </w:tc>
        <w:tc>
          <w:tcPr>
            <w:tcW w:w="1304" w:type="dxa"/>
          </w:tcPr>
          <w:p w14:paraId="5D6D80C9" w14:textId="1C32C9A1"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4.55</w:t>
            </w:r>
            <w:r w:rsidRPr="004A7ED7">
              <w:rPr>
                <w:rFonts w:cs="Open Sans"/>
                <w:szCs w:val="18"/>
                <w:vertAlign w:val="superscript"/>
              </w:rPr>
              <w:t>c</w:t>
            </w:r>
          </w:p>
        </w:tc>
        <w:tc>
          <w:tcPr>
            <w:tcW w:w="1299" w:type="dxa"/>
          </w:tcPr>
          <w:p w14:paraId="4CF28E5D" w14:textId="636DEF24"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4.65</w:t>
            </w:r>
            <w:r w:rsidRPr="004A7ED7">
              <w:rPr>
                <w:rFonts w:cs="Open Sans"/>
                <w:szCs w:val="18"/>
                <w:vertAlign w:val="superscript"/>
              </w:rPr>
              <w:t>c</w:t>
            </w:r>
          </w:p>
        </w:tc>
        <w:tc>
          <w:tcPr>
            <w:tcW w:w="1077" w:type="dxa"/>
          </w:tcPr>
          <w:p w14:paraId="104C5C7B" w14:textId="0B7C2720"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88.38</w:t>
            </w:r>
          </w:p>
        </w:tc>
        <w:tc>
          <w:tcPr>
            <w:tcW w:w="1247" w:type="dxa"/>
          </w:tcPr>
          <w:p w14:paraId="5C84943A" w14:textId="34F5B172"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1.13</w:t>
            </w:r>
            <w:r w:rsidRPr="004A7ED7">
              <w:rPr>
                <w:rFonts w:cs="Open Sans"/>
                <w:szCs w:val="18"/>
                <w:vertAlign w:val="superscript"/>
              </w:rPr>
              <w:t>c</w:t>
            </w:r>
          </w:p>
        </w:tc>
        <w:tc>
          <w:tcPr>
            <w:tcW w:w="1191" w:type="dxa"/>
          </w:tcPr>
          <w:p w14:paraId="65376217" w14:textId="50A52C71"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5.83</w:t>
            </w:r>
            <w:r w:rsidRPr="004A7ED7">
              <w:rPr>
                <w:rFonts w:cs="Open Sans"/>
                <w:szCs w:val="18"/>
                <w:vertAlign w:val="superscript"/>
              </w:rPr>
              <w:t>c</w:t>
            </w:r>
          </w:p>
        </w:tc>
        <w:tc>
          <w:tcPr>
            <w:tcW w:w="1134" w:type="dxa"/>
          </w:tcPr>
          <w:p w14:paraId="18BAF136" w14:textId="6BA6D692"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93.03</w:t>
            </w:r>
          </w:p>
        </w:tc>
      </w:tr>
      <w:tr w:rsidR="002E312C" w:rsidRPr="004A7ED7" w14:paraId="1E7C8DB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16EBF576" w14:textId="77777777" w:rsidR="002E312C" w:rsidRPr="004A7ED7" w:rsidRDefault="002E312C" w:rsidP="00962748">
            <w:pPr>
              <w:pStyle w:val="Tablebody"/>
              <w:rPr>
                <w:rFonts w:cs="Open Sans"/>
                <w:szCs w:val="18"/>
                <w:lang w:val="en-GB"/>
              </w:rPr>
            </w:pPr>
            <w:r w:rsidRPr="004A7ED7">
              <w:rPr>
                <w:rFonts w:cs="Open Sans"/>
                <w:szCs w:val="18"/>
              </w:rPr>
              <w:t>S13</w:t>
            </w:r>
          </w:p>
        </w:tc>
        <w:tc>
          <w:tcPr>
            <w:tcW w:w="3912" w:type="dxa"/>
          </w:tcPr>
          <w:p w14:paraId="75345FE5" w14:textId="1A8DB35C"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What if she had taken him into the bedroom and started kissing him before pushing him away. Do you agree or</w:t>
            </w:r>
            <w:r>
              <w:rPr>
                <w:rFonts w:cs="Open Sans"/>
                <w:szCs w:val="18"/>
                <w:lang w:val="en-US"/>
              </w:rPr>
              <w:t> </w:t>
            </w:r>
            <w:r w:rsidRPr="004A7ED7">
              <w:rPr>
                <w:rFonts w:cs="Open Sans"/>
                <w:szCs w:val="18"/>
                <w:lang w:val="en-US"/>
              </w:rPr>
              <w:t>disagree that the man is justified in</w:t>
            </w:r>
            <w:r>
              <w:rPr>
                <w:rFonts w:cs="Open Sans"/>
                <w:szCs w:val="18"/>
                <w:lang w:val="en-US"/>
              </w:rPr>
              <w:t> </w:t>
            </w:r>
            <w:r w:rsidRPr="004A7ED7">
              <w:rPr>
                <w:rFonts w:cs="Open Sans"/>
                <w:szCs w:val="18"/>
                <w:lang w:val="en-US"/>
              </w:rPr>
              <w:t xml:space="preserve">having sex with her anyway? </w:t>
            </w:r>
            <w:r w:rsidRPr="004A7ED7">
              <w:rPr>
                <w:rFonts w:cs="Open Sans"/>
                <w:szCs w:val="18"/>
              </w:rPr>
              <w:t>(</w:t>
            </w:r>
            <w:r w:rsidRPr="004A7ED7">
              <w:rPr>
                <w:rFonts w:cs="Open Sans"/>
                <w:i/>
                <w:iCs/>
                <w:szCs w:val="18"/>
                <w:lang w:val="en-US"/>
              </w:rPr>
              <w:t>Married – She</w:t>
            </w:r>
            <w:r>
              <w:rPr>
                <w:rFonts w:cs="Open Sans"/>
                <w:i/>
                <w:iCs/>
                <w:szCs w:val="18"/>
                <w:lang w:val="en-US"/>
              </w:rPr>
              <w:t> </w:t>
            </w:r>
            <w:r w:rsidRPr="004A7ED7">
              <w:rPr>
                <w:rFonts w:cs="Open Sans"/>
                <w:i/>
                <w:iCs/>
                <w:szCs w:val="18"/>
                <w:lang w:val="en-US"/>
              </w:rPr>
              <w:t>initiates</w:t>
            </w:r>
            <w:r w:rsidRPr="004A7ED7">
              <w:rPr>
                <w:rFonts w:cs="Open Sans"/>
                <w:szCs w:val="18"/>
              </w:rPr>
              <w:t>)</w:t>
            </w:r>
            <w:r w:rsidRPr="004A7ED7">
              <w:rPr>
                <w:rFonts w:ascii="Montserrat" w:hAnsi="Montserrat" w:cs="Montserrat"/>
                <w:szCs w:val="18"/>
              </w:rPr>
              <w:t>~</w:t>
            </w:r>
          </w:p>
        </w:tc>
        <w:tc>
          <w:tcPr>
            <w:tcW w:w="1474" w:type="dxa"/>
          </w:tcPr>
          <w:p w14:paraId="754FBE96" w14:textId="77777777"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0F4F7E00" w14:textId="77777777"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215</w:t>
            </w:r>
          </w:p>
        </w:tc>
        <w:tc>
          <w:tcPr>
            <w:tcW w:w="1021" w:type="dxa"/>
          </w:tcPr>
          <w:p w14:paraId="0A2DFE71" w14:textId="3B3CB94A"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1.33</w:t>
            </w:r>
            <w:r w:rsidRPr="004A7ED7">
              <w:rPr>
                <w:rFonts w:cs="Open Sans"/>
                <w:szCs w:val="18"/>
                <w:vertAlign w:val="superscript"/>
              </w:rPr>
              <w:t>c</w:t>
            </w:r>
          </w:p>
        </w:tc>
        <w:tc>
          <w:tcPr>
            <w:tcW w:w="1304" w:type="dxa"/>
          </w:tcPr>
          <w:p w14:paraId="50F7C4AD" w14:textId="72F840B3"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8.69</w:t>
            </w:r>
          </w:p>
        </w:tc>
        <w:tc>
          <w:tcPr>
            <w:tcW w:w="1299" w:type="dxa"/>
          </w:tcPr>
          <w:p w14:paraId="77B51760" w14:textId="5448EDE1"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15.88</w:t>
            </w:r>
          </w:p>
        </w:tc>
        <w:tc>
          <w:tcPr>
            <w:tcW w:w="1077" w:type="dxa"/>
          </w:tcPr>
          <w:p w14:paraId="5E4EC675" w14:textId="06B59540"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69.81</w:t>
            </w:r>
          </w:p>
        </w:tc>
        <w:tc>
          <w:tcPr>
            <w:tcW w:w="1247" w:type="dxa"/>
          </w:tcPr>
          <w:p w14:paraId="6823F5B4" w14:textId="1C426C2D"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4.29</w:t>
            </w:r>
            <w:r w:rsidRPr="004A7ED7">
              <w:rPr>
                <w:rFonts w:cs="Open Sans"/>
                <w:szCs w:val="18"/>
                <w:vertAlign w:val="superscript"/>
              </w:rPr>
              <w:t>c</w:t>
            </w:r>
          </w:p>
        </w:tc>
        <w:tc>
          <w:tcPr>
            <w:tcW w:w="1191" w:type="dxa"/>
          </w:tcPr>
          <w:p w14:paraId="017F391F" w14:textId="1D55B3D5"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10.02</w:t>
            </w:r>
          </w:p>
        </w:tc>
        <w:tc>
          <w:tcPr>
            <w:tcW w:w="1134" w:type="dxa"/>
          </w:tcPr>
          <w:p w14:paraId="235F6A45" w14:textId="0589F98D"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85.69</w:t>
            </w:r>
          </w:p>
        </w:tc>
      </w:tr>
      <w:tr w:rsidR="002E312C" w:rsidRPr="004A7ED7" w14:paraId="5D2E2785" w14:textId="77777777" w:rsidTr="00962748">
        <w:trPr>
          <w:trHeight w:val="60"/>
        </w:trPr>
        <w:tc>
          <w:tcPr>
            <w:cnfStyle w:val="001000000000" w:firstRow="0" w:lastRow="0" w:firstColumn="1" w:lastColumn="0" w:oddVBand="0" w:evenVBand="0" w:oddHBand="0" w:evenHBand="0" w:firstRowFirstColumn="0" w:firstRowLastColumn="0" w:lastRowFirstColumn="0" w:lastRowLastColumn="0"/>
            <w:tcW w:w="723" w:type="dxa"/>
          </w:tcPr>
          <w:p w14:paraId="09AE3A4B" w14:textId="01DC43AC" w:rsidR="002E312C" w:rsidRPr="004A7ED7" w:rsidRDefault="002E312C" w:rsidP="00962748">
            <w:pPr>
              <w:pStyle w:val="Tablebody"/>
              <w:rPr>
                <w:rFonts w:cs="Open Sans"/>
                <w:szCs w:val="18"/>
              </w:rPr>
            </w:pPr>
            <w:r w:rsidRPr="004A7ED7">
              <w:rPr>
                <w:rFonts w:cs="Open Sans"/>
                <w:szCs w:val="18"/>
              </w:rPr>
              <w:t>S13</w:t>
            </w:r>
          </w:p>
        </w:tc>
        <w:tc>
          <w:tcPr>
            <w:tcW w:w="3912" w:type="dxa"/>
          </w:tcPr>
          <w:p w14:paraId="7BFEFA07" w14:textId="3D96ADB6"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What if she had taken him into the bedroom and started kissing him before pushing him away. Do you agree or</w:t>
            </w:r>
            <w:r>
              <w:rPr>
                <w:rFonts w:cs="Open Sans"/>
                <w:szCs w:val="18"/>
                <w:lang w:val="en-US"/>
              </w:rPr>
              <w:t> </w:t>
            </w:r>
            <w:r w:rsidRPr="004A7ED7">
              <w:rPr>
                <w:rFonts w:cs="Open Sans"/>
                <w:szCs w:val="18"/>
                <w:lang w:val="en-US"/>
              </w:rPr>
              <w:t>disagree that the man is justified in</w:t>
            </w:r>
            <w:r>
              <w:rPr>
                <w:rFonts w:cs="Open Sans"/>
                <w:szCs w:val="18"/>
                <w:lang w:val="en-US"/>
              </w:rPr>
              <w:t> </w:t>
            </w:r>
            <w:r w:rsidRPr="004A7ED7">
              <w:rPr>
                <w:rFonts w:cs="Open Sans"/>
                <w:szCs w:val="18"/>
                <w:lang w:val="en-US"/>
              </w:rPr>
              <w:t xml:space="preserve">having sex with her anyway? </w:t>
            </w:r>
            <w:r w:rsidRPr="004A7ED7">
              <w:rPr>
                <w:rFonts w:cs="Open Sans"/>
                <w:szCs w:val="18"/>
              </w:rPr>
              <w:t>(</w:t>
            </w:r>
            <w:r w:rsidRPr="004A7ED7">
              <w:rPr>
                <w:rFonts w:cs="Open Sans"/>
                <w:i/>
                <w:iCs/>
                <w:szCs w:val="18"/>
                <w:lang w:val="en-US"/>
              </w:rPr>
              <w:t>Married – She</w:t>
            </w:r>
            <w:r>
              <w:rPr>
                <w:rFonts w:cs="Open Sans"/>
                <w:i/>
                <w:iCs/>
                <w:szCs w:val="18"/>
                <w:lang w:val="en-US"/>
              </w:rPr>
              <w:t> </w:t>
            </w:r>
            <w:r w:rsidRPr="004A7ED7">
              <w:rPr>
                <w:rFonts w:cs="Open Sans"/>
                <w:i/>
                <w:iCs/>
                <w:szCs w:val="18"/>
                <w:lang w:val="en-US"/>
              </w:rPr>
              <w:t>initiates</w:t>
            </w:r>
            <w:r w:rsidRPr="004A7ED7">
              <w:rPr>
                <w:rFonts w:cs="Open Sans"/>
                <w:szCs w:val="18"/>
              </w:rPr>
              <w:t>)</w:t>
            </w:r>
            <w:r w:rsidRPr="004A7ED7">
              <w:rPr>
                <w:rFonts w:ascii="Montserrat" w:hAnsi="Montserrat" w:cs="Montserrat"/>
                <w:szCs w:val="18"/>
              </w:rPr>
              <w:t>~</w:t>
            </w:r>
          </w:p>
        </w:tc>
        <w:tc>
          <w:tcPr>
            <w:tcW w:w="1474" w:type="dxa"/>
          </w:tcPr>
          <w:p w14:paraId="7FCAD3E1" w14:textId="3B62A008"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232F49F6" w14:textId="51A22A6C"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173</w:t>
            </w:r>
          </w:p>
        </w:tc>
        <w:tc>
          <w:tcPr>
            <w:tcW w:w="1021" w:type="dxa"/>
          </w:tcPr>
          <w:p w14:paraId="68353982" w14:textId="55425111"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3.08</w:t>
            </w:r>
            <w:r w:rsidRPr="004A7ED7">
              <w:rPr>
                <w:rFonts w:cs="Open Sans"/>
                <w:szCs w:val="18"/>
                <w:vertAlign w:val="superscript"/>
              </w:rPr>
              <w:t>c</w:t>
            </w:r>
          </w:p>
        </w:tc>
        <w:tc>
          <w:tcPr>
            <w:tcW w:w="1304" w:type="dxa"/>
          </w:tcPr>
          <w:p w14:paraId="5CEC1394" w14:textId="6C2CDF3A"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8.97</w:t>
            </w:r>
            <w:r w:rsidRPr="004A7ED7">
              <w:rPr>
                <w:rFonts w:cs="Open Sans"/>
                <w:szCs w:val="18"/>
                <w:vertAlign w:val="superscript"/>
              </w:rPr>
              <w:t>c</w:t>
            </w:r>
          </w:p>
        </w:tc>
        <w:tc>
          <w:tcPr>
            <w:tcW w:w="1299" w:type="dxa"/>
          </w:tcPr>
          <w:p w14:paraId="67B80F6C" w14:textId="107C9D0C"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16.17</w:t>
            </w:r>
          </w:p>
        </w:tc>
        <w:tc>
          <w:tcPr>
            <w:tcW w:w="1077" w:type="dxa"/>
          </w:tcPr>
          <w:p w14:paraId="1B348957" w14:textId="17A19B45"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69.54</w:t>
            </w:r>
          </w:p>
        </w:tc>
        <w:tc>
          <w:tcPr>
            <w:tcW w:w="1247" w:type="dxa"/>
          </w:tcPr>
          <w:p w14:paraId="49857FAF" w14:textId="2DCE6B9A"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2.24</w:t>
            </w:r>
            <w:r w:rsidRPr="004A7ED7">
              <w:rPr>
                <w:rFonts w:cs="Open Sans"/>
                <w:szCs w:val="18"/>
                <w:vertAlign w:val="superscript"/>
              </w:rPr>
              <w:t>c</w:t>
            </w:r>
          </w:p>
        </w:tc>
        <w:tc>
          <w:tcPr>
            <w:tcW w:w="1191" w:type="dxa"/>
          </w:tcPr>
          <w:p w14:paraId="21803571" w14:textId="6302BC00"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12.05</w:t>
            </w:r>
          </w:p>
        </w:tc>
        <w:tc>
          <w:tcPr>
            <w:tcW w:w="1134" w:type="dxa"/>
          </w:tcPr>
          <w:p w14:paraId="4E8EF3DC" w14:textId="7AF329A8" w:rsidR="002E312C" w:rsidRPr="004A7ED7" w:rsidRDefault="002E312C"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85.71</w:t>
            </w:r>
          </w:p>
        </w:tc>
      </w:tr>
    </w:tbl>
    <w:p w14:paraId="586F9416" w14:textId="77777777" w:rsidR="00872B4E" w:rsidRPr="00C84EA3" w:rsidRDefault="00872B4E" w:rsidP="00966261">
      <w:pPr>
        <w:pStyle w:val="Tablesubheading0"/>
      </w:pPr>
      <w:r w:rsidRPr="00C84EA3">
        <w:t>Subscale: Objectify Women</w:t>
      </w:r>
    </w:p>
    <w:p w14:paraId="1B45FD8B" w14:textId="383D9822" w:rsidR="009C08D2" w:rsidRDefault="00872B4E" w:rsidP="00651048">
      <w:pPr>
        <w:pStyle w:val="Tablesubheading"/>
        <w:spacing w:before="80"/>
      </w:pPr>
      <w:r w:rsidRPr="004A7ED7">
        <w:t>A man and woman have just met at a party and get on well. They go back to the woman’s home where he kisses her and tries to have sex with her.</w:t>
      </w:r>
    </w:p>
    <w:tbl>
      <w:tblPr>
        <w:tblStyle w:val="Table-SingleHeaderRow"/>
        <w:tblW w:w="0" w:type="auto"/>
        <w:tblLayout w:type="fixed"/>
        <w:tblLook w:val="00A0" w:firstRow="1" w:lastRow="0" w:firstColumn="1" w:lastColumn="0" w:noHBand="0" w:noVBand="0"/>
      </w:tblPr>
      <w:tblGrid>
        <w:gridCol w:w="723"/>
        <w:gridCol w:w="4422"/>
        <w:gridCol w:w="1474"/>
        <w:gridCol w:w="567"/>
        <w:gridCol w:w="1020"/>
        <w:gridCol w:w="1191"/>
        <w:gridCol w:w="1191"/>
        <w:gridCol w:w="1020"/>
        <w:gridCol w:w="1191"/>
        <w:gridCol w:w="1077"/>
        <w:gridCol w:w="1077"/>
      </w:tblGrid>
      <w:tr w:rsidR="00872B4E" w:rsidRPr="004A7ED7" w14:paraId="0ED7758D" w14:textId="77777777" w:rsidTr="00962748">
        <w:trPr>
          <w:cnfStyle w:val="100000000000" w:firstRow="1" w:lastRow="0" w:firstColumn="0" w:lastColumn="0" w:oddVBand="0" w:evenVBand="0" w:oddHBand="0" w:evenHBand="0" w:firstRowFirstColumn="0" w:firstRowLastColumn="0" w:lastRowFirstColumn="0" w:lastRowLastColumn="0"/>
          <w:trHeight w:val="198"/>
          <w:tblHeader/>
        </w:trPr>
        <w:tc>
          <w:tcPr>
            <w:cnfStyle w:val="001000000000" w:firstRow="0" w:lastRow="0" w:firstColumn="1" w:lastColumn="0" w:oddVBand="0" w:evenVBand="0" w:oddHBand="0" w:evenHBand="0" w:firstRowFirstColumn="0" w:firstRowLastColumn="0" w:lastRowFirstColumn="0" w:lastRowLastColumn="0"/>
            <w:tcW w:w="723" w:type="dxa"/>
          </w:tcPr>
          <w:p w14:paraId="30E97435" w14:textId="77777777" w:rsidR="00872B4E" w:rsidRPr="004A7ED7" w:rsidRDefault="00872B4E" w:rsidP="00962748">
            <w:pPr>
              <w:pStyle w:val="Tablebody"/>
              <w:rPr>
                <w:b w:val="0"/>
                <w:lang w:val="en-GB"/>
              </w:rPr>
            </w:pPr>
            <w:r w:rsidRPr="004A7ED7">
              <w:t>Code</w:t>
            </w:r>
          </w:p>
        </w:tc>
        <w:tc>
          <w:tcPr>
            <w:tcW w:w="4422" w:type="dxa"/>
          </w:tcPr>
          <w:p w14:paraId="071BE7D4"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Abbreviated item wording</w:t>
            </w:r>
          </w:p>
        </w:tc>
        <w:tc>
          <w:tcPr>
            <w:tcW w:w="1474" w:type="dxa"/>
          </w:tcPr>
          <w:p w14:paraId="549969EF"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Age</w:t>
            </w:r>
          </w:p>
        </w:tc>
        <w:tc>
          <w:tcPr>
            <w:tcW w:w="567" w:type="dxa"/>
          </w:tcPr>
          <w:p w14:paraId="1C81DF53"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rStyle w:val="Emphasis"/>
                <w:lang w:val="en-GB"/>
              </w:rPr>
            </w:pPr>
            <w:r w:rsidRPr="004A7ED7">
              <w:rPr>
                <w:rStyle w:val="Emphasis"/>
                <w:lang w:val="en-US"/>
              </w:rPr>
              <w:t>N</w:t>
            </w:r>
          </w:p>
        </w:tc>
        <w:tc>
          <w:tcPr>
            <w:tcW w:w="1020" w:type="dxa"/>
          </w:tcPr>
          <w:p w14:paraId="3D614367"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agree</w:t>
            </w:r>
          </w:p>
        </w:tc>
        <w:tc>
          <w:tcPr>
            <w:tcW w:w="1191" w:type="dxa"/>
          </w:tcPr>
          <w:p w14:paraId="57638E7F"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agree</w:t>
            </w:r>
          </w:p>
        </w:tc>
        <w:tc>
          <w:tcPr>
            <w:tcW w:w="1191" w:type="dxa"/>
          </w:tcPr>
          <w:p w14:paraId="215E944D"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Somewhat disagree</w:t>
            </w:r>
          </w:p>
        </w:tc>
        <w:tc>
          <w:tcPr>
            <w:tcW w:w="1020" w:type="dxa"/>
          </w:tcPr>
          <w:p w14:paraId="446C129B"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Strongly disagree</w:t>
            </w:r>
          </w:p>
        </w:tc>
        <w:tc>
          <w:tcPr>
            <w:tcW w:w="1191" w:type="dxa"/>
          </w:tcPr>
          <w:p w14:paraId="0112ACD6"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Undecided</w:t>
            </w:r>
          </w:p>
        </w:tc>
        <w:tc>
          <w:tcPr>
            <w:tcW w:w="1077" w:type="dxa"/>
          </w:tcPr>
          <w:p w14:paraId="447D5021"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agree</w:t>
            </w:r>
            <w:r w:rsidRPr="004A7ED7">
              <w:rPr>
                <w:vertAlign w:val="superscript"/>
              </w:rPr>
              <w:t>a</w:t>
            </w:r>
          </w:p>
        </w:tc>
        <w:tc>
          <w:tcPr>
            <w:tcW w:w="1077" w:type="dxa"/>
          </w:tcPr>
          <w:p w14:paraId="1677D949" w14:textId="77777777" w:rsidR="00872B4E" w:rsidRPr="004A7ED7" w:rsidRDefault="00872B4E" w:rsidP="00962748">
            <w:pPr>
              <w:pStyle w:val="Tablebody"/>
              <w:cnfStyle w:val="100000000000" w:firstRow="1" w:lastRow="0" w:firstColumn="0" w:lastColumn="0" w:oddVBand="0" w:evenVBand="0" w:oddHBand="0" w:evenHBand="0" w:firstRowFirstColumn="0" w:firstRowLastColumn="0" w:lastRowFirstColumn="0" w:lastRowLastColumn="0"/>
              <w:rPr>
                <w:b w:val="0"/>
                <w:lang w:val="en-GB"/>
              </w:rPr>
            </w:pPr>
            <w:r w:rsidRPr="004A7ED7">
              <w:t>% Net disagree</w:t>
            </w:r>
            <w:r w:rsidRPr="004A7ED7">
              <w:rPr>
                <w:vertAlign w:val="superscript"/>
              </w:rPr>
              <w:t>b</w:t>
            </w:r>
          </w:p>
        </w:tc>
      </w:tr>
      <w:tr w:rsidR="00F846A8" w:rsidRPr="004A7ED7" w14:paraId="204386E6" w14:textId="77777777" w:rsidTr="00962748">
        <w:trPr>
          <w:trHeight w:val="565"/>
        </w:trPr>
        <w:tc>
          <w:tcPr>
            <w:cnfStyle w:val="001000000000" w:firstRow="0" w:lastRow="0" w:firstColumn="1" w:lastColumn="0" w:oddVBand="0" w:evenVBand="0" w:oddHBand="0" w:evenHBand="0" w:firstRowFirstColumn="0" w:firstRowLastColumn="0" w:lastRowFirstColumn="0" w:lastRowLastColumn="0"/>
            <w:tcW w:w="723" w:type="dxa"/>
          </w:tcPr>
          <w:p w14:paraId="1BC98214" w14:textId="77777777" w:rsidR="00F846A8" w:rsidRPr="004A7ED7" w:rsidRDefault="00F846A8" w:rsidP="00962748">
            <w:pPr>
              <w:pStyle w:val="Tablebody"/>
              <w:rPr>
                <w:rFonts w:cs="Open Sans"/>
                <w:szCs w:val="18"/>
                <w:lang w:val="en-GB"/>
              </w:rPr>
            </w:pPr>
            <w:r w:rsidRPr="004A7ED7">
              <w:rPr>
                <w:rFonts w:cs="Open Sans"/>
                <w:szCs w:val="18"/>
              </w:rPr>
              <w:t>S14</w:t>
            </w:r>
          </w:p>
        </w:tc>
        <w:tc>
          <w:tcPr>
            <w:tcW w:w="4422" w:type="dxa"/>
          </w:tcPr>
          <w:p w14:paraId="1C8FF044" w14:textId="3BA0AABA"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She pushes him away, but he has sex with her anyway. Do you agree or disagree that the man is</w:t>
            </w:r>
            <w:r>
              <w:rPr>
                <w:rFonts w:cs="Open Sans"/>
                <w:szCs w:val="18"/>
                <w:lang w:val="en-US"/>
              </w:rPr>
              <w:t> </w:t>
            </w:r>
            <w:r w:rsidRPr="004A7ED7">
              <w:rPr>
                <w:rFonts w:cs="Open Sans"/>
                <w:szCs w:val="18"/>
                <w:lang w:val="en-US"/>
              </w:rPr>
              <w:t xml:space="preserve">justified in his behaviour? </w:t>
            </w:r>
            <w:r w:rsidRPr="004A7ED7">
              <w:rPr>
                <w:rFonts w:cs="Open Sans"/>
                <w:szCs w:val="18"/>
              </w:rPr>
              <w:t>(</w:t>
            </w:r>
            <w:r w:rsidRPr="004A7ED7">
              <w:rPr>
                <w:rFonts w:cs="Open Sans"/>
                <w:i/>
                <w:iCs/>
                <w:szCs w:val="18"/>
                <w:lang w:val="en-US"/>
              </w:rPr>
              <w:t>Acquaintance – He</w:t>
            </w:r>
            <w:r>
              <w:rPr>
                <w:rFonts w:cs="Open Sans"/>
                <w:i/>
                <w:iCs/>
                <w:szCs w:val="18"/>
                <w:lang w:val="en-US"/>
              </w:rPr>
              <w:t> </w:t>
            </w:r>
            <w:r w:rsidRPr="004A7ED7">
              <w:rPr>
                <w:rFonts w:cs="Open Sans"/>
                <w:i/>
                <w:iCs/>
                <w:szCs w:val="18"/>
                <w:lang w:val="en-US"/>
              </w:rPr>
              <w:t>initiates</w:t>
            </w:r>
            <w:r w:rsidRPr="004A7ED7">
              <w:rPr>
                <w:rFonts w:cs="Open Sans"/>
                <w:szCs w:val="18"/>
              </w:rPr>
              <w:t>)</w:t>
            </w:r>
            <w:r w:rsidRPr="004A7ED7">
              <w:rPr>
                <w:rFonts w:ascii="Montserrat" w:hAnsi="Montserrat" w:cs="Montserrat"/>
                <w:szCs w:val="18"/>
              </w:rPr>
              <w:t>~</w:t>
            </w:r>
          </w:p>
        </w:tc>
        <w:tc>
          <w:tcPr>
            <w:tcW w:w="1474" w:type="dxa"/>
          </w:tcPr>
          <w:p w14:paraId="5901209E" w14:textId="77777777"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1B4D24EB" w14:textId="77777777"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219</w:t>
            </w:r>
          </w:p>
        </w:tc>
        <w:tc>
          <w:tcPr>
            <w:tcW w:w="1020" w:type="dxa"/>
          </w:tcPr>
          <w:p w14:paraId="585C9228" w14:textId="415715ED"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2.60</w:t>
            </w:r>
            <w:r w:rsidRPr="004A7ED7">
              <w:rPr>
                <w:rFonts w:cs="Open Sans"/>
                <w:szCs w:val="18"/>
                <w:vertAlign w:val="superscript"/>
              </w:rPr>
              <w:t>c</w:t>
            </w:r>
          </w:p>
        </w:tc>
        <w:tc>
          <w:tcPr>
            <w:tcW w:w="1191" w:type="dxa"/>
          </w:tcPr>
          <w:p w14:paraId="65C68DCD" w14:textId="258E5B39"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4.01</w:t>
            </w:r>
            <w:r w:rsidRPr="004A7ED7">
              <w:rPr>
                <w:rFonts w:cs="Open Sans"/>
                <w:szCs w:val="18"/>
                <w:vertAlign w:val="superscript"/>
              </w:rPr>
              <w:t>c</w:t>
            </w:r>
          </w:p>
        </w:tc>
        <w:tc>
          <w:tcPr>
            <w:tcW w:w="1191" w:type="dxa"/>
          </w:tcPr>
          <w:p w14:paraId="24098890" w14:textId="6C81CFAF"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6.14</w:t>
            </w:r>
            <w:r w:rsidRPr="004A7ED7">
              <w:rPr>
                <w:rFonts w:cs="Open Sans"/>
                <w:szCs w:val="18"/>
                <w:vertAlign w:val="superscript"/>
              </w:rPr>
              <w:t>c</w:t>
            </w:r>
          </w:p>
        </w:tc>
        <w:tc>
          <w:tcPr>
            <w:tcW w:w="1020" w:type="dxa"/>
          </w:tcPr>
          <w:p w14:paraId="5E063C46" w14:textId="0F5E83CF"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86.53</w:t>
            </w:r>
          </w:p>
        </w:tc>
        <w:tc>
          <w:tcPr>
            <w:tcW w:w="1191" w:type="dxa"/>
          </w:tcPr>
          <w:p w14:paraId="1A736254" w14:textId="1FC9E0CB"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0.73</w:t>
            </w:r>
            <w:r w:rsidRPr="004A7ED7">
              <w:rPr>
                <w:rFonts w:cs="Open Sans"/>
                <w:szCs w:val="18"/>
                <w:vertAlign w:val="superscript"/>
              </w:rPr>
              <w:t>c</w:t>
            </w:r>
          </w:p>
        </w:tc>
        <w:tc>
          <w:tcPr>
            <w:tcW w:w="1077" w:type="dxa"/>
          </w:tcPr>
          <w:p w14:paraId="46F38FE4" w14:textId="04FD488C"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6.60</w:t>
            </w:r>
            <w:r w:rsidRPr="004A7ED7">
              <w:rPr>
                <w:rFonts w:cs="Open Sans"/>
                <w:szCs w:val="18"/>
                <w:vertAlign w:val="superscript"/>
              </w:rPr>
              <w:t>c</w:t>
            </w:r>
          </w:p>
        </w:tc>
        <w:tc>
          <w:tcPr>
            <w:tcW w:w="1077" w:type="dxa"/>
          </w:tcPr>
          <w:p w14:paraId="2F530DC2" w14:textId="75D8D283"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92.66</w:t>
            </w:r>
          </w:p>
        </w:tc>
      </w:tr>
      <w:tr w:rsidR="00F846A8" w:rsidRPr="004A7ED7" w14:paraId="5329CCA9" w14:textId="77777777" w:rsidTr="00962748">
        <w:trPr>
          <w:trHeight w:val="565"/>
        </w:trPr>
        <w:tc>
          <w:tcPr>
            <w:cnfStyle w:val="001000000000" w:firstRow="0" w:lastRow="0" w:firstColumn="1" w:lastColumn="0" w:oddVBand="0" w:evenVBand="0" w:oddHBand="0" w:evenHBand="0" w:firstRowFirstColumn="0" w:firstRowLastColumn="0" w:lastRowFirstColumn="0" w:lastRowLastColumn="0"/>
            <w:tcW w:w="723" w:type="dxa"/>
          </w:tcPr>
          <w:p w14:paraId="601A6891" w14:textId="4E8DA51D" w:rsidR="00F846A8" w:rsidRPr="004A7ED7" w:rsidRDefault="00F846A8" w:rsidP="00962748">
            <w:pPr>
              <w:pStyle w:val="Tablebody"/>
              <w:rPr>
                <w:rFonts w:cs="Open Sans"/>
                <w:szCs w:val="18"/>
              </w:rPr>
            </w:pPr>
            <w:r w:rsidRPr="004A7ED7">
              <w:rPr>
                <w:rFonts w:cs="Open Sans"/>
                <w:szCs w:val="18"/>
              </w:rPr>
              <w:t>S14</w:t>
            </w:r>
          </w:p>
        </w:tc>
        <w:tc>
          <w:tcPr>
            <w:tcW w:w="4422" w:type="dxa"/>
          </w:tcPr>
          <w:p w14:paraId="702A710B" w14:textId="6EF8712D"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4A7ED7">
              <w:rPr>
                <w:rFonts w:cs="Open Sans"/>
                <w:szCs w:val="18"/>
                <w:lang w:val="en-US"/>
              </w:rPr>
              <w:t>She pushes him away, but he has sex with her anyway. Do you agree or disagree that the man is</w:t>
            </w:r>
            <w:r>
              <w:rPr>
                <w:rFonts w:cs="Open Sans"/>
                <w:szCs w:val="18"/>
                <w:lang w:val="en-US"/>
              </w:rPr>
              <w:t> </w:t>
            </w:r>
            <w:r w:rsidRPr="004A7ED7">
              <w:rPr>
                <w:rFonts w:cs="Open Sans"/>
                <w:szCs w:val="18"/>
                <w:lang w:val="en-US"/>
              </w:rPr>
              <w:t xml:space="preserve">justified in his behaviour? </w:t>
            </w:r>
            <w:r w:rsidRPr="004A7ED7">
              <w:rPr>
                <w:rFonts w:cs="Open Sans"/>
                <w:szCs w:val="18"/>
              </w:rPr>
              <w:t>(</w:t>
            </w:r>
            <w:r w:rsidRPr="004A7ED7">
              <w:rPr>
                <w:rFonts w:cs="Open Sans"/>
                <w:i/>
                <w:iCs/>
                <w:szCs w:val="18"/>
                <w:lang w:val="en-US"/>
              </w:rPr>
              <w:t>Acquaintance – He</w:t>
            </w:r>
            <w:r>
              <w:rPr>
                <w:rFonts w:cs="Open Sans"/>
                <w:i/>
                <w:iCs/>
                <w:szCs w:val="18"/>
                <w:lang w:val="en-US"/>
              </w:rPr>
              <w:t> </w:t>
            </w:r>
            <w:r w:rsidRPr="004A7ED7">
              <w:rPr>
                <w:rFonts w:cs="Open Sans"/>
                <w:i/>
                <w:iCs/>
                <w:szCs w:val="18"/>
                <w:lang w:val="en-US"/>
              </w:rPr>
              <w:t>initiates</w:t>
            </w:r>
            <w:r w:rsidRPr="004A7ED7">
              <w:rPr>
                <w:rFonts w:cs="Open Sans"/>
                <w:szCs w:val="18"/>
              </w:rPr>
              <w:t>)</w:t>
            </w:r>
            <w:r w:rsidRPr="004A7ED7">
              <w:rPr>
                <w:rFonts w:ascii="Montserrat" w:hAnsi="Montserrat" w:cs="Montserrat"/>
                <w:szCs w:val="18"/>
              </w:rPr>
              <w:t>~</w:t>
            </w:r>
          </w:p>
        </w:tc>
        <w:tc>
          <w:tcPr>
            <w:tcW w:w="1474" w:type="dxa"/>
          </w:tcPr>
          <w:p w14:paraId="273FA231" w14:textId="18187F12"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4F3DFA8E" w14:textId="7ECFA0B0"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166</w:t>
            </w:r>
          </w:p>
        </w:tc>
        <w:tc>
          <w:tcPr>
            <w:tcW w:w="1020" w:type="dxa"/>
          </w:tcPr>
          <w:p w14:paraId="17C201BD" w14:textId="7E548741"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1.74</w:t>
            </w:r>
            <w:r w:rsidRPr="004A7ED7">
              <w:rPr>
                <w:rFonts w:cs="Open Sans"/>
                <w:szCs w:val="18"/>
                <w:vertAlign w:val="superscript"/>
              </w:rPr>
              <w:t>c</w:t>
            </w:r>
          </w:p>
        </w:tc>
        <w:tc>
          <w:tcPr>
            <w:tcW w:w="1191" w:type="dxa"/>
          </w:tcPr>
          <w:p w14:paraId="08C97592" w14:textId="0BD5CA9E"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1.24</w:t>
            </w:r>
            <w:r w:rsidRPr="004A7ED7">
              <w:rPr>
                <w:rFonts w:cs="Open Sans"/>
                <w:szCs w:val="18"/>
                <w:vertAlign w:val="superscript"/>
              </w:rPr>
              <w:t>c</w:t>
            </w:r>
          </w:p>
        </w:tc>
        <w:tc>
          <w:tcPr>
            <w:tcW w:w="1191" w:type="dxa"/>
          </w:tcPr>
          <w:p w14:paraId="33B02793" w14:textId="23CAC892"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4.00</w:t>
            </w:r>
            <w:r w:rsidRPr="004A7ED7">
              <w:rPr>
                <w:rFonts w:cs="Open Sans"/>
                <w:szCs w:val="18"/>
                <w:vertAlign w:val="superscript"/>
              </w:rPr>
              <w:t>c</w:t>
            </w:r>
          </w:p>
        </w:tc>
        <w:tc>
          <w:tcPr>
            <w:tcW w:w="1020" w:type="dxa"/>
          </w:tcPr>
          <w:p w14:paraId="07EAFB76" w14:textId="357D5338"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91.96</w:t>
            </w:r>
          </w:p>
        </w:tc>
        <w:tc>
          <w:tcPr>
            <w:tcW w:w="1191" w:type="dxa"/>
          </w:tcPr>
          <w:p w14:paraId="5CBD952A" w14:textId="23EE5E71"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0.37</w:t>
            </w:r>
            <w:r w:rsidRPr="004A7ED7">
              <w:rPr>
                <w:rFonts w:cs="Open Sans"/>
                <w:szCs w:val="18"/>
                <w:vertAlign w:val="superscript"/>
              </w:rPr>
              <w:t>c</w:t>
            </w:r>
          </w:p>
        </w:tc>
        <w:tc>
          <w:tcPr>
            <w:tcW w:w="1077" w:type="dxa"/>
          </w:tcPr>
          <w:p w14:paraId="7010480B" w14:textId="0AA9D964"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2.98</w:t>
            </w:r>
            <w:r w:rsidRPr="004A7ED7">
              <w:rPr>
                <w:rFonts w:cs="Open Sans"/>
                <w:szCs w:val="18"/>
                <w:vertAlign w:val="superscript"/>
              </w:rPr>
              <w:t>c</w:t>
            </w:r>
          </w:p>
        </w:tc>
        <w:tc>
          <w:tcPr>
            <w:tcW w:w="1077" w:type="dxa"/>
          </w:tcPr>
          <w:p w14:paraId="3BA8BB64" w14:textId="3105779E"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95.96</w:t>
            </w:r>
          </w:p>
        </w:tc>
      </w:tr>
      <w:tr w:rsidR="00F846A8" w:rsidRPr="004A7ED7" w14:paraId="466A9BC5" w14:textId="77777777" w:rsidTr="00962748">
        <w:trPr>
          <w:trHeight w:val="822"/>
        </w:trPr>
        <w:tc>
          <w:tcPr>
            <w:cnfStyle w:val="001000000000" w:firstRow="0" w:lastRow="0" w:firstColumn="1" w:lastColumn="0" w:oddVBand="0" w:evenVBand="0" w:oddHBand="0" w:evenHBand="0" w:firstRowFirstColumn="0" w:firstRowLastColumn="0" w:lastRowFirstColumn="0" w:lastRowLastColumn="0"/>
            <w:tcW w:w="723" w:type="dxa"/>
          </w:tcPr>
          <w:p w14:paraId="25711FB3" w14:textId="77777777" w:rsidR="00F846A8" w:rsidRPr="004A7ED7" w:rsidRDefault="00F846A8" w:rsidP="00962748">
            <w:pPr>
              <w:pStyle w:val="Tablebody"/>
              <w:rPr>
                <w:rFonts w:cs="Open Sans"/>
                <w:szCs w:val="18"/>
                <w:lang w:val="en-GB"/>
              </w:rPr>
            </w:pPr>
            <w:r w:rsidRPr="004A7ED7">
              <w:rPr>
                <w:rFonts w:cs="Open Sans"/>
                <w:szCs w:val="18"/>
              </w:rPr>
              <w:t>S15</w:t>
            </w:r>
          </w:p>
        </w:tc>
        <w:tc>
          <w:tcPr>
            <w:tcW w:w="4422" w:type="dxa"/>
          </w:tcPr>
          <w:p w14:paraId="7FD9E659" w14:textId="49E85299"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lang w:val="en-US"/>
              </w:rPr>
              <w:t>What if she had taken him into the bedroom and started kissing him before pushing him away? Do</w:t>
            </w:r>
            <w:r>
              <w:rPr>
                <w:rFonts w:cs="Open Sans"/>
                <w:szCs w:val="18"/>
                <w:lang w:val="en-US"/>
              </w:rPr>
              <w:t> </w:t>
            </w:r>
            <w:r w:rsidRPr="004A7ED7">
              <w:rPr>
                <w:rFonts w:cs="Open Sans"/>
                <w:szCs w:val="18"/>
                <w:lang w:val="en-US"/>
              </w:rPr>
              <w:t xml:space="preserve">you agree or disagree that the man would have been justified in having sex with her anyway? </w:t>
            </w:r>
            <w:r w:rsidRPr="004A7ED7">
              <w:rPr>
                <w:rFonts w:cs="Open Sans"/>
                <w:szCs w:val="18"/>
              </w:rPr>
              <w:t>(</w:t>
            </w:r>
            <w:r w:rsidRPr="004A7ED7">
              <w:rPr>
                <w:rFonts w:cs="Open Sans"/>
                <w:i/>
                <w:iCs/>
                <w:szCs w:val="18"/>
                <w:lang w:val="en-US"/>
              </w:rPr>
              <w:t>Acquaintance – She initiates</w:t>
            </w:r>
            <w:r w:rsidRPr="004A7ED7">
              <w:rPr>
                <w:rFonts w:cs="Open Sans"/>
                <w:szCs w:val="18"/>
              </w:rPr>
              <w:t>)</w:t>
            </w:r>
            <w:r w:rsidRPr="004A7ED7">
              <w:rPr>
                <w:rFonts w:ascii="Montserrat" w:hAnsi="Montserrat" w:cs="Montserrat"/>
                <w:szCs w:val="18"/>
              </w:rPr>
              <w:t>~</w:t>
            </w:r>
          </w:p>
        </w:tc>
        <w:tc>
          <w:tcPr>
            <w:tcW w:w="1474" w:type="dxa"/>
          </w:tcPr>
          <w:p w14:paraId="6566D9BE" w14:textId="77777777"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Young men</w:t>
            </w:r>
          </w:p>
        </w:tc>
        <w:tc>
          <w:tcPr>
            <w:tcW w:w="567" w:type="dxa"/>
          </w:tcPr>
          <w:p w14:paraId="35BC4024" w14:textId="77777777"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219</w:t>
            </w:r>
          </w:p>
        </w:tc>
        <w:tc>
          <w:tcPr>
            <w:tcW w:w="1020" w:type="dxa"/>
          </w:tcPr>
          <w:p w14:paraId="0FFF06F9" w14:textId="13F9957E"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2.88</w:t>
            </w:r>
            <w:r w:rsidRPr="004A7ED7">
              <w:rPr>
                <w:rFonts w:cs="Open Sans"/>
                <w:szCs w:val="18"/>
                <w:vertAlign w:val="superscript"/>
              </w:rPr>
              <w:t>c</w:t>
            </w:r>
          </w:p>
        </w:tc>
        <w:tc>
          <w:tcPr>
            <w:tcW w:w="1191" w:type="dxa"/>
          </w:tcPr>
          <w:p w14:paraId="38AB58AE" w14:textId="07304483"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9.22</w:t>
            </w:r>
          </w:p>
        </w:tc>
        <w:tc>
          <w:tcPr>
            <w:tcW w:w="1191" w:type="dxa"/>
          </w:tcPr>
          <w:p w14:paraId="63AAAEDF" w14:textId="0C11A3E8"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15.97</w:t>
            </w:r>
          </w:p>
        </w:tc>
        <w:tc>
          <w:tcPr>
            <w:tcW w:w="1020" w:type="dxa"/>
          </w:tcPr>
          <w:p w14:paraId="6F6A24E8" w14:textId="676CA6A7"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68.84</w:t>
            </w:r>
          </w:p>
        </w:tc>
        <w:tc>
          <w:tcPr>
            <w:tcW w:w="1191" w:type="dxa"/>
          </w:tcPr>
          <w:p w14:paraId="43DB119F" w14:textId="333D5405"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3.10</w:t>
            </w:r>
            <w:r w:rsidRPr="004A7ED7">
              <w:rPr>
                <w:rFonts w:cs="Open Sans"/>
                <w:szCs w:val="18"/>
                <w:vertAlign w:val="superscript"/>
              </w:rPr>
              <w:t>c</w:t>
            </w:r>
          </w:p>
        </w:tc>
        <w:tc>
          <w:tcPr>
            <w:tcW w:w="1077" w:type="dxa"/>
          </w:tcPr>
          <w:p w14:paraId="1A47BC68" w14:textId="5B67385F"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12.10</w:t>
            </w:r>
          </w:p>
        </w:tc>
        <w:tc>
          <w:tcPr>
            <w:tcW w:w="1077" w:type="dxa"/>
          </w:tcPr>
          <w:p w14:paraId="031B391C" w14:textId="0836EE3E"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GB"/>
              </w:rPr>
            </w:pPr>
            <w:r w:rsidRPr="004A7ED7">
              <w:rPr>
                <w:rFonts w:cs="Open Sans"/>
                <w:szCs w:val="18"/>
              </w:rPr>
              <w:t>84.80</w:t>
            </w:r>
          </w:p>
        </w:tc>
      </w:tr>
      <w:tr w:rsidR="00F846A8" w:rsidRPr="004A7ED7" w14:paraId="2D2837E9" w14:textId="77777777" w:rsidTr="00962748">
        <w:trPr>
          <w:trHeight w:val="721"/>
        </w:trPr>
        <w:tc>
          <w:tcPr>
            <w:cnfStyle w:val="001000000000" w:firstRow="0" w:lastRow="0" w:firstColumn="1" w:lastColumn="0" w:oddVBand="0" w:evenVBand="0" w:oddHBand="0" w:evenHBand="0" w:firstRowFirstColumn="0" w:firstRowLastColumn="0" w:lastRowFirstColumn="0" w:lastRowLastColumn="0"/>
            <w:tcW w:w="723" w:type="dxa"/>
          </w:tcPr>
          <w:p w14:paraId="2BAF36D3" w14:textId="202E511A" w:rsidR="00F846A8" w:rsidRPr="004A7ED7" w:rsidRDefault="00F846A8" w:rsidP="00962748">
            <w:pPr>
              <w:pStyle w:val="Tablebody"/>
              <w:rPr>
                <w:rFonts w:cs="Open Sans"/>
                <w:szCs w:val="18"/>
              </w:rPr>
            </w:pPr>
            <w:r w:rsidRPr="004A7ED7">
              <w:rPr>
                <w:rFonts w:cs="Open Sans"/>
                <w:szCs w:val="18"/>
              </w:rPr>
              <w:lastRenderedPageBreak/>
              <w:t>S15</w:t>
            </w:r>
          </w:p>
        </w:tc>
        <w:tc>
          <w:tcPr>
            <w:tcW w:w="4422" w:type="dxa"/>
          </w:tcPr>
          <w:p w14:paraId="7BD71357" w14:textId="037B6CAC"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lang w:val="en-US"/>
              </w:rPr>
            </w:pPr>
            <w:r w:rsidRPr="00AB051D">
              <w:rPr>
                <w:rFonts w:cs="Open Sans"/>
                <w:spacing w:val="-2"/>
                <w:szCs w:val="18"/>
                <w:lang w:val="en-US"/>
              </w:rPr>
              <w:t>What if she had taken him into the bedroom</w:t>
            </w:r>
            <w:r>
              <w:rPr>
                <w:rFonts w:cs="Open Sans"/>
                <w:spacing w:val="-2"/>
                <w:szCs w:val="18"/>
                <w:lang w:val="en-US"/>
              </w:rPr>
              <w:t> </w:t>
            </w:r>
            <w:r w:rsidRPr="00AB051D">
              <w:rPr>
                <w:rFonts w:cs="Open Sans"/>
                <w:spacing w:val="-2"/>
                <w:szCs w:val="18"/>
                <w:lang w:val="en-US"/>
              </w:rPr>
              <w:t>and started kissing him before pushing him away? Do</w:t>
            </w:r>
            <w:r>
              <w:rPr>
                <w:rFonts w:cs="Open Sans"/>
                <w:spacing w:val="-2"/>
                <w:szCs w:val="18"/>
                <w:lang w:val="en-US"/>
              </w:rPr>
              <w:t> </w:t>
            </w:r>
            <w:r w:rsidRPr="00AB051D">
              <w:rPr>
                <w:rFonts w:cs="Open Sans"/>
                <w:spacing w:val="-2"/>
                <w:szCs w:val="18"/>
                <w:lang w:val="en-US"/>
              </w:rPr>
              <w:t xml:space="preserve">you agree or disagree that the man would have been justified in having sex with her anyway? </w:t>
            </w:r>
            <w:r w:rsidRPr="00AB051D">
              <w:rPr>
                <w:rFonts w:cs="Open Sans"/>
                <w:spacing w:val="-2"/>
                <w:szCs w:val="18"/>
              </w:rPr>
              <w:t>(</w:t>
            </w:r>
            <w:r w:rsidRPr="00AB051D">
              <w:rPr>
                <w:rFonts w:cs="Open Sans"/>
                <w:i/>
                <w:iCs/>
                <w:spacing w:val="-2"/>
                <w:szCs w:val="18"/>
                <w:lang w:val="en-US"/>
              </w:rPr>
              <w:t>Acquaintance – She initiates</w:t>
            </w:r>
            <w:r w:rsidRPr="00AB051D">
              <w:rPr>
                <w:rFonts w:cs="Open Sans"/>
                <w:spacing w:val="-2"/>
                <w:szCs w:val="18"/>
              </w:rPr>
              <w:t>)</w:t>
            </w:r>
            <w:r w:rsidRPr="00AB051D">
              <w:rPr>
                <w:rFonts w:ascii="Montserrat" w:hAnsi="Montserrat" w:cs="Montserrat"/>
                <w:spacing w:val="-2"/>
                <w:szCs w:val="18"/>
              </w:rPr>
              <w:t>~</w:t>
            </w:r>
          </w:p>
        </w:tc>
        <w:tc>
          <w:tcPr>
            <w:tcW w:w="1474" w:type="dxa"/>
          </w:tcPr>
          <w:p w14:paraId="050DF6E2" w14:textId="1C14595D"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Young women</w:t>
            </w:r>
          </w:p>
        </w:tc>
        <w:tc>
          <w:tcPr>
            <w:tcW w:w="567" w:type="dxa"/>
          </w:tcPr>
          <w:p w14:paraId="03C4DC66" w14:textId="53B4FC75"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166</w:t>
            </w:r>
          </w:p>
        </w:tc>
        <w:tc>
          <w:tcPr>
            <w:tcW w:w="1020" w:type="dxa"/>
          </w:tcPr>
          <w:p w14:paraId="3247F38C" w14:textId="6145ECC5"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4.20</w:t>
            </w:r>
            <w:r w:rsidRPr="004A7ED7">
              <w:rPr>
                <w:rFonts w:cs="Open Sans"/>
                <w:szCs w:val="18"/>
                <w:vertAlign w:val="superscript"/>
              </w:rPr>
              <w:t>c</w:t>
            </w:r>
          </w:p>
        </w:tc>
        <w:tc>
          <w:tcPr>
            <w:tcW w:w="1191" w:type="dxa"/>
          </w:tcPr>
          <w:p w14:paraId="0D570812" w14:textId="52991A5B"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6.96</w:t>
            </w:r>
            <w:r w:rsidRPr="004A7ED7">
              <w:rPr>
                <w:rFonts w:cs="Open Sans"/>
                <w:szCs w:val="18"/>
                <w:vertAlign w:val="superscript"/>
              </w:rPr>
              <w:t>c</w:t>
            </w:r>
          </w:p>
        </w:tc>
        <w:tc>
          <w:tcPr>
            <w:tcW w:w="1191" w:type="dxa"/>
          </w:tcPr>
          <w:p w14:paraId="5EDD5595" w14:textId="5694F843"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10.74</w:t>
            </w:r>
            <w:r w:rsidRPr="004A7ED7">
              <w:rPr>
                <w:rFonts w:cs="Open Sans"/>
                <w:szCs w:val="18"/>
                <w:vertAlign w:val="superscript"/>
              </w:rPr>
              <w:t>c</w:t>
            </w:r>
          </w:p>
        </w:tc>
        <w:tc>
          <w:tcPr>
            <w:tcW w:w="1020" w:type="dxa"/>
          </w:tcPr>
          <w:p w14:paraId="6C291410" w14:textId="2C050F10"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75.65</w:t>
            </w:r>
          </w:p>
        </w:tc>
        <w:tc>
          <w:tcPr>
            <w:tcW w:w="1191" w:type="dxa"/>
          </w:tcPr>
          <w:p w14:paraId="7EF388F8" w14:textId="591FA1CB"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2.44</w:t>
            </w:r>
            <w:r w:rsidRPr="004A7ED7">
              <w:rPr>
                <w:rFonts w:cs="Open Sans"/>
                <w:szCs w:val="18"/>
                <w:vertAlign w:val="superscript"/>
              </w:rPr>
              <w:t>c</w:t>
            </w:r>
          </w:p>
        </w:tc>
        <w:tc>
          <w:tcPr>
            <w:tcW w:w="1077" w:type="dxa"/>
          </w:tcPr>
          <w:p w14:paraId="5FDA864E" w14:textId="2D8EBF71"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11.17</w:t>
            </w:r>
          </w:p>
        </w:tc>
        <w:tc>
          <w:tcPr>
            <w:tcW w:w="1077" w:type="dxa"/>
          </w:tcPr>
          <w:p w14:paraId="5D5F540C" w14:textId="58530B98" w:rsidR="00F846A8" w:rsidRPr="004A7ED7" w:rsidRDefault="00F846A8" w:rsidP="00962748">
            <w:pPr>
              <w:pStyle w:val="Tablebody"/>
              <w:cnfStyle w:val="000000000000" w:firstRow="0" w:lastRow="0" w:firstColumn="0" w:lastColumn="0" w:oddVBand="0" w:evenVBand="0" w:oddHBand="0" w:evenHBand="0" w:firstRowFirstColumn="0" w:firstRowLastColumn="0" w:lastRowFirstColumn="0" w:lastRowLastColumn="0"/>
              <w:rPr>
                <w:rFonts w:cs="Open Sans"/>
                <w:szCs w:val="18"/>
              </w:rPr>
            </w:pPr>
            <w:r w:rsidRPr="004A7ED7">
              <w:rPr>
                <w:rFonts w:cs="Open Sans"/>
                <w:szCs w:val="18"/>
              </w:rPr>
              <w:t>86.40</w:t>
            </w:r>
          </w:p>
        </w:tc>
      </w:tr>
    </w:tbl>
    <w:p w14:paraId="0E03524B" w14:textId="77777777" w:rsidR="004A7ED7" w:rsidRPr="004A7ED7" w:rsidRDefault="004A7ED7" w:rsidP="00651048">
      <w:pPr>
        <w:pStyle w:val="datatablenote"/>
        <w:spacing w:before="60" w:line="216" w:lineRule="auto"/>
      </w:pPr>
      <w:r w:rsidRPr="004A7ED7">
        <w:rPr>
          <w:b/>
        </w:rPr>
        <w:t>Note:</w:t>
      </w:r>
      <w:r w:rsidRPr="004A7ED7">
        <w:t xml:space="preserve"> Numbers in bold reflect the significantly higher value in the comparison.</w:t>
      </w:r>
    </w:p>
    <w:p w14:paraId="3078C956" w14:textId="77777777" w:rsidR="004A7ED7" w:rsidRPr="004A7ED7" w:rsidRDefault="004A7ED7" w:rsidP="00651048">
      <w:pPr>
        <w:pStyle w:val="datatablenote"/>
        <w:spacing w:before="60" w:line="216" w:lineRule="auto"/>
      </w:pPr>
      <w:r w:rsidRPr="004A7ED7">
        <w:t>Percentages may not add to 100 as the “unanswered” category is not shown in the table.</w:t>
      </w:r>
    </w:p>
    <w:p w14:paraId="24D0A3AA" w14:textId="77777777" w:rsidR="004A7ED7" w:rsidRPr="004A7ED7" w:rsidRDefault="004A7ED7" w:rsidP="00651048">
      <w:pPr>
        <w:pStyle w:val="datatablenote"/>
        <w:spacing w:before="60" w:line="216" w:lineRule="auto"/>
      </w:pPr>
      <w:r w:rsidRPr="004A7ED7">
        <w:rPr>
          <w:b/>
        </w:rPr>
        <w:t>a</w:t>
      </w:r>
      <w:r w:rsidRPr="004A7ED7">
        <w:t xml:space="preserve"> “Net agree” refers to answering “agree” either “strongly” or “somewhat”.</w:t>
      </w:r>
    </w:p>
    <w:p w14:paraId="732365CE" w14:textId="77777777" w:rsidR="004A7ED7" w:rsidRPr="004A7ED7" w:rsidRDefault="004A7ED7" w:rsidP="00651048">
      <w:pPr>
        <w:pStyle w:val="datatablenote"/>
        <w:spacing w:before="60" w:line="216" w:lineRule="auto"/>
      </w:pPr>
      <w:r w:rsidRPr="004A7ED7">
        <w:rPr>
          <w:b/>
        </w:rPr>
        <w:t>b</w:t>
      </w:r>
      <w:r w:rsidRPr="004A7ED7">
        <w:t xml:space="preserve"> “Net disagree” refers to answering “disagree” either “strongly” or “somewhat”.</w:t>
      </w:r>
    </w:p>
    <w:p w14:paraId="300580C1" w14:textId="77777777" w:rsidR="004A7ED7" w:rsidRPr="004A7ED7" w:rsidRDefault="004A7ED7" w:rsidP="00651048">
      <w:pPr>
        <w:pStyle w:val="datatablenote"/>
        <w:spacing w:before="60" w:line="216" w:lineRule="auto"/>
      </w:pPr>
      <w:r w:rsidRPr="004A7ED7">
        <w:rPr>
          <w:b/>
        </w:rPr>
        <w:t>c</w:t>
      </w:r>
      <w:r w:rsidRPr="004A7ED7">
        <w:t xml:space="preserve"> This result should be interpreted with caution because it has a relative standard error &gt;25%.</w:t>
      </w:r>
    </w:p>
    <w:p w14:paraId="5E293BC3" w14:textId="77777777" w:rsidR="004A7ED7" w:rsidRPr="004A7ED7" w:rsidRDefault="004A7ED7" w:rsidP="00651048">
      <w:pPr>
        <w:pStyle w:val="datatablenote"/>
        <w:spacing w:before="60" w:line="216" w:lineRule="auto"/>
      </w:pPr>
      <w:r w:rsidRPr="004A7ED7">
        <w:t>* Statistically significant difference between young men and young women.</w:t>
      </w:r>
    </w:p>
    <w:p w14:paraId="6EE684E6" w14:textId="77777777" w:rsidR="004A7ED7" w:rsidRPr="004A7ED7" w:rsidRDefault="004A7ED7" w:rsidP="00651048">
      <w:pPr>
        <w:pStyle w:val="datatablenote"/>
        <w:spacing w:before="60" w:line="216" w:lineRule="auto"/>
      </w:pPr>
      <w:r w:rsidRPr="004A7ED7">
        <w:t>^ Asked of half the sample.</w:t>
      </w:r>
    </w:p>
    <w:p w14:paraId="1C855C53" w14:textId="77777777" w:rsidR="004A7ED7" w:rsidRPr="004A7ED7" w:rsidRDefault="004A7ED7" w:rsidP="00651048">
      <w:pPr>
        <w:pStyle w:val="datatablenote"/>
        <w:spacing w:before="60" w:line="216" w:lineRule="auto"/>
      </w:pPr>
      <w:r w:rsidRPr="004A7ED7">
        <w:rPr>
          <w:rFonts w:ascii="Montserrat" w:hAnsi="Montserrat" w:cs="Montserrat"/>
        </w:rPr>
        <w:t>~</w:t>
      </w:r>
      <w:r w:rsidRPr="004A7ED7">
        <w:t xml:space="preserve"> Asked of one quarter of the sample.</w:t>
      </w:r>
    </w:p>
    <w:p w14:paraId="4A939572" w14:textId="77777777" w:rsidR="00076997" w:rsidRDefault="00076997" w:rsidP="001A63CF">
      <w:pPr>
        <w:rPr>
          <w:lang w:val="en-GB"/>
        </w:rPr>
      </w:pPr>
    </w:p>
    <w:p w14:paraId="7CE3D924" w14:textId="77777777" w:rsidR="00966261" w:rsidRPr="00966261" w:rsidRDefault="00966261" w:rsidP="00966261">
      <w:pPr>
        <w:sectPr w:rsidR="00966261" w:rsidRPr="00966261" w:rsidSect="00771B3D">
          <w:pgSz w:w="16840" w:h="11879" w:orient="landscape"/>
          <w:pgMar w:top="1134" w:right="936" w:bottom="1134" w:left="936" w:header="720" w:footer="720" w:gutter="0"/>
          <w:cols w:space="720"/>
          <w:noEndnote/>
        </w:sectPr>
      </w:pPr>
    </w:p>
    <w:p w14:paraId="37FD8A18" w14:textId="0701B56A" w:rsidR="00076997" w:rsidRDefault="00AB051D" w:rsidP="001A63CF">
      <w:pPr>
        <w:rPr>
          <w:lang w:val="en-GB"/>
        </w:rPr>
      </w:pPr>
      <w:r>
        <w:rPr>
          <w:noProof/>
          <w:lang w:val="en-GB"/>
        </w:rPr>
        <w:lastRenderedPageBreak/>
        <w:drawing>
          <wp:anchor distT="0" distB="0" distL="114300" distR="114300" simplePos="0" relativeHeight="251658240" behindDoc="0" locked="0" layoutInCell="1" allowOverlap="1" wp14:anchorId="65B76C5C" wp14:editId="06BA724C">
            <wp:simplePos x="0" y="0"/>
            <wp:positionH relativeFrom="page">
              <wp:align>center</wp:align>
            </wp:positionH>
            <wp:positionV relativeFrom="page">
              <wp:align>center</wp:align>
            </wp:positionV>
            <wp:extent cx="7552800" cy="10674000"/>
            <wp:effectExtent l="0" t="0" r="0" b="0"/>
            <wp:wrapSquare wrapText="bothSides"/>
            <wp:docPr id="668871732" name="Immagine 1" descr="BACK COVER&#10;&#10;CENTRE: DESIGN FEATURING SQUARES IN VARIOUS SHADES OF YELLOW WITH ONE SQUARE IN GREY WITH THE ANROWS LOGO&#10;&#10;REPORT TITLE:&#10;ATTITUDES MATTER:&#10;NCAS&#10;THE 2021 NATIONAL COMMUNITY ATTITUDES TOWARDS VIOLENCE AGINST WOMEN SURVEY (NCAS)&#10;Findings for young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71732" name="Immagine 1" descr="BACK COVER&#10;&#10;CENTRE: DESIGN FEATURING SQUARES IN VARIOUS SHADES OF YELLOW WITH ONE SQUARE IN GREY WITH THE ANROWS LOGO&#10;&#10;REPORT TITLE:&#10;ATTITUDES MATTER:&#10;NCAS&#10;THE 2021 NATIONAL COMMUNITY ATTITUDES TOWARDS VIOLENCE AGINST WOMEN SURVEY (NCAS)&#10;Findings for young Australians"/>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sectPr w:rsidR="00076997" w:rsidSect="00E643AF">
      <w:footerReference w:type="default" r:id="rId37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3AC2F" w14:textId="77777777" w:rsidR="00487D9B" w:rsidRDefault="00487D9B" w:rsidP="007D5CED">
      <w:pPr>
        <w:spacing w:before="0" w:after="0" w:line="240" w:lineRule="auto"/>
      </w:pPr>
      <w:r>
        <w:separator/>
      </w:r>
    </w:p>
    <w:p w14:paraId="526154D9" w14:textId="77777777" w:rsidR="00487D9B" w:rsidRDefault="00487D9B"/>
  </w:endnote>
  <w:endnote w:type="continuationSeparator" w:id="0">
    <w:p w14:paraId="6F23CE33" w14:textId="77777777" w:rsidR="00487D9B" w:rsidRDefault="00487D9B" w:rsidP="007D5CED">
      <w:pPr>
        <w:spacing w:before="0" w:after="0" w:line="240" w:lineRule="auto"/>
      </w:pPr>
      <w:r>
        <w:continuationSeparator/>
      </w:r>
    </w:p>
    <w:p w14:paraId="4BAA7F86" w14:textId="77777777" w:rsidR="00487D9B" w:rsidRDefault="00487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nd">
    <w:panose1 w:val="02000000000000000000"/>
    <w:charset w:val="4D"/>
    <w:family w:val="auto"/>
    <w:pitch w:val="variable"/>
    <w:sig w:usb0="00008007" w:usb1="00000000" w:usb2="00000000" w:usb3="00000000" w:csb0="00000093" w:csb1="00000000"/>
  </w:font>
  <w:font w:name="Hind SemiBold">
    <w:panose1 w:val="02000000000000000000"/>
    <w:charset w:val="4D"/>
    <w:family w:val="auto"/>
    <w:notTrueType/>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Hind Medium">
    <w:panose1 w:val="02000000000000000000"/>
    <w:charset w:val="4D"/>
    <w:family w:val="auto"/>
    <w:notTrueType/>
    <w:pitch w:val="variable"/>
    <w:sig w:usb0="00008007" w:usb1="00000000" w:usb2="00000000" w:usb3="00000000" w:csb0="00000093" w:csb1="00000000"/>
  </w:font>
  <w:font w:name="Open Sans SemiBold">
    <w:panose1 w:val="020B07060308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21B1" w14:textId="26E666D7" w:rsidR="00012616" w:rsidRPr="004D1D9C" w:rsidRDefault="004D1D9C" w:rsidP="004D1D9C">
    <w:pPr>
      <w:pStyle w:val="Footer"/>
      <w:rPr>
        <w:szCs w:val="20"/>
        <w:lang w:val="en-AU"/>
      </w:rPr>
    </w:pPr>
    <w:r w:rsidRPr="004D1D9C">
      <w:rPr>
        <w:sz w:val="16"/>
        <w:szCs w:val="16"/>
      </w:rPr>
      <w:t>Attitudes matter: The 2021 National Community Attitudes towards</w:t>
    </w:r>
    <w:r>
      <w:rPr>
        <w:sz w:val="16"/>
        <w:szCs w:val="16"/>
      </w:rPr>
      <w:t xml:space="preserve"> </w:t>
    </w:r>
    <w:r w:rsidRPr="004D1D9C">
      <w:rPr>
        <w:sz w:val="16"/>
        <w:szCs w:val="16"/>
      </w:rPr>
      <w:t>Violence against Women Survey (NCAS),</w:t>
    </w:r>
    <w:r>
      <w:rPr>
        <w:sz w:val="16"/>
        <w:szCs w:val="16"/>
      </w:rPr>
      <w:br/>
    </w:r>
    <w:r w:rsidRPr="004D1D9C">
      <w:rPr>
        <w:sz w:val="16"/>
        <w:szCs w:val="16"/>
      </w:rPr>
      <w:t>Findings for young Australians</w:t>
    </w:r>
    <w:r w:rsidRPr="004D1D9C">
      <w:rPr>
        <w:sz w:val="16"/>
        <w:szCs w:val="16"/>
        <w:lang w:val="en-AU"/>
      </w:rPr>
      <w:ptab w:relativeTo="margin" w:alignment="center" w:leader="none"/>
    </w:r>
    <w:r w:rsidRPr="004D1D9C">
      <w:rPr>
        <w:sz w:val="16"/>
        <w:szCs w:val="16"/>
        <w:lang w:val="en-AU"/>
      </w:rPr>
      <w:ptab w:relativeTo="margin" w:alignment="right" w:leader="none"/>
    </w:r>
    <w:r w:rsidRPr="004D1D9C">
      <w:rPr>
        <w:szCs w:val="20"/>
        <w:lang w:val="en-AU"/>
      </w:rPr>
      <w:fldChar w:fldCharType="begin"/>
    </w:r>
    <w:r w:rsidRPr="004D1D9C">
      <w:rPr>
        <w:szCs w:val="20"/>
        <w:lang w:val="en-AU"/>
      </w:rPr>
      <w:instrText xml:space="preserve"> PAGE  \* roman  \* MERGEFORMAT </w:instrText>
    </w:r>
    <w:r w:rsidRPr="004D1D9C">
      <w:rPr>
        <w:szCs w:val="20"/>
        <w:lang w:val="en-AU"/>
      </w:rPr>
      <w:fldChar w:fldCharType="separate"/>
    </w:r>
    <w:r w:rsidRPr="004D1D9C">
      <w:rPr>
        <w:noProof/>
        <w:szCs w:val="20"/>
        <w:lang w:val="en-AU"/>
      </w:rPr>
      <w:t>ii</w:t>
    </w:r>
    <w:r w:rsidRPr="004D1D9C">
      <w:rPr>
        <w:szCs w:val="20"/>
        <w:lang w:val="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8070C" w14:textId="538ECEC5" w:rsidR="004D1D9C" w:rsidRDefault="004D1D9C" w:rsidP="004D1D9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1F88" w14:textId="7A6BBBC4" w:rsidR="004D1D9C" w:rsidRPr="004D1D9C" w:rsidRDefault="004D1D9C" w:rsidP="004D1D9C">
    <w:pPr>
      <w:pStyle w:val="Footer"/>
      <w:rPr>
        <w:sz w:val="24"/>
        <w:lang w:val="en-AU"/>
      </w:rPr>
    </w:pPr>
    <w:r w:rsidRPr="004D1D9C">
      <w:rPr>
        <w:sz w:val="16"/>
        <w:szCs w:val="16"/>
      </w:rPr>
      <w:t>Attitudes matter: The 2021 National Community Attitudes towards</w:t>
    </w:r>
    <w:r>
      <w:rPr>
        <w:sz w:val="16"/>
        <w:szCs w:val="16"/>
      </w:rPr>
      <w:t xml:space="preserve"> </w:t>
    </w:r>
    <w:r w:rsidRPr="004D1D9C">
      <w:rPr>
        <w:sz w:val="16"/>
        <w:szCs w:val="16"/>
      </w:rPr>
      <w:t>Violence against Women Survey (NCAS),</w:t>
    </w:r>
    <w:r>
      <w:rPr>
        <w:sz w:val="16"/>
        <w:szCs w:val="16"/>
      </w:rPr>
      <w:br/>
    </w:r>
    <w:r w:rsidRPr="004D1D9C">
      <w:rPr>
        <w:sz w:val="16"/>
        <w:szCs w:val="16"/>
      </w:rPr>
      <w:t>Findings for young Australians</w:t>
    </w:r>
    <w:r w:rsidRPr="004D1D9C">
      <w:rPr>
        <w:sz w:val="16"/>
        <w:szCs w:val="16"/>
        <w:lang w:val="en-AU"/>
      </w:rPr>
      <w:ptab w:relativeTo="margin" w:alignment="center" w:leader="none"/>
    </w:r>
    <w:r w:rsidRPr="004D1D9C">
      <w:rPr>
        <w:sz w:val="16"/>
        <w:szCs w:val="16"/>
        <w:lang w:val="en-AU"/>
      </w:rPr>
      <w:ptab w:relativeTo="margin" w:alignment="right" w:leader="none"/>
    </w:r>
    <w:r w:rsidRPr="004D1D9C">
      <w:rPr>
        <w:szCs w:val="20"/>
        <w:lang w:val="en-AU"/>
      </w:rPr>
      <w:fldChar w:fldCharType="begin"/>
    </w:r>
    <w:r w:rsidRPr="004D1D9C">
      <w:rPr>
        <w:szCs w:val="20"/>
        <w:lang w:val="en-AU"/>
      </w:rPr>
      <w:instrText xml:space="preserve"> PAGE  \* Arabic  \* MERGEFORMAT </w:instrText>
    </w:r>
    <w:r w:rsidRPr="004D1D9C">
      <w:rPr>
        <w:szCs w:val="20"/>
        <w:lang w:val="en-AU"/>
      </w:rPr>
      <w:fldChar w:fldCharType="separate"/>
    </w:r>
    <w:r w:rsidRPr="004D1D9C">
      <w:rPr>
        <w:noProof/>
        <w:szCs w:val="20"/>
        <w:lang w:val="en-AU"/>
      </w:rPr>
      <w:t>1</w:t>
    </w:r>
    <w:r w:rsidRPr="004D1D9C">
      <w:rPr>
        <w:szCs w:val="20"/>
        <w:lang w:val="en-AU"/>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FD49" w14:textId="6A5F0F7A" w:rsidR="004D1D9C" w:rsidRPr="004D1D9C" w:rsidRDefault="004D1D9C" w:rsidP="004D1D9C">
    <w:pPr>
      <w:pStyle w:val="Footer"/>
      <w:rPr>
        <w:szCs w:val="20"/>
        <w:lang w:val="en-AU"/>
      </w:rPr>
    </w:pPr>
    <w:r w:rsidRPr="004D1D9C">
      <w:rPr>
        <w:sz w:val="16"/>
        <w:szCs w:val="16"/>
      </w:rPr>
      <w:t>Attitudes matter: The 2021 National Community Attitudes towards</w:t>
    </w:r>
    <w:r>
      <w:rPr>
        <w:sz w:val="16"/>
        <w:szCs w:val="16"/>
      </w:rPr>
      <w:t xml:space="preserve"> </w:t>
    </w:r>
    <w:r w:rsidRPr="004D1D9C">
      <w:rPr>
        <w:sz w:val="16"/>
        <w:szCs w:val="16"/>
      </w:rPr>
      <w:t>Violence against Women Survey (NCAS),</w:t>
    </w:r>
    <w:r>
      <w:rPr>
        <w:sz w:val="16"/>
        <w:szCs w:val="16"/>
      </w:rPr>
      <w:br/>
    </w:r>
    <w:r w:rsidRPr="004D1D9C">
      <w:rPr>
        <w:sz w:val="16"/>
        <w:szCs w:val="16"/>
      </w:rPr>
      <w:t>Findings for young Australians</w:t>
    </w:r>
    <w:r w:rsidRPr="004D1D9C">
      <w:rPr>
        <w:sz w:val="16"/>
        <w:szCs w:val="16"/>
        <w:lang w:val="en-AU"/>
      </w:rPr>
      <w:ptab w:relativeTo="margin" w:alignment="center" w:leader="none"/>
    </w:r>
    <w:r w:rsidRPr="004D1D9C">
      <w:rPr>
        <w:sz w:val="16"/>
        <w:szCs w:val="16"/>
        <w:lang w:val="en-AU"/>
      </w:rPr>
      <w:ptab w:relativeTo="margin" w:alignment="right" w:leader="none"/>
    </w:r>
    <w:r>
      <w:rPr>
        <w:szCs w:val="20"/>
        <w:lang w:val="en-AU"/>
      </w:rPr>
      <w:fldChar w:fldCharType="begin"/>
    </w:r>
    <w:r>
      <w:rPr>
        <w:szCs w:val="20"/>
        <w:lang w:val="en-AU"/>
      </w:rPr>
      <w:instrText xml:space="preserve"> PAGE  \* Arabic  \* MERGEFORMAT </w:instrText>
    </w:r>
    <w:r>
      <w:rPr>
        <w:szCs w:val="20"/>
        <w:lang w:val="en-AU"/>
      </w:rPr>
      <w:fldChar w:fldCharType="separate"/>
    </w:r>
    <w:r>
      <w:rPr>
        <w:noProof/>
        <w:szCs w:val="20"/>
        <w:lang w:val="en-AU"/>
      </w:rPr>
      <w:t>2</w:t>
    </w:r>
    <w:r>
      <w:rPr>
        <w:szCs w:val="20"/>
        <w:lang w:val="en-AU"/>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02FD" w14:textId="2747C29C" w:rsidR="00AB051D" w:rsidRPr="008C29F3" w:rsidRDefault="00AB051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C8635" w14:textId="77777777" w:rsidR="00487D9B" w:rsidRDefault="00487D9B" w:rsidP="007D5CED">
      <w:pPr>
        <w:spacing w:before="0" w:after="0" w:line="240" w:lineRule="auto"/>
      </w:pPr>
      <w:r>
        <w:separator/>
      </w:r>
    </w:p>
  </w:footnote>
  <w:footnote w:type="continuationSeparator" w:id="0">
    <w:p w14:paraId="284CB332" w14:textId="77777777" w:rsidR="00487D9B" w:rsidRDefault="00487D9B" w:rsidP="007D5CED">
      <w:pPr>
        <w:spacing w:before="0" w:after="0" w:line="240" w:lineRule="auto"/>
      </w:pPr>
      <w:r>
        <w:continuationSeparator/>
      </w:r>
    </w:p>
    <w:p w14:paraId="21834F92" w14:textId="77777777" w:rsidR="00487D9B" w:rsidRDefault="00487D9B"/>
  </w:footnote>
  <w:footnote w:id="1">
    <w:p w14:paraId="561EC3F5" w14:textId="4C454B8B" w:rsidR="007118BE" w:rsidRPr="008C29F3" w:rsidRDefault="007118BE" w:rsidP="00A3356A">
      <w:pPr>
        <w:pStyle w:val="Footnote"/>
        <w:ind w:left="0" w:firstLine="0"/>
        <w:rPr>
          <w:lang w:val="en-AU"/>
        </w:rPr>
      </w:pPr>
      <w:r>
        <w:rPr>
          <w:rStyle w:val="FootnoteReference"/>
        </w:rPr>
        <w:footnoteRef/>
      </w:r>
      <w:r w:rsidRPr="008C29F3">
        <w:rPr>
          <w:lang w:val="en-AU"/>
        </w:rPr>
        <w:t xml:space="preserve"> </w:t>
      </w:r>
      <w:r w:rsidRPr="007118BE">
        <w:t>Information on gender was missing or inadequately defined for five young respondents.</w:t>
      </w:r>
    </w:p>
  </w:footnote>
  <w:footnote w:id="2">
    <w:p w14:paraId="069D33DE" w14:textId="57C43F10" w:rsidR="007118BE" w:rsidRPr="008C29F3" w:rsidRDefault="007118BE" w:rsidP="0043684C">
      <w:pPr>
        <w:pStyle w:val="Footnote"/>
        <w:rPr>
          <w:lang w:val="en-AU"/>
        </w:rPr>
      </w:pPr>
      <w:r>
        <w:rPr>
          <w:rStyle w:val="FootnoteReference"/>
        </w:rPr>
        <w:footnoteRef/>
      </w:r>
      <w:r w:rsidRPr="008C29F3">
        <w:rPr>
          <w:lang w:val="en-AU"/>
        </w:rPr>
        <w:t xml:space="preserve"> All results for young non-binary respondents should be treated as indicative rather than definitive, given their relatively small numbers (which can reduce the statistical power to detect significant differences).</w:t>
      </w:r>
    </w:p>
  </w:footnote>
  <w:footnote w:id="3">
    <w:p w14:paraId="7EEE37AF" w14:textId="1B88FC4A" w:rsidR="007D5CED" w:rsidRPr="00DF673B" w:rsidRDefault="007D5CED" w:rsidP="00DF673B">
      <w:pPr>
        <w:pStyle w:val="Footnote"/>
        <w:rPr>
          <w:lang w:val="en-US"/>
        </w:rPr>
      </w:pPr>
      <w:r>
        <w:rPr>
          <w:vertAlign w:val="superscript"/>
        </w:rPr>
        <w:footnoteRef/>
      </w:r>
      <w:r>
        <w:tab/>
      </w:r>
      <w:r>
        <w:rPr>
          <w:lang w:val="en-US"/>
        </w:rPr>
        <w:t>We present 2021–2022 PSS data for all violence types other than sexual harassment. The ABS</w:t>
      </w:r>
      <w:r>
        <w:t xml:space="preserve"> </w:t>
      </w:r>
      <w:r>
        <w:rPr>
          <w:lang w:val="en-US"/>
        </w:rPr>
        <w:t>recommends using 2016 rather than 2021–2022 PSS data for sexual harassment due to its greater reliability.</w:t>
      </w:r>
    </w:p>
  </w:footnote>
  <w:footnote w:id="4">
    <w:p w14:paraId="13DB3D8C" w14:textId="77777777" w:rsidR="007D5CED" w:rsidRDefault="007D5CED" w:rsidP="007D5CED">
      <w:pPr>
        <w:pStyle w:val="Footnote"/>
      </w:pPr>
      <w:r>
        <w:rPr>
          <w:vertAlign w:val="superscript"/>
        </w:rPr>
        <w:footnoteRef/>
      </w:r>
      <w:r>
        <w:tab/>
      </w:r>
      <w:r>
        <w:rPr>
          <w:lang w:val="en-US"/>
        </w:rPr>
        <w:t>See the Main report, pp. 34–40, for a discussion of other key events regarding violence against women since 2017.</w:t>
      </w:r>
    </w:p>
  </w:footnote>
  <w:footnote w:id="5">
    <w:p w14:paraId="6C8F4D53" w14:textId="6788055C" w:rsidR="007D5CED" w:rsidRPr="00DF673B" w:rsidRDefault="007D5CED" w:rsidP="00DF673B">
      <w:pPr>
        <w:pStyle w:val="Footnote"/>
        <w:jc w:val="left"/>
        <w:rPr>
          <w:sz w:val="16"/>
          <w:szCs w:val="16"/>
          <w:lang w:val="en-US"/>
        </w:rPr>
      </w:pPr>
      <w:r>
        <w:rPr>
          <w:vertAlign w:val="superscript"/>
        </w:rPr>
        <w:footnoteRef/>
      </w:r>
      <w:r>
        <w:tab/>
      </w:r>
      <w:r>
        <w:rPr>
          <w:sz w:val="16"/>
          <w:szCs w:val="16"/>
          <w:lang w:val="en-US"/>
        </w:rPr>
        <w:t xml:space="preserve">For clarity, throughout the reports on the 2021 NCAS, “primary prevention” is used to refer specifically to actions consistent with Domain 1 (Prevention) from the National Plan 2022–2032. In addition, “prevention” is used as a more general term that can include actions consistent with any, some or all of the domains of the National Plan 2022–2032 (DSS, 2022). </w:t>
      </w:r>
    </w:p>
  </w:footnote>
  <w:footnote w:id="6">
    <w:p w14:paraId="3468E469" w14:textId="4BDD84B6" w:rsidR="007D5CED" w:rsidRDefault="007D5CED" w:rsidP="00B95F39">
      <w:pPr>
        <w:pStyle w:val="Footnote"/>
      </w:pPr>
      <w:r>
        <w:rPr>
          <w:vertAlign w:val="superscript"/>
        </w:rPr>
        <w:footnoteRef/>
      </w:r>
      <w:r>
        <w:tab/>
        <w:t>See the Technical report (Section T2.4) for further ethics considerations.</w:t>
      </w:r>
    </w:p>
  </w:footnote>
  <w:footnote w:id="7">
    <w:p w14:paraId="65421BA4" w14:textId="0C391E60" w:rsidR="007D5CED" w:rsidRDefault="007D5CED" w:rsidP="00B95F39">
      <w:pPr>
        <w:pStyle w:val="Footnote"/>
      </w:pPr>
      <w:r>
        <w:rPr>
          <w:vertAlign w:val="superscript"/>
        </w:rPr>
        <w:footnoteRef/>
      </w:r>
      <w:r>
        <w:tab/>
        <w:t>See the Technical report (Section T4.3) for descriptions of new and revised demographic items.</w:t>
      </w:r>
    </w:p>
  </w:footnote>
  <w:footnote w:id="8">
    <w:p w14:paraId="7AB3BB4A" w14:textId="064EFDB4" w:rsidR="007D5CED" w:rsidRDefault="007D5CED" w:rsidP="00B95F39">
      <w:pPr>
        <w:pStyle w:val="Footnote"/>
      </w:pPr>
      <w:r>
        <w:rPr>
          <w:vertAlign w:val="superscript"/>
        </w:rPr>
        <w:footnoteRef/>
      </w:r>
      <w:r>
        <w:tab/>
        <w:t>See the Technical report for an explanation of Rasch analysis (Section T20), the 2021 NCAS instrument (Section T15) and item details, including the items in each scale in 2021 and whether each item was retained from 2017 or was new/revised in 2021 (Section T3).</w:t>
      </w:r>
    </w:p>
  </w:footnote>
  <w:footnote w:id="9">
    <w:p w14:paraId="11594355" w14:textId="7C40688D" w:rsidR="007D5CED" w:rsidRDefault="007D5CED" w:rsidP="00B95F39">
      <w:pPr>
        <w:pStyle w:val="Footnote"/>
      </w:pPr>
      <w:r>
        <w:rPr>
          <w:vertAlign w:val="superscript"/>
        </w:rPr>
        <w:footnoteRef/>
      </w:r>
      <w:r>
        <w:tab/>
        <w:t>Following stakeholder advice, for ease of understanding and due to small numbers, “non-binary” is used in reporting as an umbrella term to refer to all respondents who reported they were non-binary or another gender identity outside the gender binary. In total, 81 of the 19,100 NCAS respondents were in the “non-binary” category, with 7 of these non-binary respondents aged 16 to 17 years and 29 aged 18 to 24 years. Comparisons involving young non-binary respondents were not conducted at the item level due to small numbers on some items and were only conducted at the scale and subscale level where there was data for at least 30 young non-binary respondents. All results for young non-binary respondents should be treated as indicative rather than definitive, given their relatively small numbers (which can reduce the statistical power to detect significant differences). For further details about the measurement of gender, sexuality and disability, see the Main report, pp. 58–60.</w:t>
      </w:r>
    </w:p>
  </w:footnote>
  <w:footnote w:id="10">
    <w:p w14:paraId="403C34ED" w14:textId="4DF7DEDC" w:rsidR="007D5CED" w:rsidRDefault="007D5CED" w:rsidP="00B95F39">
      <w:pPr>
        <w:pStyle w:val="Footnote"/>
      </w:pPr>
      <w:r>
        <w:rPr>
          <w:vertAlign w:val="superscript"/>
        </w:rPr>
        <w:footnoteRef/>
      </w:r>
      <w:r>
        <w:tab/>
        <w:t>For further details about the new items on different types of violence, see the Main report, p. 60.</w:t>
      </w:r>
    </w:p>
  </w:footnote>
  <w:footnote w:id="11">
    <w:p w14:paraId="53F4EB7E" w14:textId="392D7EA8" w:rsidR="007D5CED" w:rsidRDefault="007D5CED" w:rsidP="00B95F39">
      <w:pPr>
        <w:pStyle w:val="Footnote"/>
      </w:pPr>
      <w:r>
        <w:rPr>
          <w:vertAlign w:val="superscript"/>
        </w:rPr>
        <w:footnoteRef/>
      </w:r>
      <w:r>
        <w:tab/>
        <w:t>The cooperation rate was 80.1 per cent and the refusal rate was 15.0 per cent. See the Technical report (Section T8.4) for the calculation of the response, cooperation and refusal rates.</w:t>
      </w:r>
    </w:p>
  </w:footnote>
  <w:footnote w:id="12">
    <w:p w14:paraId="3EA5DA48" w14:textId="2160B99E" w:rsidR="007D5CED" w:rsidRPr="00B95F39" w:rsidRDefault="007D5CED" w:rsidP="00B95F39">
      <w:pPr>
        <w:pStyle w:val="Footnote"/>
        <w:rPr>
          <w:lang w:val="en-US"/>
        </w:rPr>
      </w:pPr>
      <w:r>
        <w:rPr>
          <w:vertAlign w:val="superscript"/>
        </w:rPr>
        <w:footnoteRef/>
      </w:r>
      <w:r>
        <w:tab/>
      </w:r>
      <w:r>
        <w:rPr>
          <w:lang w:val="en-US"/>
        </w:rPr>
        <w:t>Information on gender was missing or inadequately defined for five young respondents.</w:t>
      </w:r>
    </w:p>
  </w:footnote>
  <w:footnote w:id="13">
    <w:p w14:paraId="7BB3E354" w14:textId="77777777" w:rsidR="007D5CED" w:rsidRDefault="007D5CED" w:rsidP="007D5CED">
      <w:pPr>
        <w:pStyle w:val="Footnote"/>
      </w:pPr>
      <w:r>
        <w:rPr>
          <w:vertAlign w:val="superscript"/>
        </w:rPr>
        <w:footnoteRef/>
      </w:r>
      <w:r>
        <w:tab/>
        <w:t>The “advanced” TFAS category means that the respondent answered “yes, always” the behaviour is violence or “strongly disagreed” with problematic attitudes for at least 75 per cent of items, and answered the remaining items “yes, usually” or “somewhat disagree”.</w:t>
      </w:r>
    </w:p>
  </w:footnote>
  <w:footnote w:id="14">
    <w:p w14:paraId="0C3B75A1" w14:textId="35535B78" w:rsidR="007D5CED" w:rsidRDefault="007D5CED" w:rsidP="00D72C7D">
      <w:pPr>
        <w:pStyle w:val="Footnote"/>
      </w:pPr>
      <w:r>
        <w:rPr>
          <w:vertAlign w:val="superscript"/>
        </w:rPr>
        <w:footnoteRef/>
      </w:r>
      <w:r>
        <w:tab/>
        <w:t>Given the small number of young non-binary respondents (36), any results for this group should be treated with caution (as being indicative rather than definitive). Comparisons involving young non-binary respondents were not conducted at the item level due to small numbers on some items and were only conducted at the scale and subscale level where there was data for at least 30 young non-binary respondents.</w:t>
      </w:r>
    </w:p>
  </w:footnote>
  <w:footnote w:id="15">
    <w:p w14:paraId="3C755C90" w14:textId="0CA25A0E" w:rsidR="007D5CED" w:rsidRDefault="007D5CED" w:rsidP="003F45A1">
      <w:pPr>
        <w:pStyle w:val="Footnote"/>
      </w:pPr>
      <w:r>
        <w:rPr>
          <w:vertAlign w:val="superscript"/>
        </w:rPr>
        <w:footnoteRef/>
      </w:r>
      <w:r>
        <w:tab/>
        <w:t>See the Technical report (Sections T8.2 and T18) for further details about the number and breakdown of young respondents.</w:t>
      </w:r>
    </w:p>
  </w:footnote>
  <w:footnote w:id="16">
    <w:p w14:paraId="542AB9A4" w14:textId="4B65745F" w:rsidR="007D5CED" w:rsidRDefault="007D5CED" w:rsidP="003F45A1">
      <w:pPr>
        <w:pStyle w:val="Footnote"/>
      </w:pPr>
      <w:r>
        <w:rPr>
          <w:vertAlign w:val="superscript"/>
        </w:rPr>
        <w:footnoteRef/>
      </w:r>
      <w:r>
        <w:tab/>
        <w:t>For further detail on the methodology, see the Technical report.</w:t>
      </w:r>
    </w:p>
  </w:footnote>
  <w:footnote w:id="17">
    <w:p w14:paraId="0620A8B7" w14:textId="77777777" w:rsidR="007D5CED" w:rsidRDefault="007D5CED" w:rsidP="007D5CED">
      <w:pPr>
        <w:pStyle w:val="Footnote"/>
      </w:pPr>
      <w:r>
        <w:rPr>
          <w:vertAlign w:val="superscript"/>
        </w:rPr>
        <w:footnoteRef/>
      </w:r>
      <w:r>
        <w:tab/>
        <w:t>See the Main report, p. 88, footnote 49, for details.</w:t>
      </w:r>
    </w:p>
  </w:footnote>
  <w:footnote w:id="18">
    <w:p w14:paraId="2DF529AE" w14:textId="77777777" w:rsidR="007D5CED" w:rsidRDefault="007D5CED" w:rsidP="007D5CED">
      <w:pPr>
        <w:pStyle w:val="Footnote"/>
      </w:pPr>
      <w:r>
        <w:rPr>
          <w:vertAlign w:val="superscript"/>
        </w:rPr>
        <w:footnoteRef/>
      </w:r>
      <w:r>
        <w:tab/>
        <w:t xml:space="preserve">Mean scores for young non-binary respondents are not reported for subscales where there was data for fewer than 30 young non-binary respondents. </w:t>
      </w:r>
    </w:p>
  </w:footnote>
  <w:footnote w:id="19">
    <w:p w14:paraId="6AEF50B8" w14:textId="78946BBA" w:rsidR="007D5CED" w:rsidRDefault="007D5CED" w:rsidP="00476C16">
      <w:pPr>
        <w:pStyle w:val="Footnote"/>
      </w:pPr>
      <w:r>
        <w:rPr>
          <w:vertAlign w:val="superscript"/>
        </w:rPr>
        <w:footnoteRef/>
      </w:r>
      <w:r>
        <w:tab/>
        <w:t>Due to small numbers on some items, comparisons involving young non-binary respondents were not conducted at the item level.</w:t>
      </w:r>
    </w:p>
  </w:footnote>
  <w:footnote w:id="20">
    <w:p w14:paraId="5220DA47" w14:textId="70F5C178" w:rsidR="007D5CED" w:rsidRDefault="007D5CED" w:rsidP="00476C16">
      <w:pPr>
        <w:pStyle w:val="Footnote"/>
      </w:pPr>
      <w:r>
        <w:rPr>
          <w:vertAlign w:val="superscript"/>
        </w:rPr>
        <w:footnoteRef/>
      </w:r>
      <w:r>
        <w:tab/>
        <w:t>Although young women did not demonstrate significantly higher understanding on the other six items in the Recognise DV Subscale, the raw percentages for five of these items trended in this direction.</w:t>
      </w:r>
    </w:p>
  </w:footnote>
  <w:footnote w:id="21">
    <w:p w14:paraId="54AA8C7C" w14:textId="1F0BFF06" w:rsidR="007D5CED" w:rsidRDefault="007D5CED" w:rsidP="00476C16">
      <w:pPr>
        <w:pStyle w:val="Footnote"/>
      </w:pPr>
      <w:r>
        <w:rPr>
          <w:vertAlign w:val="superscript"/>
        </w:rPr>
        <w:footnoteRef/>
      </w:r>
      <w:r>
        <w:tab/>
        <w:t>Although young women did not demonstrate significantly higher understanding on the other item in the Recognise VAW Subscale, the raw percentages for this item trended in this direction.</w:t>
      </w:r>
    </w:p>
  </w:footnote>
  <w:footnote w:id="22">
    <w:p w14:paraId="78626A6D" w14:textId="2A434859" w:rsidR="007D5CED" w:rsidRDefault="007D5CED" w:rsidP="00476C16">
      <w:pPr>
        <w:pStyle w:val="Footnote"/>
      </w:pPr>
      <w:r>
        <w:rPr>
          <w:vertAlign w:val="superscript"/>
        </w:rPr>
        <w:footnoteRef/>
      </w:r>
      <w:r>
        <w:tab/>
        <w:t>This is a knowledge item that was not part of any NCAS scale in 2021.</w:t>
      </w:r>
    </w:p>
  </w:footnote>
  <w:footnote w:id="23">
    <w:p w14:paraId="7299C883" w14:textId="77777777" w:rsidR="007D5CED" w:rsidRDefault="007D5CED" w:rsidP="007D5CED">
      <w:pPr>
        <w:pStyle w:val="Footnote"/>
      </w:pPr>
      <w:r>
        <w:rPr>
          <w:vertAlign w:val="superscript"/>
        </w:rPr>
        <w:footnoteRef/>
      </w:r>
      <w:r>
        <w:tab/>
        <w:t xml:space="preserve">Mean scores for young non-binary respondents are not reported for subscales where there was data for fewer than 30 young non-binary respondents. </w:t>
      </w:r>
    </w:p>
  </w:footnote>
  <w:footnote w:id="24">
    <w:p w14:paraId="07CAD416" w14:textId="7DD48118" w:rsidR="007D5CED" w:rsidRDefault="007D5CED" w:rsidP="008A6A6D">
      <w:pPr>
        <w:pStyle w:val="Footnote"/>
      </w:pPr>
      <w:r>
        <w:rPr>
          <w:vertAlign w:val="superscript"/>
        </w:rPr>
        <w:footnoteRef/>
      </w:r>
      <w:r>
        <w:tab/>
        <w:t>Due to small numbers, comparisons involving young non-binary respondents were not conducted at the item level.</w:t>
      </w:r>
    </w:p>
  </w:footnote>
  <w:footnote w:id="25">
    <w:p w14:paraId="574812E1" w14:textId="1082CB4F" w:rsidR="007D5CED" w:rsidRDefault="007D5CED" w:rsidP="004A7872">
      <w:pPr>
        <w:pStyle w:val="Footnote"/>
      </w:pPr>
      <w:r>
        <w:rPr>
          <w:vertAlign w:val="superscript"/>
        </w:rPr>
        <w:footnoteRef/>
      </w:r>
      <w:r>
        <w:tab/>
        <w:t>For each of these items, there was no significant difference in the percentage of 16- to 17-year-olds and 18- to 24-year-olds who “strongly disagreed”.</w:t>
      </w:r>
    </w:p>
  </w:footnote>
  <w:footnote w:id="26">
    <w:p w14:paraId="102EA609" w14:textId="5F9F227F" w:rsidR="007D5CED" w:rsidRDefault="007D5CED" w:rsidP="004A7872">
      <w:pPr>
        <w:pStyle w:val="Footnote"/>
      </w:pPr>
      <w:r>
        <w:rPr>
          <w:vertAlign w:val="superscript"/>
        </w:rPr>
        <w:footnoteRef/>
      </w:r>
      <w:r>
        <w:tab/>
        <w:t>Thirteen Minimise Violence Subscale items were present in both the 2017 and 2021 NCAS. Change over time could not be reliably examined for the other two items in the 2021 Minimise Violence Subscale as these items were new or revised in 2021.</w:t>
      </w:r>
    </w:p>
  </w:footnote>
  <w:footnote w:id="27">
    <w:p w14:paraId="0442D9AD" w14:textId="71641CD7" w:rsidR="007D5CED" w:rsidRDefault="007D5CED" w:rsidP="004A7872">
      <w:pPr>
        <w:pStyle w:val="Footnote"/>
      </w:pPr>
      <w:r>
        <w:rPr>
          <w:vertAlign w:val="superscript"/>
        </w:rPr>
        <w:footnoteRef/>
      </w:r>
      <w:r>
        <w:tab/>
        <w:t>The remaining three items in the Mistrust Women Subscale were new in 2021.</w:t>
      </w:r>
    </w:p>
  </w:footnote>
  <w:footnote w:id="28">
    <w:p w14:paraId="500B265F" w14:textId="28B357B9" w:rsidR="007D5CED" w:rsidRDefault="007D5CED" w:rsidP="004A7872">
      <w:pPr>
        <w:pStyle w:val="Footnote"/>
      </w:pPr>
      <w:r>
        <w:rPr>
          <w:vertAlign w:val="superscript"/>
        </w:rPr>
        <w:footnoteRef/>
      </w:r>
      <w:r>
        <w:tab/>
        <w:t>Change over time could not be examined for the other two standalone items in the 2021 Mistrust Women Subscale as these items were new in 2021.</w:t>
      </w:r>
    </w:p>
  </w:footnote>
  <w:footnote w:id="29">
    <w:p w14:paraId="690F4AD4" w14:textId="7AD1E39F" w:rsidR="007D5CED" w:rsidRDefault="007D5CED" w:rsidP="00F041E5">
      <w:pPr>
        <w:pStyle w:val="Footnote"/>
      </w:pPr>
      <w:r>
        <w:rPr>
          <w:vertAlign w:val="superscript"/>
        </w:rPr>
        <w:footnoteRef/>
      </w:r>
      <w:r>
        <w:tab/>
        <w:t>There are another four items in the Objectify Women Subscale that present scenarios about sexual consent. These four scenario items are discussed in Section 7.2.</w:t>
      </w:r>
    </w:p>
  </w:footnote>
  <w:footnote w:id="30">
    <w:p w14:paraId="18FE0644" w14:textId="569DA732" w:rsidR="007D5CED" w:rsidRDefault="007D5CED" w:rsidP="00ED1C8F">
      <w:pPr>
        <w:pStyle w:val="Footnote"/>
      </w:pPr>
      <w:r>
        <w:rPr>
          <w:vertAlign w:val="superscript"/>
        </w:rPr>
        <w:footnoteRef/>
      </w:r>
      <w:r>
        <w:tab/>
        <w:t xml:space="preserve">Even though young non-binary and young women respondents had virtually identical mean scores on the Objectify Women Subscale, young men respondents were found to have significantly lower rejection of objectifying attitudes compared to young women respondents but not compared to young non-binary respondents. The small number of young non-binary respondents in the sample may have reduced the ability to detect significant differences. </w:t>
      </w:r>
    </w:p>
  </w:footnote>
  <w:footnote w:id="31">
    <w:p w14:paraId="7BB0054B" w14:textId="682F4023" w:rsidR="007D5CED" w:rsidRDefault="007D5CED" w:rsidP="00F041E5">
      <w:pPr>
        <w:pStyle w:val="Footnote"/>
      </w:pPr>
      <w:r>
        <w:rPr>
          <w:vertAlign w:val="superscript"/>
        </w:rPr>
        <w:footnoteRef/>
      </w:r>
      <w:r>
        <w:tab/>
        <w:t>Due to small numbers, comparisons involving young non-binary respondents were not conducted at the item level.</w:t>
      </w:r>
    </w:p>
  </w:footnote>
  <w:footnote w:id="32">
    <w:p w14:paraId="58469EDE" w14:textId="77BC7147" w:rsidR="007D5CED" w:rsidRDefault="007D5CED" w:rsidP="00F041E5">
      <w:pPr>
        <w:pStyle w:val="Footnote"/>
      </w:pPr>
      <w:r>
        <w:rPr>
          <w:vertAlign w:val="superscript"/>
        </w:rPr>
        <w:footnoteRef/>
      </w:r>
      <w:r>
        <w:tab/>
        <w:t>Although higher percentages of young women than young men “strongly disagreed” with the other nine items in the Minimise Violence Subscale, these differences were not large enough to reach statistical significance.</w:t>
      </w:r>
    </w:p>
  </w:footnote>
  <w:footnote w:id="33">
    <w:p w14:paraId="292A0D0A" w14:textId="1352A695" w:rsidR="007D5CED" w:rsidRDefault="007D5CED" w:rsidP="00F041E5">
      <w:pPr>
        <w:pStyle w:val="Footnote"/>
      </w:pPr>
      <w:r>
        <w:rPr>
          <w:vertAlign w:val="superscript"/>
        </w:rPr>
        <w:footnoteRef/>
      </w:r>
      <w:r>
        <w:tab/>
        <w:t>Although higher percentages of young women than young men “strongly disagreed” with the other two items in the Mistrust Women Subscale, these differences were not large enough to reach statistical significance.</w:t>
      </w:r>
    </w:p>
  </w:footnote>
  <w:footnote w:id="34">
    <w:p w14:paraId="1D5A0979" w14:textId="64CD6A48" w:rsidR="007D5CED" w:rsidRDefault="007D5CED" w:rsidP="00F041E5">
      <w:pPr>
        <w:pStyle w:val="Footnote"/>
      </w:pPr>
      <w:r>
        <w:rPr>
          <w:vertAlign w:val="superscript"/>
        </w:rPr>
        <w:footnoteRef/>
      </w:r>
      <w:r>
        <w:tab/>
        <w:t xml:space="preserve">Although higher percentages of young women than young men “strongly disagreed” with four of the other seven items in the Objectify Women Subscale, these differences were not large enough to reach statistical significance. </w:t>
      </w:r>
    </w:p>
  </w:footnote>
  <w:footnote w:id="35">
    <w:p w14:paraId="4697EB3A" w14:textId="07E76A4B" w:rsidR="007D5CED" w:rsidRDefault="007D5CED" w:rsidP="00F041E5">
      <w:pPr>
        <w:pStyle w:val="Footnote"/>
      </w:pPr>
      <w:r>
        <w:rPr>
          <w:vertAlign w:val="superscript"/>
        </w:rPr>
        <w:footnoteRef/>
      </w:r>
      <w:r>
        <w:tab/>
        <w:t>This non-significant trend was evident for 11 of the 13 Mistrust Women items and nine of the 11 standalone Objectify Women items.</w:t>
      </w:r>
    </w:p>
  </w:footnote>
  <w:footnote w:id="36">
    <w:p w14:paraId="0DD851BF" w14:textId="741B76BE" w:rsidR="007D5CED" w:rsidRDefault="007D5CED" w:rsidP="009B692E">
      <w:pPr>
        <w:pStyle w:val="Footnote"/>
        <w:jc w:val="left"/>
      </w:pPr>
      <w:r>
        <w:rPr>
          <w:vertAlign w:val="superscript"/>
        </w:rPr>
        <w:footnoteRef/>
      </w:r>
      <w:r>
        <w:tab/>
        <w:t>For example, sexual violence can occur within or outside domestic relationships, and technology-facilitated abuse can include domestic abuse, sexual abuse or abuse that is neither of a domestic nor sexual nature.</w:t>
      </w:r>
    </w:p>
  </w:footnote>
  <w:footnote w:id="37">
    <w:p w14:paraId="1AE20B67" w14:textId="21C7AE83" w:rsidR="007D5CED" w:rsidRDefault="007D5CED" w:rsidP="009B692E">
      <w:pPr>
        <w:pStyle w:val="Footnote"/>
      </w:pPr>
      <w:r>
        <w:rPr>
          <w:vertAlign w:val="superscript"/>
        </w:rPr>
        <w:footnoteRef/>
      </w:r>
      <w:r>
        <w:tab/>
        <w:t>There were insufficient items on stalking to develop a stalking scale.</w:t>
      </w:r>
    </w:p>
  </w:footnote>
  <w:footnote w:id="38">
    <w:p w14:paraId="55B96C98" w14:textId="047EA778" w:rsidR="007D5CED" w:rsidRDefault="007D5CED" w:rsidP="009B692E">
      <w:pPr>
        <w:pStyle w:val="Footnote"/>
      </w:pPr>
      <w:r>
        <w:rPr>
          <w:vertAlign w:val="superscript"/>
        </w:rPr>
        <w:footnoteRef/>
      </w:r>
      <w:r>
        <w:tab/>
        <w:t>“Domestic violence” in this report refers to intimate partner violence to reflect the definition historically used in the NCAS instrument, which states that domestic violence means “violence in a married or de-facto relationship or amongst couples who are dating”.</w:t>
      </w:r>
    </w:p>
  </w:footnote>
  <w:footnote w:id="39">
    <w:p w14:paraId="08215B29" w14:textId="4D51DD37" w:rsidR="007D5CED" w:rsidRDefault="007D5CED" w:rsidP="00B3074D">
      <w:pPr>
        <w:pStyle w:val="Footnote"/>
      </w:pPr>
      <w:r>
        <w:rPr>
          <w:vertAlign w:val="superscript"/>
        </w:rPr>
        <w:footnoteRef/>
      </w:r>
      <w:r>
        <w:tab/>
        <w:t>There were no significant differences on the DVS for young non-binary respondents compared to young women or young men.</w:t>
      </w:r>
    </w:p>
  </w:footnote>
  <w:footnote w:id="40">
    <w:p w14:paraId="2382C346" w14:textId="0E90E4A3" w:rsidR="007D5CED" w:rsidRDefault="007D5CED" w:rsidP="00F4557A">
      <w:pPr>
        <w:pStyle w:val="Footnote"/>
      </w:pPr>
      <w:r>
        <w:rPr>
          <w:vertAlign w:val="superscript"/>
        </w:rPr>
        <w:footnoteRef/>
      </w:r>
      <w:r>
        <w:tab/>
        <w:t>Comparisons involving young non-binary respondents were not conducted at the item level due to small numbers on some items.</w:t>
      </w:r>
    </w:p>
  </w:footnote>
  <w:footnote w:id="41">
    <w:p w14:paraId="4E7A9FA4" w14:textId="6615F5E3" w:rsidR="007D5CED" w:rsidRDefault="007D5CED" w:rsidP="003F45A1">
      <w:pPr>
        <w:pStyle w:val="Footnote"/>
      </w:pPr>
      <w:r>
        <w:rPr>
          <w:vertAlign w:val="superscript"/>
        </w:rPr>
        <w:footnoteRef/>
      </w:r>
      <w:r>
        <w:tab/>
        <w:t>This item was a knowledge item that was not part of any 2021 NCAS scale.</w:t>
      </w:r>
    </w:p>
  </w:footnote>
  <w:footnote w:id="42">
    <w:p w14:paraId="514B45C5" w14:textId="77777777" w:rsidR="007D5CED" w:rsidRDefault="007D5CED" w:rsidP="007D5CED">
      <w:pPr>
        <w:pStyle w:val="Footnote"/>
      </w:pPr>
      <w:r>
        <w:rPr>
          <w:vertAlign w:val="superscript"/>
        </w:rPr>
        <w:footnoteRef/>
      </w:r>
      <w:r>
        <w:tab/>
        <w:t>These figures assume that only those who said they would be bothered would intervene</w:t>
      </w:r>
      <w:r>
        <w:rPr>
          <w:sz w:val="16"/>
          <w:szCs w:val="16"/>
        </w:rPr>
        <w:t xml:space="preserve">. </w:t>
      </w:r>
      <w:r>
        <w:t xml:space="preserve">If, instead, these percentages were expressed as a proportion of </w:t>
      </w:r>
      <w:r w:rsidRPr="0073256E">
        <w:rPr>
          <w:rStyle w:val="Emphasis"/>
        </w:rPr>
        <w:t xml:space="preserve">all young </w:t>
      </w:r>
      <w:r>
        <w:t>respondents, rather than as a proportion of those who would be bothered, then the estimated percentage of young respondents who would show disapproval is 66 per cent for the friend sexist joke scenario, 56 per cent for the boss sexist joke scenario and 94 per cent for the friend verbal abuse scenario.</w:t>
      </w:r>
    </w:p>
  </w:footnote>
  <w:footnote w:id="43">
    <w:p w14:paraId="27D572BA" w14:textId="73560C53" w:rsidR="007D5CED" w:rsidRDefault="007D5CED" w:rsidP="007A49FC">
      <w:pPr>
        <w:pStyle w:val="Footnote"/>
      </w:pPr>
      <w:r>
        <w:rPr>
          <w:vertAlign w:val="superscript"/>
        </w:rPr>
        <w:footnoteRef/>
      </w:r>
      <w:r>
        <w:tab/>
        <w:t>Percentages are not reported for the barriers to intervening in the friend verbal abuse scenario (B3) as there were fewer than 30 respondents.</w:t>
      </w:r>
    </w:p>
  </w:footnote>
  <w:footnote w:id="44">
    <w:p w14:paraId="6B21A737" w14:textId="3254812B" w:rsidR="007D5CED" w:rsidRDefault="007D5CED" w:rsidP="007A49FC">
      <w:pPr>
        <w:pStyle w:val="Footnote"/>
      </w:pPr>
      <w:r>
        <w:rPr>
          <w:vertAlign w:val="superscript"/>
        </w:rPr>
        <w:footnoteRef/>
      </w:r>
      <w:r>
        <w:tab/>
        <w:t>There were no significant differences across age groups in responses to the verbal abuse scenario (B3).</w:t>
      </w:r>
    </w:p>
  </w:footnote>
  <w:footnote w:id="45">
    <w:p w14:paraId="0518D867" w14:textId="77777777" w:rsidR="007D5CED" w:rsidRDefault="007D5CED" w:rsidP="007D5CED">
      <w:pPr>
        <w:pStyle w:val="Footnote"/>
      </w:pPr>
      <w:r>
        <w:rPr>
          <w:vertAlign w:val="superscript"/>
        </w:rPr>
        <w:footnoteRef/>
      </w:r>
      <w:r>
        <w:tab/>
        <w:t>This result is consistent with the bivariate results on gender (Chapter 4).</w:t>
      </w:r>
    </w:p>
  </w:footnote>
  <w:footnote w:id="46">
    <w:p w14:paraId="22028E24" w14:textId="399247FA" w:rsidR="007D5CED" w:rsidRDefault="007D5CED" w:rsidP="007A49FC">
      <w:pPr>
        <w:pStyle w:val="Footnote"/>
      </w:pPr>
      <w:r>
        <w:rPr>
          <w:vertAlign w:val="superscript"/>
        </w:rPr>
        <w:footnoteRef/>
      </w:r>
      <w:r>
        <w:tab/>
        <w:t xml:space="preserve">Age, country of birth and sexuality were retained in the final model (for UVAWS Model 1) because they improved model fit. However, they were not “significant predictors” in that there were no significant differences of non-negligible size between the groups examined for these variables (e.g. 18- to 24-year-olds versus 16- to 17-year-olds; </w:t>
      </w:r>
      <w:r w:rsidRPr="0073256E">
        <w:rPr>
          <w:rStyle w:val="Emphasis"/>
        </w:rPr>
        <w:t xml:space="preserve">p </w:t>
      </w:r>
      <w:r>
        <w:t>&lt; 0.05 and standardised regression coefficient &gt; 0.2).</w:t>
      </w:r>
    </w:p>
  </w:footnote>
  <w:footnote w:id="47">
    <w:p w14:paraId="2B6C749E" w14:textId="3EC8CAFC" w:rsidR="007D5CED" w:rsidRDefault="007D5CED" w:rsidP="007A49FC">
      <w:pPr>
        <w:pStyle w:val="Footnote"/>
      </w:pPr>
      <w:r>
        <w:rPr>
          <w:vertAlign w:val="superscript"/>
        </w:rPr>
        <w:footnoteRef/>
      </w:r>
      <w:r>
        <w:tab/>
        <w:t xml:space="preserve">Age and remoteness were retained in the final model (for AGIS Model 1) because they improved model fit. However, they were not “significant predictors” in that there were no significant differences of non-negligible size between the groups examined for these variables (e.g. 18- to 24-year-olds versus 16- to 17-year-olds; </w:t>
      </w:r>
      <w:r w:rsidRPr="0073256E">
        <w:rPr>
          <w:rStyle w:val="Emphasis"/>
        </w:rPr>
        <w:t xml:space="preserve">p </w:t>
      </w:r>
      <w:r>
        <w:t xml:space="preserve">&lt; 0.05 and standardised regression coefficient &gt; 0.2). </w:t>
      </w:r>
    </w:p>
  </w:footnote>
  <w:footnote w:id="48">
    <w:p w14:paraId="18611E25" w14:textId="381FF39F" w:rsidR="007D5CED" w:rsidRDefault="007D5CED" w:rsidP="007A49FC">
      <w:pPr>
        <w:pStyle w:val="Footnote"/>
      </w:pPr>
      <w:r>
        <w:rPr>
          <w:vertAlign w:val="superscript"/>
        </w:rPr>
        <w:footnoteRef/>
      </w:r>
      <w:r>
        <w:tab/>
        <w:t xml:space="preserve">Age, remoteness and socioeconomic status of area were retained in the final model (for AVAWS Model 1) because they improved model fit. However, they were not “significant predictors” in that there were no significant differences of non-negligible size between the groups examined for these variables (e.g. 18- to 24-year-olds versus 16- to 17-year-olds; </w:t>
      </w:r>
      <w:r w:rsidRPr="0073256E">
        <w:rPr>
          <w:rStyle w:val="Emphasis"/>
        </w:rPr>
        <w:t xml:space="preserve">p </w:t>
      </w:r>
      <w:r>
        <w:t xml:space="preserve">&lt; 0.05 and standardised regression coefficient &gt; 0.2). </w:t>
      </w:r>
    </w:p>
  </w:footnote>
  <w:footnote w:id="49">
    <w:p w14:paraId="63986CEF" w14:textId="7CF386E8" w:rsidR="007D5CED" w:rsidRDefault="007D5CED" w:rsidP="005A15A9">
      <w:pPr>
        <w:pStyle w:val="Footnote"/>
      </w:pPr>
      <w:r>
        <w:rPr>
          <w:vertAlign w:val="superscript"/>
        </w:rPr>
        <w:footnoteRef/>
      </w:r>
      <w:r>
        <w:tab/>
        <w:t>For example, for local prevalence statistics of offences in New South Wales, see the NSW Crime Tool on the NSW Bureau of Crime Statistics and Research website (</w:t>
      </w:r>
      <w:r w:rsidRPr="005A15A9">
        <w:rPr>
          <w:rStyle w:val="Hyperlink"/>
        </w:rPr>
        <w:t>http://crimetool.bocsar.nsw.gov.au/bocsar/</w:t>
      </w:r>
      <w:r>
        <w:t>).</w:t>
      </w:r>
    </w:p>
  </w:footnote>
  <w:footnote w:id="50">
    <w:p w14:paraId="3485AF59" w14:textId="40B9AF86" w:rsidR="00B85B00" w:rsidRDefault="00B85B00" w:rsidP="00B85B00">
      <w:pPr>
        <w:pStyle w:val="Footnote"/>
      </w:pPr>
      <w:r>
        <w:rPr>
          <w:vertAlign w:val="superscript"/>
        </w:rPr>
        <w:footnoteRef/>
      </w:r>
      <w:r>
        <w:tab/>
        <w:t>This conclusion is based on the results for two of the three items in the Understand Gendered DV Subscale. Because the other item in this subscale was revised in 2021, it was not possible to examine if mean subscale scores similarly decreased over time.</w:t>
      </w:r>
    </w:p>
  </w:footnote>
  <w:footnote w:id="51">
    <w:p w14:paraId="75A24933" w14:textId="77777777" w:rsidR="00F5214A" w:rsidRDefault="00F5214A" w:rsidP="00F5214A">
      <w:pPr>
        <w:pStyle w:val="Footnote"/>
      </w:pPr>
      <w:r>
        <w:rPr>
          <w:vertAlign w:val="superscript"/>
        </w:rPr>
        <w:footnoteRef/>
      </w:r>
      <w:r>
        <w:tab/>
        <w:t>In addition, 16- to 17-year-olds were significantly more likely than 18- to 24-year-olds to excuse the perpetrator if he was drunk or affected by drugs.</w:t>
      </w:r>
    </w:p>
  </w:footnote>
  <w:footnote w:id="52">
    <w:p w14:paraId="56A3EFC2" w14:textId="112A2D7B" w:rsidR="007D5CED" w:rsidRDefault="007D5CED" w:rsidP="003F789C">
      <w:pPr>
        <w:pStyle w:val="Footnote"/>
      </w:pPr>
      <w:r>
        <w:rPr>
          <w:vertAlign w:val="superscript"/>
        </w:rPr>
        <w:footnoteRef/>
      </w:r>
      <w:r>
        <w:tab/>
        <w:t>There were 36 young non-binary respondents in the total NCAS sample of 19,100. Comparisons involving young non-binary respondents were only conducted for scales and subscales where there was data for at least 30 young non-binary respondents. Due to small numbers on some items, no item-level analyses were conducted for young non-binary respondents.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3E2A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2670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D61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2649F6"/>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EBEE952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73EECFC"/>
    <w:lvl w:ilvl="0">
      <w:start w:val="1"/>
      <w:numFmt w:val="bullet"/>
      <w:pStyle w:val="ListBullet"/>
      <w:lvlText w:val=""/>
      <w:lvlJc w:val="left"/>
      <w:pPr>
        <w:tabs>
          <w:tab w:val="num" w:pos="284"/>
        </w:tabs>
        <w:ind w:left="284" w:hanging="284"/>
      </w:pPr>
      <w:rPr>
        <w:rFonts w:ascii="Symbol" w:hAnsi="Symbol" w:hint="default"/>
        <w:sz w:val="20"/>
        <w:szCs w:val="20"/>
        <w:vertAlign w:val="baseline"/>
      </w:rPr>
    </w:lvl>
  </w:abstractNum>
  <w:abstractNum w:abstractNumId="6" w15:restartNumberingAfterBreak="0">
    <w:nsid w:val="076849D6"/>
    <w:multiLevelType w:val="multilevel"/>
    <w:tmpl w:val="7D5EE6BE"/>
    <w:styleLink w:val="Elencocorrente3"/>
    <w:lvl w:ilvl="0">
      <w:start w:val="1"/>
      <w:numFmt w:val="decimal"/>
      <w:lvlText w:val="%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D142EF"/>
    <w:multiLevelType w:val="multilevel"/>
    <w:tmpl w:val="845052C6"/>
    <w:styleLink w:val="Elencocorrente2"/>
    <w:lvl w:ilvl="0">
      <w:start w:val="1"/>
      <w:numFmt w:val="bullet"/>
      <w:lvlText w:val="o"/>
      <w:lvlJc w:val="left"/>
      <w:pPr>
        <w:ind w:left="1173" w:hanging="360"/>
      </w:pPr>
      <w:rPr>
        <w:rFonts w:ascii="Courier New" w:hAnsi="Courier New" w:cs="Courier New" w:hint="default"/>
      </w:rPr>
    </w:lvl>
    <w:lvl w:ilvl="1">
      <w:start w:val="1"/>
      <w:numFmt w:val="bullet"/>
      <w:lvlText w:val="o"/>
      <w:lvlJc w:val="left"/>
      <w:pPr>
        <w:ind w:left="1893" w:hanging="360"/>
      </w:pPr>
      <w:rPr>
        <w:rFonts w:ascii="Courier New" w:hAnsi="Courier New" w:cs="Courier New" w:hint="default"/>
      </w:rPr>
    </w:lvl>
    <w:lvl w:ilvl="2">
      <w:start w:val="1"/>
      <w:numFmt w:val="bullet"/>
      <w:lvlText w:val=""/>
      <w:lvlJc w:val="left"/>
      <w:pPr>
        <w:ind w:left="2613" w:hanging="360"/>
      </w:pPr>
      <w:rPr>
        <w:rFonts w:ascii="Wingdings" w:hAnsi="Wingdings" w:hint="default"/>
      </w:rPr>
    </w:lvl>
    <w:lvl w:ilvl="3">
      <w:start w:val="1"/>
      <w:numFmt w:val="bullet"/>
      <w:lvlText w:val=""/>
      <w:lvlJc w:val="left"/>
      <w:pPr>
        <w:ind w:left="3333" w:hanging="360"/>
      </w:pPr>
      <w:rPr>
        <w:rFonts w:ascii="Symbol" w:hAnsi="Symbol" w:hint="default"/>
      </w:rPr>
    </w:lvl>
    <w:lvl w:ilvl="4">
      <w:start w:val="1"/>
      <w:numFmt w:val="bullet"/>
      <w:lvlText w:val="o"/>
      <w:lvlJc w:val="left"/>
      <w:pPr>
        <w:ind w:left="4053" w:hanging="360"/>
      </w:pPr>
      <w:rPr>
        <w:rFonts w:ascii="Courier New" w:hAnsi="Courier New" w:cs="Courier New" w:hint="default"/>
      </w:rPr>
    </w:lvl>
    <w:lvl w:ilvl="5">
      <w:start w:val="1"/>
      <w:numFmt w:val="bullet"/>
      <w:lvlText w:val=""/>
      <w:lvlJc w:val="left"/>
      <w:pPr>
        <w:ind w:left="4773" w:hanging="360"/>
      </w:pPr>
      <w:rPr>
        <w:rFonts w:ascii="Wingdings" w:hAnsi="Wingdings" w:hint="default"/>
      </w:rPr>
    </w:lvl>
    <w:lvl w:ilvl="6">
      <w:start w:val="1"/>
      <w:numFmt w:val="bullet"/>
      <w:lvlText w:val=""/>
      <w:lvlJc w:val="left"/>
      <w:pPr>
        <w:ind w:left="5493" w:hanging="360"/>
      </w:pPr>
      <w:rPr>
        <w:rFonts w:ascii="Symbol" w:hAnsi="Symbol" w:hint="default"/>
      </w:rPr>
    </w:lvl>
    <w:lvl w:ilvl="7">
      <w:start w:val="1"/>
      <w:numFmt w:val="bullet"/>
      <w:lvlText w:val="o"/>
      <w:lvlJc w:val="left"/>
      <w:pPr>
        <w:ind w:left="6213" w:hanging="360"/>
      </w:pPr>
      <w:rPr>
        <w:rFonts w:ascii="Courier New" w:hAnsi="Courier New" w:cs="Courier New" w:hint="default"/>
      </w:rPr>
    </w:lvl>
    <w:lvl w:ilvl="8">
      <w:start w:val="1"/>
      <w:numFmt w:val="bullet"/>
      <w:lvlText w:val=""/>
      <w:lvlJc w:val="left"/>
      <w:pPr>
        <w:ind w:left="6933" w:hanging="360"/>
      </w:pPr>
      <w:rPr>
        <w:rFonts w:ascii="Wingdings" w:hAnsi="Wingdings" w:hint="default"/>
      </w:rPr>
    </w:lvl>
  </w:abstractNum>
  <w:abstractNum w:abstractNumId="8" w15:restartNumberingAfterBreak="0">
    <w:nsid w:val="103907FE"/>
    <w:multiLevelType w:val="hybridMultilevel"/>
    <w:tmpl w:val="66DED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BE6265"/>
    <w:multiLevelType w:val="hybridMultilevel"/>
    <w:tmpl w:val="65EA5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C68A2"/>
    <w:multiLevelType w:val="multilevel"/>
    <w:tmpl w:val="1BD07B9C"/>
    <w:styleLink w:val="Elencocorrente4"/>
    <w:lvl w:ilvl="0">
      <w:start w:val="1"/>
      <w:numFmt w:val="bullet"/>
      <w:lvlText w:val=""/>
      <w:lvlJc w:val="left"/>
      <w:pPr>
        <w:ind w:left="851" w:hanging="284"/>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B5236B3"/>
    <w:multiLevelType w:val="hybridMultilevel"/>
    <w:tmpl w:val="8B12DA34"/>
    <w:lvl w:ilvl="0" w:tplc="8E92E17C">
      <w:start w:val="1"/>
      <w:numFmt w:val="bullet"/>
      <w:pStyle w:val="ListBullet2"/>
      <w:lvlText w:val="o"/>
      <w:lvlJc w:val="left"/>
      <w:pPr>
        <w:ind w:left="1134" w:hanging="283"/>
      </w:pPr>
      <w:rPr>
        <w:rFonts w:ascii="Courier New" w:hAnsi="Courier New" w:hint="default"/>
        <w:vertAlign w:val="baseline"/>
      </w:rPr>
    </w:lvl>
    <w:lvl w:ilvl="1" w:tplc="04100003" w:tentative="1">
      <w:start w:val="1"/>
      <w:numFmt w:val="bullet"/>
      <w:lvlText w:val="o"/>
      <w:lvlJc w:val="left"/>
      <w:pPr>
        <w:ind w:left="1893" w:hanging="360"/>
      </w:pPr>
      <w:rPr>
        <w:rFonts w:ascii="Courier New" w:hAnsi="Courier New" w:cs="Courier New" w:hint="default"/>
      </w:rPr>
    </w:lvl>
    <w:lvl w:ilvl="2" w:tplc="04100005" w:tentative="1">
      <w:start w:val="1"/>
      <w:numFmt w:val="bullet"/>
      <w:lvlText w:val=""/>
      <w:lvlJc w:val="left"/>
      <w:pPr>
        <w:ind w:left="2613" w:hanging="360"/>
      </w:pPr>
      <w:rPr>
        <w:rFonts w:ascii="Wingdings" w:hAnsi="Wingdings" w:hint="default"/>
      </w:rPr>
    </w:lvl>
    <w:lvl w:ilvl="3" w:tplc="04100001" w:tentative="1">
      <w:start w:val="1"/>
      <w:numFmt w:val="bullet"/>
      <w:lvlText w:val=""/>
      <w:lvlJc w:val="left"/>
      <w:pPr>
        <w:ind w:left="3333" w:hanging="360"/>
      </w:pPr>
      <w:rPr>
        <w:rFonts w:ascii="Symbol" w:hAnsi="Symbol" w:hint="default"/>
      </w:rPr>
    </w:lvl>
    <w:lvl w:ilvl="4" w:tplc="04100003" w:tentative="1">
      <w:start w:val="1"/>
      <w:numFmt w:val="bullet"/>
      <w:lvlText w:val="o"/>
      <w:lvlJc w:val="left"/>
      <w:pPr>
        <w:ind w:left="4053" w:hanging="360"/>
      </w:pPr>
      <w:rPr>
        <w:rFonts w:ascii="Courier New" w:hAnsi="Courier New" w:cs="Courier New" w:hint="default"/>
      </w:rPr>
    </w:lvl>
    <w:lvl w:ilvl="5" w:tplc="04100005" w:tentative="1">
      <w:start w:val="1"/>
      <w:numFmt w:val="bullet"/>
      <w:lvlText w:val=""/>
      <w:lvlJc w:val="left"/>
      <w:pPr>
        <w:ind w:left="4773" w:hanging="360"/>
      </w:pPr>
      <w:rPr>
        <w:rFonts w:ascii="Wingdings" w:hAnsi="Wingdings" w:hint="default"/>
      </w:rPr>
    </w:lvl>
    <w:lvl w:ilvl="6" w:tplc="04100001" w:tentative="1">
      <w:start w:val="1"/>
      <w:numFmt w:val="bullet"/>
      <w:lvlText w:val=""/>
      <w:lvlJc w:val="left"/>
      <w:pPr>
        <w:ind w:left="5493" w:hanging="360"/>
      </w:pPr>
      <w:rPr>
        <w:rFonts w:ascii="Symbol" w:hAnsi="Symbol" w:hint="default"/>
      </w:rPr>
    </w:lvl>
    <w:lvl w:ilvl="7" w:tplc="04100003" w:tentative="1">
      <w:start w:val="1"/>
      <w:numFmt w:val="bullet"/>
      <w:lvlText w:val="o"/>
      <w:lvlJc w:val="left"/>
      <w:pPr>
        <w:ind w:left="6213" w:hanging="360"/>
      </w:pPr>
      <w:rPr>
        <w:rFonts w:ascii="Courier New" w:hAnsi="Courier New" w:cs="Courier New" w:hint="default"/>
      </w:rPr>
    </w:lvl>
    <w:lvl w:ilvl="8" w:tplc="04100005" w:tentative="1">
      <w:start w:val="1"/>
      <w:numFmt w:val="bullet"/>
      <w:lvlText w:val=""/>
      <w:lvlJc w:val="left"/>
      <w:pPr>
        <w:ind w:left="6933" w:hanging="360"/>
      </w:pPr>
      <w:rPr>
        <w:rFonts w:ascii="Wingdings" w:hAnsi="Wingdings" w:hint="default"/>
      </w:rPr>
    </w:lvl>
  </w:abstractNum>
  <w:abstractNum w:abstractNumId="12" w15:restartNumberingAfterBreak="0">
    <w:nsid w:val="384329CF"/>
    <w:multiLevelType w:val="hybridMultilevel"/>
    <w:tmpl w:val="7346A648"/>
    <w:lvl w:ilvl="0" w:tplc="D4A2D25E">
      <w:start w:val="1"/>
      <w:numFmt w:val="bullet"/>
      <w:pStyle w:val="ListParagraph"/>
      <w:lvlText w:val=""/>
      <w:lvlJc w:val="left"/>
      <w:pPr>
        <w:ind w:left="1440" w:hanging="360"/>
      </w:pPr>
      <w:rPr>
        <w:rFonts w:ascii="Symbol" w:hAnsi="Symbol" w:hint="default"/>
      </w:rPr>
    </w:lvl>
    <w:lvl w:ilvl="1" w:tplc="E3B2C49E">
      <w:start w:val="1"/>
      <w:numFmt w:val="bullet"/>
      <w:pStyle w:val="Listparagraph2"/>
      <w:lvlText w:val="o"/>
      <w:lvlJc w:val="left"/>
      <w:pPr>
        <w:ind w:left="2160" w:hanging="360"/>
      </w:pPr>
      <w:rPr>
        <w:rFonts w:ascii="Courier New" w:hAnsi="Courier New" w:cs="Courier New" w:hint="default"/>
      </w:rPr>
    </w:lvl>
    <w:lvl w:ilvl="2" w:tplc="BDA63508">
      <w:start w:val="1"/>
      <w:numFmt w:val="bullet"/>
      <w:pStyle w:val="Listparagraph3"/>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C50B6E"/>
    <w:multiLevelType w:val="hybridMultilevel"/>
    <w:tmpl w:val="A680104A"/>
    <w:lvl w:ilvl="0" w:tplc="4F528F96">
      <w:start w:val="1"/>
      <w:numFmt w:val="bullet"/>
      <w:pStyle w:val="ListBullet3"/>
      <w:lvlText w:val=""/>
      <w:lvlJc w:val="left"/>
      <w:pPr>
        <w:ind w:left="284" w:hanging="284"/>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43863D0D"/>
    <w:multiLevelType w:val="hybridMultilevel"/>
    <w:tmpl w:val="5FBE5B1C"/>
    <w:lvl w:ilvl="0" w:tplc="1108AA72">
      <w:start w:val="1"/>
      <w:numFmt w:val="bullet"/>
      <w:pStyle w:val="ChapterintrobulletsChapterintro"/>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8261B6"/>
    <w:multiLevelType w:val="multilevel"/>
    <w:tmpl w:val="BBF8946A"/>
    <w:styleLink w:val="Elencocorrente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568D38C3"/>
    <w:multiLevelType w:val="hybridMultilevel"/>
    <w:tmpl w:val="16A07918"/>
    <w:lvl w:ilvl="0" w:tplc="18ACD0A8">
      <w:start w:val="1"/>
      <w:numFmt w:val="decimal"/>
      <w:pStyle w:val="Heading1"/>
      <w:lvlText w:val="%1 "/>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77719F8"/>
    <w:multiLevelType w:val="hybridMultilevel"/>
    <w:tmpl w:val="B4FE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5481007">
    <w:abstractNumId w:val="5"/>
  </w:num>
  <w:num w:numId="2" w16cid:durableId="515341218">
    <w:abstractNumId w:val="13"/>
  </w:num>
  <w:num w:numId="3" w16cid:durableId="1329358920">
    <w:abstractNumId w:val="15"/>
  </w:num>
  <w:num w:numId="4" w16cid:durableId="1849443052">
    <w:abstractNumId w:val="11"/>
  </w:num>
  <w:num w:numId="5" w16cid:durableId="2133622315">
    <w:abstractNumId w:val="7"/>
  </w:num>
  <w:num w:numId="6" w16cid:durableId="2132936806">
    <w:abstractNumId w:val="16"/>
  </w:num>
  <w:num w:numId="7" w16cid:durableId="1256280864">
    <w:abstractNumId w:val="6"/>
  </w:num>
  <w:num w:numId="8" w16cid:durableId="1363633363">
    <w:abstractNumId w:val="16"/>
    <w:lvlOverride w:ilvl="0">
      <w:startOverride w:val="1"/>
    </w:lvlOverride>
  </w:num>
  <w:num w:numId="9" w16cid:durableId="1650934355">
    <w:abstractNumId w:val="10"/>
  </w:num>
  <w:num w:numId="10" w16cid:durableId="1539319189">
    <w:abstractNumId w:val="4"/>
  </w:num>
  <w:num w:numId="11" w16cid:durableId="42142297">
    <w:abstractNumId w:val="3"/>
  </w:num>
  <w:num w:numId="12" w16cid:durableId="1918861153">
    <w:abstractNumId w:val="2"/>
  </w:num>
  <w:num w:numId="13" w16cid:durableId="1462647707">
    <w:abstractNumId w:val="1"/>
  </w:num>
  <w:num w:numId="14" w16cid:durableId="1619292279">
    <w:abstractNumId w:val="0"/>
  </w:num>
  <w:num w:numId="15" w16cid:durableId="1002898402">
    <w:abstractNumId w:val="4"/>
  </w:num>
  <w:num w:numId="16" w16cid:durableId="294220117">
    <w:abstractNumId w:val="3"/>
  </w:num>
  <w:num w:numId="17" w16cid:durableId="606155208">
    <w:abstractNumId w:val="2"/>
  </w:num>
  <w:num w:numId="18" w16cid:durableId="1838811104">
    <w:abstractNumId w:val="1"/>
  </w:num>
  <w:num w:numId="19" w16cid:durableId="1100223972">
    <w:abstractNumId w:val="0"/>
  </w:num>
  <w:num w:numId="20" w16cid:durableId="659697815">
    <w:abstractNumId w:val="4"/>
  </w:num>
  <w:num w:numId="21" w16cid:durableId="1156192425">
    <w:abstractNumId w:val="3"/>
  </w:num>
  <w:num w:numId="22" w16cid:durableId="1186676184">
    <w:abstractNumId w:val="2"/>
  </w:num>
  <w:num w:numId="23" w16cid:durableId="600069226">
    <w:abstractNumId w:val="1"/>
  </w:num>
  <w:num w:numId="24" w16cid:durableId="117340149">
    <w:abstractNumId w:val="0"/>
  </w:num>
  <w:num w:numId="25" w16cid:durableId="1435782213">
    <w:abstractNumId w:val="4"/>
  </w:num>
  <w:num w:numId="26" w16cid:durableId="1143080163">
    <w:abstractNumId w:val="3"/>
  </w:num>
  <w:num w:numId="27" w16cid:durableId="772046610">
    <w:abstractNumId w:val="2"/>
  </w:num>
  <w:num w:numId="28" w16cid:durableId="510878840">
    <w:abstractNumId w:val="1"/>
  </w:num>
  <w:num w:numId="29" w16cid:durableId="2048676984">
    <w:abstractNumId w:val="0"/>
  </w:num>
  <w:num w:numId="30" w16cid:durableId="322977743">
    <w:abstractNumId w:val="4"/>
  </w:num>
  <w:num w:numId="31" w16cid:durableId="1937975024">
    <w:abstractNumId w:val="3"/>
  </w:num>
  <w:num w:numId="32" w16cid:durableId="1935358761">
    <w:abstractNumId w:val="2"/>
  </w:num>
  <w:num w:numId="33" w16cid:durableId="1270818620">
    <w:abstractNumId w:val="1"/>
  </w:num>
  <w:num w:numId="34" w16cid:durableId="1644117604">
    <w:abstractNumId w:val="0"/>
  </w:num>
  <w:num w:numId="35" w16cid:durableId="460924860">
    <w:abstractNumId w:val="4"/>
  </w:num>
  <w:num w:numId="36" w16cid:durableId="456949619">
    <w:abstractNumId w:val="3"/>
  </w:num>
  <w:num w:numId="37" w16cid:durableId="2145148084">
    <w:abstractNumId w:val="2"/>
  </w:num>
  <w:num w:numId="38" w16cid:durableId="292908568">
    <w:abstractNumId w:val="1"/>
  </w:num>
  <w:num w:numId="39" w16cid:durableId="490174526">
    <w:abstractNumId w:val="0"/>
  </w:num>
  <w:num w:numId="40" w16cid:durableId="535235800">
    <w:abstractNumId w:val="4"/>
  </w:num>
  <w:num w:numId="41" w16cid:durableId="443305413">
    <w:abstractNumId w:val="3"/>
  </w:num>
  <w:num w:numId="42" w16cid:durableId="1808888884">
    <w:abstractNumId w:val="2"/>
  </w:num>
  <w:num w:numId="43" w16cid:durableId="439956836">
    <w:abstractNumId w:val="1"/>
  </w:num>
  <w:num w:numId="44" w16cid:durableId="1605914507">
    <w:abstractNumId w:val="0"/>
  </w:num>
  <w:num w:numId="45" w16cid:durableId="1468279739">
    <w:abstractNumId w:val="4"/>
  </w:num>
  <w:num w:numId="46" w16cid:durableId="976646903">
    <w:abstractNumId w:val="3"/>
  </w:num>
  <w:num w:numId="47" w16cid:durableId="440958061">
    <w:abstractNumId w:val="2"/>
  </w:num>
  <w:num w:numId="48" w16cid:durableId="166750815">
    <w:abstractNumId w:val="1"/>
  </w:num>
  <w:num w:numId="49" w16cid:durableId="1239444229">
    <w:abstractNumId w:val="0"/>
  </w:num>
  <w:num w:numId="50" w16cid:durableId="1036346322">
    <w:abstractNumId w:val="4"/>
  </w:num>
  <w:num w:numId="51" w16cid:durableId="1657221999">
    <w:abstractNumId w:val="3"/>
  </w:num>
  <w:num w:numId="52" w16cid:durableId="1897936646">
    <w:abstractNumId w:val="2"/>
  </w:num>
  <w:num w:numId="53" w16cid:durableId="168105791">
    <w:abstractNumId w:val="1"/>
  </w:num>
  <w:num w:numId="54" w16cid:durableId="418403688">
    <w:abstractNumId w:val="0"/>
  </w:num>
  <w:num w:numId="55" w16cid:durableId="151873920">
    <w:abstractNumId w:val="4"/>
  </w:num>
  <w:num w:numId="56" w16cid:durableId="1812358186">
    <w:abstractNumId w:val="3"/>
  </w:num>
  <w:num w:numId="57" w16cid:durableId="2026594139">
    <w:abstractNumId w:val="2"/>
  </w:num>
  <w:num w:numId="58" w16cid:durableId="1527983394">
    <w:abstractNumId w:val="1"/>
  </w:num>
  <w:num w:numId="59" w16cid:durableId="791677313">
    <w:abstractNumId w:val="0"/>
  </w:num>
  <w:num w:numId="60" w16cid:durableId="1047488667">
    <w:abstractNumId w:val="4"/>
  </w:num>
  <w:num w:numId="61" w16cid:durableId="650407865">
    <w:abstractNumId w:val="3"/>
  </w:num>
  <w:num w:numId="62" w16cid:durableId="126169836">
    <w:abstractNumId w:val="2"/>
  </w:num>
  <w:num w:numId="63" w16cid:durableId="951211064">
    <w:abstractNumId w:val="1"/>
  </w:num>
  <w:num w:numId="64" w16cid:durableId="1152212132">
    <w:abstractNumId w:val="0"/>
  </w:num>
  <w:num w:numId="65" w16cid:durableId="398790436">
    <w:abstractNumId w:val="4"/>
  </w:num>
  <w:num w:numId="66" w16cid:durableId="851338691">
    <w:abstractNumId w:val="3"/>
  </w:num>
  <w:num w:numId="67" w16cid:durableId="1344013632">
    <w:abstractNumId w:val="2"/>
  </w:num>
  <w:num w:numId="68" w16cid:durableId="1842423567">
    <w:abstractNumId w:val="1"/>
  </w:num>
  <w:num w:numId="69" w16cid:durableId="5526077">
    <w:abstractNumId w:val="0"/>
  </w:num>
  <w:num w:numId="70" w16cid:durableId="1850944521">
    <w:abstractNumId w:val="4"/>
  </w:num>
  <w:num w:numId="71" w16cid:durableId="876428379">
    <w:abstractNumId w:val="3"/>
  </w:num>
  <w:num w:numId="72" w16cid:durableId="1128008205">
    <w:abstractNumId w:val="2"/>
  </w:num>
  <w:num w:numId="73" w16cid:durableId="173493672">
    <w:abstractNumId w:val="1"/>
  </w:num>
  <w:num w:numId="74" w16cid:durableId="1045985634">
    <w:abstractNumId w:val="0"/>
  </w:num>
  <w:num w:numId="75" w16cid:durableId="2075078218">
    <w:abstractNumId w:val="4"/>
  </w:num>
  <w:num w:numId="76" w16cid:durableId="811558584">
    <w:abstractNumId w:val="3"/>
  </w:num>
  <w:num w:numId="77" w16cid:durableId="1808355009">
    <w:abstractNumId w:val="2"/>
  </w:num>
  <w:num w:numId="78" w16cid:durableId="658658456">
    <w:abstractNumId w:val="1"/>
  </w:num>
  <w:num w:numId="79" w16cid:durableId="1259749392">
    <w:abstractNumId w:val="0"/>
  </w:num>
  <w:num w:numId="80" w16cid:durableId="1531604532">
    <w:abstractNumId w:val="4"/>
  </w:num>
  <w:num w:numId="81" w16cid:durableId="1863785929">
    <w:abstractNumId w:val="3"/>
  </w:num>
  <w:num w:numId="82" w16cid:durableId="447626468">
    <w:abstractNumId w:val="2"/>
  </w:num>
  <w:num w:numId="83" w16cid:durableId="947270700">
    <w:abstractNumId w:val="1"/>
  </w:num>
  <w:num w:numId="84" w16cid:durableId="1495605745">
    <w:abstractNumId w:val="0"/>
  </w:num>
  <w:num w:numId="85" w16cid:durableId="351957651">
    <w:abstractNumId w:val="4"/>
  </w:num>
  <w:num w:numId="86" w16cid:durableId="1106999163">
    <w:abstractNumId w:val="3"/>
  </w:num>
  <w:num w:numId="87" w16cid:durableId="1339884946">
    <w:abstractNumId w:val="2"/>
  </w:num>
  <w:num w:numId="88" w16cid:durableId="1101605994">
    <w:abstractNumId w:val="1"/>
  </w:num>
  <w:num w:numId="89" w16cid:durableId="763771476">
    <w:abstractNumId w:val="0"/>
  </w:num>
  <w:num w:numId="90" w16cid:durableId="1336882519">
    <w:abstractNumId w:val="4"/>
  </w:num>
  <w:num w:numId="91" w16cid:durableId="2016682715">
    <w:abstractNumId w:val="3"/>
  </w:num>
  <w:num w:numId="92" w16cid:durableId="2002662955">
    <w:abstractNumId w:val="2"/>
  </w:num>
  <w:num w:numId="93" w16cid:durableId="1488935850">
    <w:abstractNumId w:val="1"/>
  </w:num>
  <w:num w:numId="94" w16cid:durableId="164326375">
    <w:abstractNumId w:val="0"/>
  </w:num>
  <w:num w:numId="95" w16cid:durableId="451244964">
    <w:abstractNumId w:val="4"/>
  </w:num>
  <w:num w:numId="96" w16cid:durableId="1530144483">
    <w:abstractNumId w:val="3"/>
  </w:num>
  <w:num w:numId="97" w16cid:durableId="1498418747">
    <w:abstractNumId w:val="2"/>
  </w:num>
  <w:num w:numId="98" w16cid:durableId="1118063422">
    <w:abstractNumId w:val="1"/>
  </w:num>
  <w:num w:numId="99" w16cid:durableId="1215963699">
    <w:abstractNumId w:val="0"/>
  </w:num>
  <w:num w:numId="100" w16cid:durableId="2002005239">
    <w:abstractNumId w:val="4"/>
  </w:num>
  <w:num w:numId="101" w16cid:durableId="831796479">
    <w:abstractNumId w:val="3"/>
  </w:num>
  <w:num w:numId="102" w16cid:durableId="749500977">
    <w:abstractNumId w:val="2"/>
  </w:num>
  <w:num w:numId="103" w16cid:durableId="1753354308">
    <w:abstractNumId w:val="1"/>
  </w:num>
  <w:num w:numId="104" w16cid:durableId="910389222">
    <w:abstractNumId w:val="0"/>
  </w:num>
  <w:num w:numId="105" w16cid:durableId="1252734552">
    <w:abstractNumId w:val="4"/>
  </w:num>
  <w:num w:numId="106" w16cid:durableId="2088795356">
    <w:abstractNumId w:val="3"/>
  </w:num>
  <w:num w:numId="107" w16cid:durableId="65342433">
    <w:abstractNumId w:val="2"/>
  </w:num>
  <w:num w:numId="108" w16cid:durableId="689141802">
    <w:abstractNumId w:val="1"/>
  </w:num>
  <w:num w:numId="109" w16cid:durableId="2118328396">
    <w:abstractNumId w:val="0"/>
  </w:num>
  <w:num w:numId="110" w16cid:durableId="1223639051">
    <w:abstractNumId w:val="4"/>
  </w:num>
  <w:num w:numId="111" w16cid:durableId="1664896897">
    <w:abstractNumId w:val="3"/>
  </w:num>
  <w:num w:numId="112" w16cid:durableId="2106077499">
    <w:abstractNumId w:val="2"/>
  </w:num>
  <w:num w:numId="113" w16cid:durableId="1925263063">
    <w:abstractNumId w:val="1"/>
  </w:num>
  <w:num w:numId="114" w16cid:durableId="217788304">
    <w:abstractNumId w:val="0"/>
  </w:num>
  <w:num w:numId="115" w16cid:durableId="2048142842">
    <w:abstractNumId w:val="4"/>
  </w:num>
  <w:num w:numId="116" w16cid:durableId="925655313">
    <w:abstractNumId w:val="3"/>
  </w:num>
  <w:num w:numId="117" w16cid:durableId="1327779505">
    <w:abstractNumId w:val="2"/>
  </w:num>
  <w:num w:numId="118" w16cid:durableId="1158033978">
    <w:abstractNumId w:val="1"/>
  </w:num>
  <w:num w:numId="119" w16cid:durableId="297345685">
    <w:abstractNumId w:val="0"/>
  </w:num>
  <w:num w:numId="120" w16cid:durableId="1356660833">
    <w:abstractNumId w:val="4"/>
  </w:num>
  <w:num w:numId="121" w16cid:durableId="1481917964">
    <w:abstractNumId w:val="3"/>
  </w:num>
  <w:num w:numId="122" w16cid:durableId="1141268309">
    <w:abstractNumId w:val="2"/>
  </w:num>
  <w:num w:numId="123" w16cid:durableId="1791976377">
    <w:abstractNumId w:val="1"/>
  </w:num>
  <w:num w:numId="124" w16cid:durableId="1886870171">
    <w:abstractNumId w:val="0"/>
  </w:num>
  <w:num w:numId="125" w16cid:durableId="1723284446">
    <w:abstractNumId w:val="4"/>
  </w:num>
  <w:num w:numId="126" w16cid:durableId="1128280142">
    <w:abstractNumId w:val="3"/>
  </w:num>
  <w:num w:numId="127" w16cid:durableId="1448114575">
    <w:abstractNumId w:val="2"/>
  </w:num>
  <w:num w:numId="128" w16cid:durableId="695233172">
    <w:abstractNumId w:val="1"/>
  </w:num>
  <w:num w:numId="129" w16cid:durableId="84961431">
    <w:abstractNumId w:val="0"/>
  </w:num>
  <w:num w:numId="130" w16cid:durableId="516428087">
    <w:abstractNumId w:val="4"/>
  </w:num>
  <w:num w:numId="131" w16cid:durableId="2000233754">
    <w:abstractNumId w:val="3"/>
  </w:num>
  <w:num w:numId="132" w16cid:durableId="1139417202">
    <w:abstractNumId w:val="2"/>
  </w:num>
  <w:num w:numId="133" w16cid:durableId="1473213611">
    <w:abstractNumId w:val="1"/>
  </w:num>
  <w:num w:numId="134" w16cid:durableId="570163732">
    <w:abstractNumId w:val="0"/>
  </w:num>
  <w:num w:numId="135" w16cid:durableId="4944387">
    <w:abstractNumId w:val="4"/>
  </w:num>
  <w:num w:numId="136" w16cid:durableId="586883514">
    <w:abstractNumId w:val="3"/>
  </w:num>
  <w:num w:numId="137" w16cid:durableId="1713847732">
    <w:abstractNumId w:val="2"/>
  </w:num>
  <w:num w:numId="138" w16cid:durableId="989821407">
    <w:abstractNumId w:val="1"/>
  </w:num>
  <w:num w:numId="139" w16cid:durableId="2071421890">
    <w:abstractNumId w:val="0"/>
  </w:num>
  <w:num w:numId="140" w16cid:durableId="37052525">
    <w:abstractNumId w:val="4"/>
  </w:num>
  <w:num w:numId="141" w16cid:durableId="101345732">
    <w:abstractNumId w:val="3"/>
  </w:num>
  <w:num w:numId="142" w16cid:durableId="536508045">
    <w:abstractNumId w:val="2"/>
  </w:num>
  <w:num w:numId="143" w16cid:durableId="500512067">
    <w:abstractNumId w:val="1"/>
  </w:num>
  <w:num w:numId="144" w16cid:durableId="997151480">
    <w:abstractNumId w:val="0"/>
  </w:num>
  <w:num w:numId="145" w16cid:durableId="835806125">
    <w:abstractNumId w:val="4"/>
  </w:num>
  <w:num w:numId="146" w16cid:durableId="742996569">
    <w:abstractNumId w:val="3"/>
  </w:num>
  <w:num w:numId="147" w16cid:durableId="955478602">
    <w:abstractNumId w:val="2"/>
  </w:num>
  <w:num w:numId="148" w16cid:durableId="528640124">
    <w:abstractNumId w:val="1"/>
  </w:num>
  <w:num w:numId="149" w16cid:durableId="758913610">
    <w:abstractNumId w:val="0"/>
  </w:num>
  <w:num w:numId="150" w16cid:durableId="1223903968">
    <w:abstractNumId w:val="4"/>
  </w:num>
  <w:num w:numId="151" w16cid:durableId="767625758">
    <w:abstractNumId w:val="3"/>
  </w:num>
  <w:num w:numId="152" w16cid:durableId="944191494">
    <w:abstractNumId w:val="2"/>
  </w:num>
  <w:num w:numId="153" w16cid:durableId="2046446121">
    <w:abstractNumId w:val="1"/>
  </w:num>
  <w:num w:numId="154" w16cid:durableId="1577931964">
    <w:abstractNumId w:val="0"/>
  </w:num>
  <w:num w:numId="155" w16cid:durableId="114251213">
    <w:abstractNumId w:val="4"/>
  </w:num>
  <w:num w:numId="156" w16cid:durableId="1121920475">
    <w:abstractNumId w:val="3"/>
  </w:num>
  <w:num w:numId="157" w16cid:durableId="588730134">
    <w:abstractNumId w:val="2"/>
  </w:num>
  <w:num w:numId="158" w16cid:durableId="10033377">
    <w:abstractNumId w:val="1"/>
  </w:num>
  <w:num w:numId="159" w16cid:durableId="634600494">
    <w:abstractNumId w:val="0"/>
  </w:num>
  <w:num w:numId="160" w16cid:durableId="2040231877">
    <w:abstractNumId w:val="4"/>
  </w:num>
  <w:num w:numId="161" w16cid:durableId="1076902108">
    <w:abstractNumId w:val="3"/>
  </w:num>
  <w:num w:numId="162" w16cid:durableId="265963138">
    <w:abstractNumId w:val="2"/>
  </w:num>
  <w:num w:numId="163" w16cid:durableId="214703007">
    <w:abstractNumId w:val="1"/>
  </w:num>
  <w:num w:numId="164" w16cid:durableId="1470367341">
    <w:abstractNumId w:val="0"/>
  </w:num>
  <w:num w:numId="165" w16cid:durableId="2103867278">
    <w:abstractNumId w:val="4"/>
  </w:num>
  <w:num w:numId="166" w16cid:durableId="322515245">
    <w:abstractNumId w:val="3"/>
  </w:num>
  <w:num w:numId="167" w16cid:durableId="321545068">
    <w:abstractNumId w:val="2"/>
  </w:num>
  <w:num w:numId="168" w16cid:durableId="626162182">
    <w:abstractNumId w:val="1"/>
  </w:num>
  <w:num w:numId="169" w16cid:durableId="793132243">
    <w:abstractNumId w:val="0"/>
  </w:num>
  <w:num w:numId="170" w16cid:durableId="1184516015">
    <w:abstractNumId w:val="4"/>
  </w:num>
  <w:num w:numId="171" w16cid:durableId="1467696969">
    <w:abstractNumId w:val="3"/>
  </w:num>
  <w:num w:numId="172" w16cid:durableId="523251256">
    <w:abstractNumId w:val="2"/>
  </w:num>
  <w:num w:numId="173" w16cid:durableId="1311400288">
    <w:abstractNumId w:val="1"/>
  </w:num>
  <w:num w:numId="174" w16cid:durableId="398675151">
    <w:abstractNumId w:val="0"/>
  </w:num>
  <w:num w:numId="175" w16cid:durableId="586502961">
    <w:abstractNumId w:val="4"/>
  </w:num>
  <w:num w:numId="176" w16cid:durableId="944918255">
    <w:abstractNumId w:val="3"/>
  </w:num>
  <w:num w:numId="177" w16cid:durableId="997851847">
    <w:abstractNumId w:val="2"/>
  </w:num>
  <w:num w:numId="178" w16cid:durableId="1464421293">
    <w:abstractNumId w:val="1"/>
  </w:num>
  <w:num w:numId="179" w16cid:durableId="11298129">
    <w:abstractNumId w:val="0"/>
  </w:num>
  <w:num w:numId="180" w16cid:durableId="1897163324">
    <w:abstractNumId w:val="4"/>
  </w:num>
  <w:num w:numId="181" w16cid:durableId="1025525659">
    <w:abstractNumId w:val="3"/>
  </w:num>
  <w:num w:numId="182" w16cid:durableId="1880051265">
    <w:abstractNumId w:val="2"/>
  </w:num>
  <w:num w:numId="183" w16cid:durableId="1801730597">
    <w:abstractNumId w:val="1"/>
  </w:num>
  <w:num w:numId="184" w16cid:durableId="945887649">
    <w:abstractNumId w:val="0"/>
  </w:num>
  <w:num w:numId="185" w16cid:durableId="1600945714">
    <w:abstractNumId w:val="4"/>
  </w:num>
  <w:num w:numId="186" w16cid:durableId="909774174">
    <w:abstractNumId w:val="3"/>
  </w:num>
  <w:num w:numId="187" w16cid:durableId="1811246980">
    <w:abstractNumId w:val="2"/>
  </w:num>
  <w:num w:numId="188" w16cid:durableId="1391883033">
    <w:abstractNumId w:val="1"/>
  </w:num>
  <w:num w:numId="189" w16cid:durableId="333149714">
    <w:abstractNumId w:val="0"/>
  </w:num>
  <w:num w:numId="190" w16cid:durableId="1712999955">
    <w:abstractNumId w:val="4"/>
  </w:num>
  <w:num w:numId="191" w16cid:durableId="491334178">
    <w:abstractNumId w:val="3"/>
  </w:num>
  <w:num w:numId="192" w16cid:durableId="390930414">
    <w:abstractNumId w:val="2"/>
  </w:num>
  <w:num w:numId="193" w16cid:durableId="1914313895">
    <w:abstractNumId w:val="1"/>
  </w:num>
  <w:num w:numId="194" w16cid:durableId="403063684">
    <w:abstractNumId w:val="0"/>
  </w:num>
  <w:num w:numId="195" w16cid:durableId="1238322177">
    <w:abstractNumId w:val="4"/>
  </w:num>
  <w:num w:numId="196" w16cid:durableId="1667905201">
    <w:abstractNumId w:val="3"/>
  </w:num>
  <w:num w:numId="197" w16cid:durableId="200628416">
    <w:abstractNumId w:val="2"/>
  </w:num>
  <w:num w:numId="198" w16cid:durableId="923106963">
    <w:abstractNumId w:val="1"/>
  </w:num>
  <w:num w:numId="199" w16cid:durableId="2022124516">
    <w:abstractNumId w:val="0"/>
  </w:num>
  <w:num w:numId="200" w16cid:durableId="1810515043">
    <w:abstractNumId w:val="4"/>
  </w:num>
  <w:num w:numId="201" w16cid:durableId="1602882523">
    <w:abstractNumId w:val="3"/>
  </w:num>
  <w:num w:numId="202" w16cid:durableId="971324114">
    <w:abstractNumId w:val="2"/>
  </w:num>
  <w:num w:numId="203" w16cid:durableId="72825340">
    <w:abstractNumId w:val="1"/>
  </w:num>
  <w:num w:numId="204" w16cid:durableId="1274174171">
    <w:abstractNumId w:val="0"/>
  </w:num>
  <w:num w:numId="205" w16cid:durableId="187766445">
    <w:abstractNumId w:val="4"/>
  </w:num>
  <w:num w:numId="206" w16cid:durableId="1544830431">
    <w:abstractNumId w:val="3"/>
  </w:num>
  <w:num w:numId="207" w16cid:durableId="568198228">
    <w:abstractNumId w:val="2"/>
  </w:num>
  <w:num w:numId="208" w16cid:durableId="1602487568">
    <w:abstractNumId w:val="1"/>
  </w:num>
  <w:num w:numId="209" w16cid:durableId="506017931">
    <w:abstractNumId w:val="0"/>
  </w:num>
  <w:num w:numId="210" w16cid:durableId="1546025573">
    <w:abstractNumId w:val="4"/>
  </w:num>
  <w:num w:numId="211" w16cid:durableId="290015866">
    <w:abstractNumId w:val="3"/>
  </w:num>
  <w:num w:numId="212" w16cid:durableId="848060574">
    <w:abstractNumId w:val="2"/>
  </w:num>
  <w:num w:numId="213" w16cid:durableId="15008140">
    <w:abstractNumId w:val="1"/>
  </w:num>
  <w:num w:numId="214" w16cid:durableId="890076985">
    <w:abstractNumId w:val="0"/>
  </w:num>
  <w:num w:numId="215" w16cid:durableId="1345355385">
    <w:abstractNumId w:val="4"/>
  </w:num>
  <w:num w:numId="216" w16cid:durableId="1757900984">
    <w:abstractNumId w:val="3"/>
  </w:num>
  <w:num w:numId="217" w16cid:durableId="154298959">
    <w:abstractNumId w:val="2"/>
  </w:num>
  <w:num w:numId="218" w16cid:durableId="1691953650">
    <w:abstractNumId w:val="1"/>
  </w:num>
  <w:num w:numId="219" w16cid:durableId="1710951397">
    <w:abstractNumId w:val="0"/>
  </w:num>
  <w:num w:numId="220" w16cid:durableId="1362513962">
    <w:abstractNumId w:val="4"/>
  </w:num>
  <w:num w:numId="221" w16cid:durableId="1944608312">
    <w:abstractNumId w:val="3"/>
  </w:num>
  <w:num w:numId="222" w16cid:durableId="1984113711">
    <w:abstractNumId w:val="2"/>
  </w:num>
  <w:num w:numId="223" w16cid:durableId="590701520">
    <w:abstractNumId w:val="1"/>
  </w:num>
  <w:num w:numId="224" w16cid:durableId="902522527">
    <w:abstractNumId w:val="0"/>
  </w:num>
  <w:num w:numId="225" w16cid:durableId="1794976340">
    <w:abstractNumId w:val="4"/>
  </w:num>
  <w:num w:numId="226" w16cid:durableId="1012104837">
    <w:abstractNumId w:val="3"/>
  </w:num>
  <w:num w:numId="227" w16cid:durableId="832068541">
    <w:abstractNumId w:val="2"/>
  </w:num>
  <w:num w:numId="228" w16cid:durableId="1652826021">
    <w:abstractNumId w:val="1"/>
  </w:num>
  <w:num w:numId="229" w16cid:durableId="1298222953">
    <w:abstractNumId w:val="0"/>
  </w:num>
  <w:num w:numId="230" w16cid:durableId="1633948144">
    <w:abstractNumId w:val="4"/>
  </w:num>
  <w:num w:numId="231" w16cid:durableId="1420254075">
    <w:abstractNumId w:val="3"/>
  </w:num>
  <w:num w:numId="232" w16cid:durableId="1785344686">
    <w:abstractNumId w:val="2"/>
  </w:num>
  <w:num w:numId="233" w16cid:durableId="787239078">
    <w:abstractNumId w:val="1"/>
  </w:num>
  <w:num w:numId="234" w16cid:durableId="532420301">
    <w:abstractNumId w:val="0"/>
  </w:num>
  <w:num w:numId="235" w16cid:durableId="1887327433">
    <w:abstractNumId w:val="4"/>
  </w:num>
  <w:num w:numId="236" w16cid:durableId="237447783">
    <w:abstractNumId w:val="3"/>
  </w:num>
  <w:num w:numId="237" w16cid:durableId="649090460">
    <w:abstractNumId w:val="2"/>
  </w:num>
  <w:num w:numId="238" w16cid:durableId="1159273636">
    <w:abstractNumId w:val="1"/>
  </w:num>
  <w:num w:numId="239" w16cid:durableId="347417330">
    <w:abstractNumId w:val="0"/>
  </w:num>
  <w:num w:numId="240" w16cid:durableId="1300921671">
    <w:abstractNumId w:val="4"/>
  </w:num>
  <w:num w:numId="241" w16cid:durableId="1786464991">
    <w:abstractNumId w:val="3"/>
  </w:num>
  <w:num w:numId="242" w16cid:durableId="895317131">
    <w:abstractNumId w:val="2"/>
  </w:num>
  <w:num w:numId="243" w16cid:durableId="2114662921">
    <w:abstractNumId w:val="1"/>
  </w:num>
  <w:num w:numId="244" w16cid:durableId="2120028426">
    <w:abstractNumId w:val="0"/>
  </w:num>
  <w:num w:numId="245" w16cid:durableId="1883471662">
    <w:abstractNumId w:val="4"/>
  </w:num>
  <w:num w:numId="246" w16cid:durableId="1857960140">
    <w:abstractNumId w:val="3"/>
  </w:num>
  <w:num w:numId="247" w16cid:durableId="1771394150">
    <w:abstractNumId w:val="2"/>
  </w:num>
  <w:num w:numId="248" w16cid:durableId="1376389283">
    <w:abstractNumId w:val="1"/>
  </w:num>
  <w:num w:numId="249" w16cid:durableId="343170191">
    <w:abstractNumId w:val="0"/>
  </w:num>
  <w:num w:numId="250" w16cid:durableId="606349080">
    <w:abstractNumId w:val="4"/>
  </w:num>
  <w:num w:numId="251" w16cid:durableId="1499463786">
    <w:abstractNumId w:val="3"/>
  </w:num>
  <w:num w:numId="252" w16cid:durableId="1991597643">
    <w:abstractNumId w:val="2"/>
  </w:num>
  <w:num w:numId="253" w16cid:durableId="1706178132">
    <w:abstractNumId w:val="1"/>
  </w:num>
  <w:num w:numId="254" w16cid:durableId="357589474">
    <w:abstractNumId w:val="0"/>
  </w:num>
  <w:num w:numId="255" w16cid:durableId="193546171">
    <w:abstractNumId w:val="4"/>
  </w:num>
  <w:num w:numId="256" w16cid:durableId="1133867880">
    <w:abstractNumId w:val="3"/>
  </w:num>
  <w:num w:numId="257" w16cid:durableId="74979398">
    <w:abstractNumId w:val="2"/>
  </w:num>
  <w:num w:numId="258" w16cid:durableId="1405643316">
    <w:abstractNumId w:val="1"/>
  </w:num>
  <w:num w:numId="259" w16cid:durableId="1711607334">
    <w:abstractNumId w:val="0"/>
  </w:num>
  <w:num w:numId="260" w16cid:durableId="1788892484">
    <w:abstractNumId w:val="4"/>
  </w:num>
  <w:num w:numId="261" w16cid:durableId="1938950633">
    <w:abstractNumId w:val="3"/>
  </w:num>
  <w:num w:numId="262" w16cid:durableId="996492631">
    <w:abstractNumId w:val="2"/>
  </w:num>
  <w:num w:numId="263" w16cid:durableId="685639099">
    <w:abstractNumId w:val="1"/>
  </w:num>
  <w:num w:numId="264" w16cid:durableId="1670019739">
    <w:abstractNumId w:val="0"/>
  </w:num>
  <w:num w:numId="265" w16cid:durableId="195123828">
    <w:abstractNumId w:val="4"/>
  </w:num>
  <w:num w:numId="266" w16cid:durableId="92362957">
    <w:abstractNumId w:val="3"/>
  </w:num>
  <w:num w:numId="267" w16cid:durableId="64500412">
    <w:abstractNumId w:val="2"/>
  </w:num>
  <w:num w:numId="268" w16cid:durableId="1227259389">
    <w:abstractNumId w:val="1"/>
  </w:num>
  <w:num w:numId="269" w16cid:durableId="703022800">
    <w:abstractNumId w:val="0"/>
  </w:num>
  <w:num w:numId="270" w16cid:durableId="1304432355">
    <w:abstractNumId w:val="4"/>
  </w:num>
  <w:num w:numId="271" w16cid:durableId="1335843319">
    <w:abstractNumId w:val="3"/>
  </w:num>
  <w:num w:numId="272" w16cid:durableId="397098784">
    <w:abstractNumId w:val="2"/>
  </w:num>
  <w:num w:numId="273" w16cid:durableId="1781296634">
    <w:abstractNumId w:val="1"/>
  </w:num>
  <w:num w:numId="274" w16cid:durableId="1046218353">
    <w:abstractNumId w:val="0"/>
  </w:num>
  <w:num w:numId="275" w16cid:durableId="1279801756">
    <w:abstractNumId w:val="4"/>
  </w:num>
  <w:num w:numId="276" w16cid:durableId="1237548429">
    <w:abstractNumId w:val="3"/>
  </w:num>
  <w:num w:numId="277" w16cid:durableId="444664774">
    <w:abstractNumId w:val="2"/>
  </w:num>
  <w:num w:numId="278" w16cid:durableId="218052082">
    <w:abstractNumId w:val="1"/>
  </w:num>
  <w:num w:numId="279" w16cid:durableId="1786342220">
    <w:abstractNumId w:val="0"/>
  </w:num>
  <w:num w:numId="280" w16cid:durableId="1747068485">
    <w:abstractNumId w:val="4"/>
  </w:num>
  <w:num w:numId="281" w16cid:durableId="975794444">
    <w:abstractNumId w:val="3"/>
  </w:num>
  <w:num w:numId="282" w16cid:durableId="1446997936">
    <w:abstractNumId w:val="2"/>
  </w:num>
  <w:num w:numId="283" w16cid:durableId="912591726">
    <w:abstractNumId w:val="1"/>
  </w:num>
  <w:num w:numId="284" w16cid:durableId="623004033">
    <w:abstractNumId w:val="0"/>
  </w:num>
  <w:num w:numId="285" w16cid:durableId="1263495002">
    <w:abstractNumId w:val="4"/>
  </w:num>
  <w:num w:numId="286" w16cid:durableId="938222555">
    <w:abstractNumId w:val="3"/>
  </w:num>
  <w:num w:numId="287" w16cid:durableId="712733461">
    <w:abstractNumId w:val="2"/>
  </w:num>
  <w:num w:numId="288" w16cid:durableId="687953660">
    <w:abstractNumId w:val="1"/>
  </w:num>
  <w:num w:numId="289" w16cid:durableId="1544831921">
    <w:abstractNumId w:val="0"/>
  </w:num>
  <w:num w:numId="290" w16cid:durableId="240800176">
    <w:abstractNumId w:val="4"/>
  </w:num>
  <w:num w:numId="291" w16cid:durableId="1023090105">
    <w:abstractNumId w:val="3"/>
  </w:num>
  <w:num w:numId="292" w16cid:durableId="1611817371">
    <w:abstractNumId w:val="2"/>
  </w:num>
  <w:num w:numId="293" w16cid:durableId="995374999">
    <w:abstractNumId w:val="1"/>
  </w:num>
  <w:num w:numId="294" w16cid:durableId="1713461945">
    <w:abstractNumId w:val="0"/>
  </w:num>
  <w:num w:numId="295" w16cid:durableId="12149626">
    <w:abstractNumId w:val="4"/>
  </w:num>
  <w:num w:numId="296" w16cid:durableId="1957180377">
    <w:abstractNumId w:val="3"/>
  </w:num>
  <w:num w:numId="297" w16cid:durableId="940066673">
    <w:abstractNumId w:val="2"/>
  </w:num>
  <w:num w:numId="298" w16cid:durableId="1366250428">
    <w:abstractNumId w:val="1"/>
  </w:num>
  <w:num w:numId="299" w16cid:durableId="1098256484">
    <w:abstractNumId w:val="0"/>
  </w:num>
  <w:num w:numId="300" w16cid:durableId="273488738">
    <w:abstractNumId w:val="4"/>
  </w:num>
  <w:num w:numId="301" w16cid:durableId="1136413272">
    <w:abstractNumId w:val="3"/>
  </w:num>
  <w:num w:numId="302" w16cid:durableId="1991867235">
    <w:abstractNumId w:val="2"/>
  </w:num>
  <w:num w:numId="303" w16cid:durableId="153496246">
    <w:abstractNumId w:val="1"/>
  </w:num>
  <w:num w:numId="304" w16cid:durableId="1278561038">
    <w:abstractNumId w:val="0"/>
  </w:num>
  <w:num w:numId="305" w16cid:durableId="2057268620">
    <w:abstractNumId w:val="4"/>
  </w:num>
  <w:num w:numId="306" w16cid:durableId="1654067843">
    <w:abstractNumId w:val="3"/>
  </w:num>
  <w:num w:numId="307" w16cid:durableId="609168818">
    <w:abstractNumId w:val="2"/>
  </w:num>
  <w:num w:numId="308" w16cid:durableId="1812360723">
    <w:abstractNumId w:val="1"/>
  </w:num>
  <w:num w:numId="309" w16cid:durableId="460073835">
    <w:abstractNumId w:val="0"/>
  </w:num>
  <w:num w:numId="310" w16cid:durableId="827287906">
    <w:abstractNumId w:val="4"/>
  </w:num>
  <w:num w:numId="311" w16cid:durableId="1896772019">
    <w:abstractNumId w:val="3"/>
  </w:num>
  <w:num w:numId="312" w16cid:durableId="1114666900">
    <w:abstractNumId w:val="2"/>
  </w:num>
  <w:num w:numId="313" w16cid:durableId="564410270">
    <w:abstractNumId w:val="1"/>
  </w:num>
  <w:num w:numId="314" w16cid:durableId="2008825330">
    <w:abstractNumId w:val="0"/>
  </w:num>
  <w:num w:numId="315" w16cid:durableId="682437671">
    <w:abstractNumId w:val="4"/>
  </w:num>
  <w:num w:numId="316" w16cid:durableId="425731189">
    <w:abstractNumId w:val="3"/>
  </w:num>
  <w:num w:numId="317" w16cid:durableId="891190140">
    <w:abstractNumId w:val="2"/>
  </w:num>
  <w:num w:numId="318" w16cid:durableId="2140872827">
    <w:abstractNumId w:val="1"/>
  </w:num>
  <w:num w:numId="319" w16cid:durableId="1618870911">
    <w:abstractNumId w:val="0"/>
  </w:num>
  <w:num w:numId="320" w16cid:durableId="996227288">
    <w:abstractNumId w:val="4"/>
  </w:num>
  <w:num w:numId="321" w16cid:durableId="242564774">
    <w:abstractNumId w:val="3"/>
  </w:num>
  <w:num w:numId="322" w16cid:durableId="361126388">
    <w:abstractNumId w:val="2"/>
  </w:num>
  <w:num w:numId="323" w16cid:durableId="1867137944">
    <w:abstractNumId w:val="1"/>
  </w:num>
  <w:num w:numId="324" w16cid:durableId="1932933375">
    <w:abstractNumId w:val="0"/>
  </w:num>
  <w:num w:numId="325" w16cid:durableId="1758867952">
    <w:abstractNumId w:val="4"/>
  </w:num>
  <w:num w:numId="326" w16cid:durableId="211305692">
    <w:abstractNumId w:val="3"/>
  </w:num>
  <w:num w:numId="327" w16cid:durableId="1921330219">
    <w:abstractNumId w:val="2"/>
  </w:num>
  <w:num w:numId="328" w16cid:durableId="381370805">
    <w:abstractNumId w:val="1"/>
  </w:num>
  <w:num w:numId="329" w16cid:durableId="688723332">
    <w:abstractNumId w:val="0"/>
  </w:num>
  <w:num w:numId="330" w16cid:durableId="1610311514">
    <w:abstractNumId w:val="4"/>
  </w:num>
  <w:num w:numId="331" w16cid:durableId="660154589">
    <w:abstractNumId w:val="3"/>
  </w:num>
  <w:num w:numId="332" w16cid:durableId="1419212314">
    <w:abstractNumId w:val="2"/>
  </w:num>
  <w:num w:numId="333" w16cid:durableId="887688436">
    <w:abstractNumId w:val="1"/>
  </w:num>
  <w:num w:numId="334" w16cid:durableId="495923162">
    <w:abstractNumId w:val="0"/>
  </w:num>
  <w:num w:numId="335" w16cid:durableId="1350987542">
    <w:abstractNumId w:val="4"/>
  </w:num>
  <w:num w:numId="336" w16cid:durableId="1011685352">
    <w:abstractNumId w:val="3"/>
  </w:num>
  <w:num w:numId="337" w16cid:durableId="1204295078">
    <w:abstractNumId w:val="2"/>
  </w:num>
  <w:num w:numId="338" w16cid:durableId="1215583870">
    <w:abstractNumId w:val="1"/>
  </w:num>
  <w:num w:numId="339" w16cid:durableId="1139421818">
    <w:abstractNumId w:val="0"/>
  </w:num>
  <w:num w:numId="340" w16cid:durableId="2130968898">
    <w:abstractNumId w:val="4"/>
  </w:num>
  <w:num w:numId="341" w16cid:durableId="319505834">
    <w:abstractNumId w:val="3"/>
  </w:num>
  <w:num w:numId="342" w16cid:durableId="1223519974">
    <w:abstractNumId w:val="2"/>
  </w:num>
  <w:num w:numId="343" w16cid:durableId="43601524">
    <w:abstractNumId w:val="1"/>
  </w:num>
  <w:num w:numId="344" w16cid:durableId="109470653">
    <w:abstractNumId w:val="0"/>
  </w:num>
  <w:num w:numId="345" w16cid:durableId="962426204">
    <w:abstractNumId w:val="4"/>
  </w:num>
  <w:num w:numId="346" w16cid:durableId="175578110">
    <w:abstractNumId w:val="3"/>
  </w:num>
  <w:num w:numId="347" w16cid:durableId="1816333965">
    <w:abstractNumId w:val="2"/>
  </w:num>
  <w:num w:numId="348" w16cid:durableId="1237013840">
    <w:abstractNumId w:val="1"/>
  </w:num>
  <w:num w:numId="349" w16cid:durableId="235940245">
    <w:abstractNumId w:val="0"/>
  </w:num>
  <w:num w:numId="350" w16cid:durableId="229271987">
    <w:abstractNumId w:val="4"/>
  </w:num>
  <w:num w:numId="351" w16cid:durableId="120656546">
    <w:abstractNumId w:val="3"/>
  </w:num>
  <w:num w:numId="352" w16cid:durableId="559445824">
    <w:abstractNumId w:val="2"/>
  </w:num>
  <w:num w:numId="353" w16cid:durableId="1509518058">
    <w:abstractNumId w:val="1"/>
  </w:num>
  <w:num w:numId="354" w16cid:durableId="1594700223">
    <w:abstractNumId w:val="0"/>
  </w:num>
  <w:num w:numId="355" w16cid:durableId="684209450">
    <w:abstractNumId w:val="4"/>
  </w:num>
  <w:num w:numId="356" w16cid:durableId="1099718112">
    <w:abstractNumId w:val="3"/>
  </w:num>
  <w:num w:numId="357" w16cid:durableId="1462648435">
    <w:abstractNumId w:val="2"/>
  </w:num>
  <w:num w:numId="358" w16cid:durableId="1374422540">
    <w:abstractNumId w:val="1"/>
  </w:num>
  <w:num w:numId="359" w16cid:durableId="1459571947">
    <w:abstractNumId w:val="0"/>
  </w:num>
  <w:num w:numId="360" w16cid:durableId="865562333">
    <w:abstractNumId w:val="4"/>
  </w:num>
  <w:num w:numId="361" w16cid:durableId="975649227">
    <w:abstractNumId w:val="3"/>
  </w:num>
  <w:num w:numId="362" w16cid:durableId="785196447">
    <w:abstractNumId w:val="2"/>
  </w:num>
  <w:num w:numId="363" w16cid:durableId="963119094">
    <w:abstractNumId w:val="1"/>
  </w:num>
  <w:num w:numId="364" w16cid:durableId="1583679948">
    <w:abstractNumId w:val="0"/>
  </w:num>
  <w:num w:numId="365" w16cid:durableId="1815369406">
    <w:abstractNumId w:val="4"/>
  </w:num>
  <w:num w:numId="366" w16cid:durableId="2091926685">
    <w:abstractNumId w:val="3"/>
  </w:num>
  <w:num w:numId="367" w16cid:durableId="1230769043">
    <w:abstractNumId w:val="2"/>
  </w:num>
  <w:num w:numId="368" w16cid:durableId="1691447468">
    <w:abstractNumId w:val="1"/>
  </w:num>
  <w:num w:numId="369" w16cid:durableId="995182623">
    <w:abstractNumId w:val="0"/>
  </w:num>
  <w:num w:numId="370" w16cid:durableId="727648263">
    <w:abstractNumId w:val="4"/>
  </w:num>
  <w:num w:numId="371" w16cid:durableId="1963270388">
    <w:abstractNumId w:val="3"/>
  </w:num>
  <w:num w:numId="372" w16cid:durableId="508563550">
    <w:abstractNumId w:val="2"/>
  </w:num>
  <w:num w:numId="373" w16cid:durableId="842084837">
    <w:abstractNumId w:val="1"/>
  </w:num>
  <w:num w:numId="374" w16cid:durableId="2122257065">
    <w:abstractNumId w:val="0"/>
  </w:num>
  <w:num w:numId="375" w16cid:durableId="1594051862">
    <w:abstractNumId w:val="4"/>
  </w:num>
  <w:num w:numId="376" w16cid:durableId="1278833221">
    <w:abstractNumId w:val="3"/>
  </w:num>
  <w:num w:numId="377" w16cid:durableId="474446162">
    <w:abstractNumId w:val="2"/>
  </w:num>
  <w:num w:numId="378" w16cid:durableId="2074228482">
    <w:abstractNumId w:val="1"/>
  </w:num>
  <w:num w:numId="379" w16cid:durableId="1856309422">
    <w:abstractNumId w:val="0"/>
  </w:num>
  <w:num w:numId="380" w16cid:durableId="2073775455">
    <w:abstractNumId w:val="4"/>
  </w:num>
  <w:num w:numId="381" w16cid:durableId="1966346012">
    <w:abstractNumId w:val="3"/>
  </w:num>
  <w:num w:numId="382" w16cid:durableId="195582730">
    <w:abstractNumId w:val="2"/>
  </w:num>
  <w:num w:numId="383" w16cid:durableId="1530147302">
    <w:abstractNumId w:val="1"/>
  </w:num>
  <w:num w:numId="384" w16cid:durableId="584994591">
    <w:abstractNumId w:val="0"/>
  </w:num>
  <w:num w:numId="385" w16cid:durableId="406465821">
    <w:abstractNumId w:val="4"/>
  </w:num>
  <w:num w:numId="386" w16cid:durableId="182941037">
    <w:abstractNumId w:val="3"/>
  </w:num>
  <w:num w:numId="387" w16cid:durableId="1182356537">
    <w:abstractNumId w:val="2"/>
  </w:num>
  <w:num w:numId="388" w16cid:durableId="670526838">
    <w:abstractNumId w:val="1"/>
  </w:num>
  <w:num w:numId="389" w16cid:durableId="293414994">
    <w:abstractNumId w:val="0"/>
  </w:num>
  <w:num w:numId="390" w16cid:durableId="441652040">
    <w:abstractNumId w:val="4"/>
  </w:num>
  <w:num w:numId="391" w16cid:durableId="307327080">
    <w:abstractNumId w:val="3"/>
  </w:num>
  <w:num w:numId="392" w16cid:durableId="1812941361">
    <w:abstractNumId w:val="2"/>
  </w:num>
  <w:num w:numId="393" w16cid:durableId="1896970712">
    <w:abstractNumId w:val="1"/>
  </w:num>
  <w:num w:numId="394" w16cid:durableId="683439111">
    <w:abstractNumId w:val="0"/>
  </w:num>
  <w:num w:numId="395" w16cid:durableId="395474100">
    <w:abstractNumId w:val="4"/>
  </w:num>
  <w:num w:numId="396" w16cid:durableId="2108191737">
    <w:abstractNumId w:val="3"/>
  </w:num>
  <w:num w:numId="397" w16cid:durableId="1954945398">
    <w:abstractNumId w:val="2"/>
  </w:num>
  <w:num w:numId="398" w16cid:durableId="1830250411">
    <w:abstractNumId w:val="1"/>
  </w:num>
  <w:num w:numId="399" w16cid:durableId="566695591">
    <w:abstractNumId w:val="0"/>
  </w:num>
  <w:num w:numId="400" w16cid:durableId="1187787871">
    <w:abstractNumId w:val="4"/>
  </w:num>
  <w:num w:numId="401" w16cid:durableId="131334678">
    <w:abstractNumId w:val="3"/>
  </w:num>
  <w:num w:numId="402" w16cid:durableId="213741457">
    <w:abstractNumId w:val="2"/>
  </w:num>
  <w:num w:numId="403" w16cid:durableId="231161499">
    <w:abstractNumId w:val="1"/>
  </w:num>
  <w:num w:numId="404" w16cid:durableId="220136066">
    <w:abstractNumId w:val="0"/>
  </w:num>
  <w:num w:numId="405" w16cid:durableId="1667318646">
    <w:abstractNumId w:val="4"/>
  </w:num>
  <w:num w:numId="406" w16cid:durableId="1607884552">
    <w:abstractNumId w:val="3"/>
  </w:num>
  <w:num w:numId="407" w16cid:durableId="1719626264">
    <w:abstractNumId w:val="2"/>
  </w:num>
  <w:num w:numId="408" w16cid:durableId="1400639214">
    <w:abstractNumId w:val="1"/>
  </w:num>
  <w:num w:numId="409" w16cid:durableId="619527996">
    <w:abstractNumId w:val="0"/>
  </w:num>
  <w:num w:numId="410" w16cid:durableId="652640137">
    <w:abstractNumId w:val="4"/>
  </w:num>
  <w:num w:numId="411" w16cid:durableId="1734280173">
    <w:abstractNumId w:val="3"/>
  </w:num>
  <w:num w:numId="412" w16cid:durableId="1869101507">
    <w:abstractNumId w:val="2"/>
  </w:num>
  <w:num w:numId="413" w16cid:durableId="1822694328">
    <w:abstractNumId w:val="1"/>
  </w:num>
  <w:num w:numId="414" w16cid:durableId="721563916">
    <w:abstractNumId w:val="0"/>
  </w:num>
  <w:num w:numId="415" w16cid:durableId="1910648085">
    <w:abstractNumId w:val="4"/>
  </w:num>
  <w:num w:numId="416" w16cid:durableId="434710329">
    <w:abstractNumId w:val="3"/>
  </w:num>
  <w:num w:numId="417" w16cid:durableId="1521042580">
    <w:abstractNumId w:val="2"/>
  </w:num>
  <w:num w:numId="418" w16cid:durableId="707074028">
    <w:abstractNumId w:val="1"/>
  </w:num>
  <w:num w:numId="419" w16cid:durableId="463544828">
    <w:abstractNumId w:val="0"/>
  </w:num>
  <w:num w:numId="420" w16cid:durableId="2037802797">
    <w:abstractNumId w:val="4"/>
  </w:num>
  <w:num w:numId="421" w16cid:durableId="1014461370">
    <w:abstractNumId w:val="3"/>
  </w:num>
  <w:num w:numId="422" w16cid:durableId="1912500596">
    <w:abstractNumId w:val="2"/>
  </w:num>
  <w:num w:numId="423" w16cid:durableId="685207644">
    <w:abstractNumId w:val="1"/>
  </w:num>
  <w:num w:numId="424" w16cid:durableId="490950227">
    <w:abstractNumId w:val="0"/>
  </w:num>
  <w:num w:numId="425" w16cid:durableId="444882511">
    <w:abstractNumId w:val="4"/>
  </w:num>
  <w:num w:numId="426" w16cid:durableId="365983623">
    <w:abstractNumId w:val="3"/>
  </w:num>
  <w:num w:numId="427" w16cid:durableId="1826045516">
    <w:abstractNumId w:val="2"/>
  </w:num>
  <w:num w:numId="428" w16cid:durableId="1387026288">
    <w:abstractNumId w:val="1"/>
  </w:num>
  <w:num w:numId="429" w16cid:durableId="698630855">
    <w:abstractNumId w:val="0"/>
  </w:num>
  <w:num w:numId="430" w16cid:durableId="1763068692">
    <w:abstractNumId w:val="4"/>
  </w:num>
  <w:num w:numId="431" w16cid:durableId="689643189">
    <w:abstractNumId w:val="3"/>
  </w:num>
  <w:num w:numId="432" w16cid:durableId="1797095146">
    <w:abstractNumId w:val="2"/>
  </w:num>
  <w:num w:numId="433" w16cid:durableId="646933840">
    <w:abstractNumId w:val="1"/>
  </w:num>
  <w:num w:numId="434" w16cid:durableId="1315447231">
    <w:abstractNumId w:val="0"/>
  </w:num>
  <w:num w:numId="435" w16cid:durableId="1547139728">
    <w:abstractNumId w:val="4"/>
  </w:num>
  <w:num w:numId="436" w16cid:durableId="407775667">
    <w:abstractNumId w:val="3"/>
  </w:num>
  <w:num w:numId="437" w16cid:durableId="444008372">
    <w:abstractNumId w:val="2"/>
  </w:num>
  <w:num w:numId="438" w16cid:durableId="593052636">
    <w:abstractNumId w:val="1"/>
  </w:num>
  <w:num w:numId="439" w16cid:durableId="1951929738">
    <w:abstractNumId w:val="0"/>
  </w:num>
  <w:num w:numId="440" w16cid:durableId="1862274954">
    <w:abstractNumId w:val="4"/>
  </w:num>
  <w:num w:numId="441" w16cid:durableId="116026230">
    <w:abstractNumId w:val="3"/>
  </w:num>
  <w:num w:numId="442" w16cid:durableId="355814480">
    <w:abstractNumId w:val="2"/>
  </w:num>
  <w:num w:numId="443" w16cid:durableId="943461778">
    <w:abstractNumId w:val="1"/>
  </w:num>
  <w:num w:numId="444" w16cid:durableId="118652661">
    <w:abstractNumId w:val="0"/>
  </w:num>
  <w:num w:numId="445" w16cid:durableId="16395316">
    <w:abstractNumId w:val="4"/>
  </w:num>
  <w:num w:numId="446" w16cid:durableId="424110783">
    <w:abstractNumId w:val="3"/>
  </w:num>
  <w:num w:numId="447" w16cid:durableId="1948346228">
    <w:abstractNumId w:val="2"/>
  </w:num>
  <w:num w:numId="448" w16cid:durableId="1536036546">
    <w:abstractNumId w:val="1"/>
  </w:num>
  <w:num w:numId="449" w16cid:durableId="1895045572">
    <w:abstractNumId w:val="0"/>
  </w:num>
  <w:num w:numId="450" w16cid:durableId="492725226">
    <w:abstractNumId w:val="4"/>
  </w:num>
  <w:num w:numId="451" w16cid:durableId="863834753">
    <w:abstractNumId w:val="3"/>
  </w:num>
  <w:num w:numId="452" w16cid:durableId="943653261">
    <w:abstractNumId w:val="2"/>
  </w:num>
  <w:num w:numId="453" w16cid:durableId="1599288001">
    <w:abstractNumId w:val="1"/>
  </w:num>
  <w:num w:numId="454" w16cid:durableId="1818836234">
    <w:abstractNumId w:val="0"/>
  </w:num>
  <w:num w:numId="455" w16cid:durableId="791438848">
    <w:abstractNumId w:val="4"/>
  </w:num>
  <w:num w:numId="456" w16cid:durableId="1434856822">
    <w:abstractNumId w:val="3"/>
  </w:num>
  <w:num w:numId="457" w16cid:durableId="1660033361">
    <w:abstractNumId w:val="2"/>
  </w:num>
  <w:num w:numId="458" w16cid:durableId="312563509">
    <w:abstractNumId w:val="1"/>
  </w:num>
  <w:num w:numId="459" w16cid:durableId="1182864979">
    <w:abstractNumId w:val="0"/>
  </w:num>
  <w:num w:numId="460" w16cid:durableId="2112240205">
    <w:abstractNumId w:val="4"/>
  </w:num>
  <w:num w:numId="461" w16cid:durableId="343095059">
    <w:abstractNumId w:val="3"/>
  </w:num>
  <w:num w:numId="462" w16cid:durableId="1516921004">
    <w:abstractNumId w:val="2"/>
  </w:num>
  <w:num w:numId="463" w16cid:durableId="2030325940">
    <w:abstractNumId w:val="1"/>
  </w:num>
  <w:num w:numId="464" w16cid:durableId="59014177">
    <w:abstractNumId w:val="0"/>
  </w:num>
  <w:num w:numId="465" w16cid:durableId="1838379150">
    <w:abstractNumId w:val="4"/>
  </w:num>
  <w:num w:numId="466" w16cid:durableId="1469862759">
    <w:abstractNumId w:val="3"/>
  </w:num>
  <w:num w:numId="467" w16cid:durableId="1175725358">
    <w:abstractNumId w:val="2"/>
  </w:num>
  <w:num w:numId="468" w16cid:durableId="635450415">
    <w:abstractNumId w:val="1"/>
  </w:num>
  <w:num w:numId="469" w16cid:durableId="1677881419">
    <w:abstractNumId w:val="0"/>
  </w:num>
  <w:num w:numId="470" w16cid:durableId="737746321">
    <w:abstractNumId w:val="4"/>
  </w:num>
  <w:num w:numId="471" w16cid:durableId="1827864997">
    <w:abstractNumId w:val="3"/>
  </w:num>
  <w:num w:numId="472" w16cid:durableId="1387799660">
    <w:abstractNumId w:val="2"/>
  </w:num>
  <w:num w:numId="473" w16cid:durableId="1097798490">
    <w:abstractNumId w:val="1"/>
  </w:num>
  <w:num w:numId="474" w16cid:durableId="347295444">
    <w:abstractNumId w:val="0"/>
  </w:num>
  <w:num w:numId="475" w16cid:durableId="435952889">
    <w:abstractNumId w:val="4"/>
  </w:num>
  <w:num w:numId="476" w16cid:durableId="692539498">
    <w:abstractNumId w:val="3"/>
  </w:num>
  <w:num w:numId="477" w16cid:durableId="403139507">
    <w:abstractNumId w:val="2"/>
  </w:num>
  <w:num w:numId="478" w16cid:durableId="264583833">
    <w:abstractNumId w:val="1"/>
  </w:num>
  <w:num w:numId="479" w16cid:durableId="1250578817">
    <w:abstractNumId w:val="0"/>
  </w:num>
  <w:num w:numId="480" w16cid:durableId="237444460">
    <w:abstractNumId w:val="4"/>
  </w:num>
  <w:num w:numId="481" w16cid:durableId="654535329">
    <w:abstractNumId w:val="3"/>
  </w:num>
  <w:num w:numId="482" w16cid:durableId="1264148729">
    <w:abstractNumId w:val="2"/>
  </w:num>
  <w:num w:numId="483" w16cid:durableId="1861897982">
    <w:abstractNumId w:val="1"/>
  </w:num>
  <w:num w:numId="484" w16cid:durableId="754130698">
    <w:abstractNumId w:val="0"/>
  </w:num>
  <w:num w:numId="485" w16cid:durableId="993408623">
    <w:abstractNumId w:val="4"/>
  </w:num>
  <w:num w:numId="486" w16cid:durableId="1337809946">
    <w:abstractNumId w:val="3"/>
  </w:num>
  <w:num w:numId="487" w16cid:durableId="310405072">
    <w:abstractNumId w:val="2"/>
  </w:num>
  <w:num w:numId="488" w16cid:durableId="541207210">
    <w:abstractNumId w:val="1"/>
  </w:num>
  <w:num w:numId="489" w16cid:durableId="1289162902">
    <w:abstractNumId w:val="0"/>
  </w:num>
  <w:num w:numId="490" w16cid:durableId="1448548874">
    <w:abstractNumId w:val="4"/>
  </w:num>
  <w:num w:numId="491" w16cid:durableId="1954089608">
    <w:abstractNumId w:val="3"/>
  </w:num>
  <w:num w:numId="492" w16cid:durableId="764614314">
    <w:abstractNumId w:val="2"/>
  </w:num>
  <w:num w:numId="493" w16cid:durableId="501701319">
    <w:abstractNumId w:val="1"/>
  </w:num>
  <w:num w:numId="494" w16cid:durableId="1033073143">
    <w:abstractNumId w:val="0"/>
  </w:num>
  <w:num w:numId="495" w16cid:durableId="1082144423">
    <w:abstractNumId w:val="4"/>
  </w:num>
  <w:num w:numId="496" w16cid:durableId="1213614159">
    <w:abstractNumId w:val="3"/>
  </w:num>
  <w:num w:numId="497" w16cid:durableId="1960716772">
    <w:abstractNumId w:val="2"/>
  </w:num>
  <w:num w:numId="498" w16cid:durableId="580795697">
    <w:abstractNumId w:val="1"/>
  </w:num>
  <w:num w:numId="499" w16cid:durableId="1656491495">
    <w:abstractNumId w:val="0"/>
  </w:num>
  <w:num w:numId="500" w16cid:durableId="1259682885">
    <w:abstractNumId w:val="4"/>
  </w:num>
  <w:num w:numId="501" w16cid:durableId="1456095579">
    <w:abstractNumId w:val="3"/>
  </w:num>
  <w:num w:numId="502" w16cid:durableId="112989311">
    <w:abstractNumId w:val="2"/>
  </w:num>
  <w:num w:numId="503" w16cid:durableId="1147824571">
    <w:abstractNumId w:val="1"/>
  </w:num>
  <w:num w:numId="504" w16cid:durableId="1452672081">
    <w:abstractNumId w:val="0"/>
  </w:num>
  <w:num w:numId="505" w16cid:durableId="784538703">
    <w:abstractNumId w:val="4"/>
  </w:num>
  <w:num w:numId="506" w16cid:durableId="2119253620">
    <w:abstractNumId w:val="3"/>
  </w:num>
  <w:num w:numId="507" w16cid:durableId="857741810">
    <w:abstractNumId w:val="2"/>
  </w:num>
  <w:num w:numId="508" w16cid:durableId="506015789">
    <w:abstractNumId w:val="1"/>
  </w:num>
  <w:num w:numId="509" w16cid:durableId="1445953292">
    <w:abstractNumId w:val="0"/>
  </w:num>
  <w:num w:numId="510" w16cid:durableId="2122410516">
    <w:abstractNumId w:val="4"/>
  </w:num>
  <w:num w:numId="511" w16cid:durableId="291251141">
    <w:abstractNumId w:val="3"/>
  </w:num>
  <w:num w:numId="512" w16cid:durableId="657534132">
    <w:abstractNumId w:val="2"/>
  </w:num>
  <w:num w:numId="513" w16cid:durableId="649553906">
    <w:abstractNumId w:val="1"/>
  </w:num>
  <w:num w:numId="514" w16cid:durableId="1657762473">
    <w:abstractNumId w:val="0"/>
  </w:num>
  <w:num w:numId="515" w16cid:durableId="2040425263">
    <w:abstractNumId w:val="4"/>
  </w:num>
  <w:num w:numId="516" w16cid:durableId="1002049240">
    <w:abstractNumId w:val="3"/>
  </w:num>
  <w:num w:numId="517" w16cid:durableId="1861164578">
    <w:abstractNumId w:val="2"/>
  </w:num>
  <w:num w:numId="518" w16cid:durableId="119959736">
    <w:abstractNumId w:val="1"/>
  </w:num>
  <w:num w:numId="519" w16cid:durableId="1471098156">
    <w:abstractNumId w:val="0"/>
  </w:num>
  <w:num w:numId="520" w16cid:durableId="403265359">
    <w:abstractNumId w:val="4"/>
  </w:num>
  <w:num w:numId="521" w16cid:durableId="2118673435">
    <w:abstractNumId w:val="3"/>
  </w:num>
  <w:num w:numId="522" w16cid:durableId="375739500">
    <w:abstractNumId w:val="2"/>
  </w:num>
  <w:num w:numId="523" w16cid:durableId="130248848">
    <w:abstractNumId w:val="1"/>
  </w:num>
  <w:num w:numId="524" w16cid:durableId="394938418">
    <w:abstractNumId w:val="0"/>
  </w:num>
  <w:num w:numId="525" w16cid:durableId="487286827">
    <w:abstractNumId w:val="4"/>
  </w:num>
  <w:num w:numId="526" w16cid:durableId="1402215044">
    <w:abstractNumId w:val="3"/>
  </w:num>
  <w:num w:numId="527" w16cid:durableId="1000740824">
    <w:abstractNumId w:val="2"/>
  </w:num>
  <w:num w:numId="528" w16cid:durableId="248732894">
    <w:abstractNumId w:val="1"/>
  </w:num>
  <w:num w:numId="529" w16cid:durableId="232736594">
    <w:abstractNumId w:val="0"/>
  </w:num>
  <w:num w:numId="530" w16cid:durableId="2038578413">
    <w:abstractNumId w:val="4"/>
  </w:num>
  <w:num w:numId="531" w16cid:durableId="869806313">
    <w:abstractNumId w:val="3"/>
  </w:num>
  <w:num w:numId="532" w16cid:durableId="1579822151">
    <w:abstractNumId w:val="2"/>
  </w:num>
  <w:num w:numId="533" w16cid:durableId="1245453128">
    <w:abstractNumId w:val="1"/>
  </w:num>
  <w:num w:numId="534" w16cid:durableId="2130969904">
    <w:abstractNumId w:val="0"/>
  </w:num>
  <w:num w:numId="535" w16cid:durableId="1792895091">
    <w:abstractNumId w:val="4"/>
  </w:num>
  <w:num w:numId="536" w16cid:durableId="1206481880">
    <w:abstractNumId w:val="3"/>
  </w:num>
  <w:num w:numId="537" w16cid:durableId="886647299">
    <w:abstractNumId w:val="2"/>
  </w:num>
  <w:num w:numId="538" w16cid:durableId="2131820766">
    <w:abstractNumId w:val="1"/>
  </w:num>
  <w:num w:numId="539" w16cid:durableId="2055082194">
    <w:abstractNumId w:val="0"/>
  </w:num>
  <w:num w:numId="540" w16cid:durableId="738747634">
    <w:abstractNumId w:val="4"/>
  </w:num>
  <w:num w:numId="541" w16cid:durableId="677385989">
    <w:abstractNumId w:val="3"/>
  </w:num>
  <w:num w:numId="542" w16cid:durableId="1816605749">
    <w:abstractNumId w:val="2"/>
  </w:num>
  <w:num w:numId="543" w16cid:durableId="148640841">
    <w:abstractNumId w:val="1"/>
  </w:num>
  <w:num w:numId="544" w16cid:durableId="590353132">
    <w:abstractNumId w:val="0"/>
  </w:num>
  <w:num w:numId="545" w16cid:durableId="373893979">
    <w:abstractNumId w:val="4"/>
  </w:num>
  <w:num w:numId="546" w16cid:durableId="2080441594">
    <w:abstractNumId w:val="3"/>
  </w:num>
  <w:num w:numId="547" w16cid:durableId="151991900">
    <w:abstractNumId w:val="2"/>
  </w:num>
  <w:num w:numId="548" w16cid:durableId="106975779">
    <w:abstractNumId w:val="1"/>
  </w:num>
  <w:num w:numId="549" w16cid:durableId="1411542716">
    <w:abstractNumId w:val="0"/>
  </w:num>
  <w:num w:numId="550" w16cid:durableId="546458612">
    <w:abstractNumId w:val="4"/>
  </w:num>
  <w:num w:numId="551" w16cid:durableId="1439178340">
    <w:abstractNumId w:val="3"/>
  </w:num>
  <w:num w:numId="552" w16cid:durableId="1998917150">
    <w:abstractNumId w:val="2"/>
  </w:num>
  <w:num w:numId="553" w16cid:durableId="611865014">
    <w:abstractNumId w:val="1"/>
  </w:num>
  <w:num w:numId="554" w16cid:durableId="398599566">
    <w:abstractNumId w:val="0"/>
  </w:num>
  <w:num w:numId="555" w16cid:durableId="1946577837">
    <w:abstractNumId w:val="4"/>
  </w:num>
  <w:num w:numId="556" w16cid:durableId="160781276">
    <w:abstractNumId w:val="3"/>
  </w:num>
  <w:num w:numId="557" w16cid:durableId="1019503448">
    <w:abstractNumId w:val="2"/>
  </w:num>
  <w:num w:numId="558" w16cid:durableId="1825202974">
    <w:abstractNumId w:val="1"/>
  </w:num>
  <w:num w:numId="559" w16cid:durableId="2083746240">
    <w:abstractNumId w:val="0"/>
  </w:num>
  <w:num w:numId="560" w16cid:durableId="1986009513">
    <w:abstractNumId w:val="4"/>
  </w:num>
  <w:num w:numId="561" w16cid:durableId="1838182679">
    <w:abstractNumId w:val="3"/>
  </w:num>
  <w:num w:numId="562" w16cid:durableId="1540586871">
    <w:abstractNumId w:val="2"/>
  </w:num>
  <w:num w:numId="563" w16cid:durableId="1247107744">
    <w:abstractNumId w:val="1"/>
  </w:num>
  <w:num w:numId="564" w16cid:durableId="1818836750">
    <w:abstractNumId w:val="0"/>
  </w:num>
  <w:num w:numId="565" w16cid:durableId="1985352680">
    <w:abstractNumId w:val="4"/>
  </w:num>
  <w:num w:numId="566" w16cid:durableId="888222255">
    <w:abstractNumId w:val="3"/>
  </w:num>
  <w:num w:numId="567" w16cid:durableId="1247231710">
    <w:abstractNumId w:val="2"/>
  </w:num>
  <w:num w:numId="568" w16cid:durableId="2008364713">
    <w:abstractNumId w:val="1"/>
  </w:num>
  <w:num w:numId="569" w16cid:durableId="698508725">
    <w:abstractNumId w:val="0"/>
  </w:num>
  <w:num w:numId="570" w16cid:durableId="1875917823">
    <w:abstractNumId w:val="4"/>
  </w:num>
  <w:num w:numId="571" w16cid:durableId="1426000150">
    <w:abstractNumId w:val="3"/>
  </w:num>
  <w:num w:numId="572" w16cid:durableId="2144735187">
    <w:abstractNumId w:val="2"/>
  </w:num>
  <w:num w:numId="573" w16cid:durableId="2011442281">
    <w:abstractNumId w:val="1"/>
  </w:num>
  <w:num w:numId="574" w16cid:durableId="1628198152">
    <w:abstractNumId w:val="0"/>
  </w:num>
  <w:num w:numId="575" w16cid:durableId="787771359">
    <w:abstractNumId w:val="4"/>
  </w:num>
  <w:num w:numId="576" w16cid:durableId="609163282">
    <w:abstractNumId w:val="3"/>
  </w:num>
  <w:num w:numId="577" w16cid:durableId="2145653877">
    <w:abstractNumId w:val="2"/>
  </w:num>
  <w:num w:numId="578" w16cid:durableId="452099716">
    <w:abstractNumId w:val="1"/>
  </w:num>
  <w:num w:numId="579" w16cid:durableId="688411408">
    <w:abstractNumId w:val="0"/>
  </w:num>
  <w:num w:numId="580" w16cid:durableId="593906348">
    <w:abstractNumId w:val="4"/>
  </w:num>
  <w:num w:numId="581" w16cid:durableId="1030690060">
    <w:abstractNumId w:val="3"/>
  </w:num>
  <w:num w:numId="582" w16cid:durableId="615525508">
    <w:abstractNumId w:val="2"/>
  </w:num>
  <w:num w:numId="583" w16cid:durableId="356204596">
    <w:abstractNumId w:val="1"/>
  </w:num>
  <w:num w:numId="584" w16cid:durableId="1910916339">
    <w:abstractNumId w:val="0"/>
  </w:num>
  <w:num w:numId="585" w16cid:durableId="1829708745">
    <w:abstractNumId w:val="4"/>
  </w:num>
  <w:num w:numId="586" w16cid:durableId="1480729177">
    <w:abstractNumId w:val="3"/>
  </w:num>
  <w:num w:numId="587" w16cid:durableId="1437753147">
    <w:abstractNumId w:val="2"/>
  </w:num>
  <w:num w:numId="588" w16cid:durableId="1610887559">
    <w:abstractNumId w:val="1"/>
  </w:num>
  <w:num w:numId="589" w16cid:durableId="525869120">
    <w:abstractNumId w:val="0"/>
  </w:num>
  <w:num w:numId="590" w16cid:durableId="1424645680">
    <w:abstractNumId w:val="4"/>
  </w:num>
  <w:num w:numId="591" w16cid:durableId="308242528">
    <w:abstractNumId w:val="3"/>
  </w:num>
  <w:num w:numId="592" w16cid:durableId="1295941178">
    <w:abstractNumId w:val="2"/>
  </w:num>
  <w:num w:numId="593" w16cid:durableId="1386179753">
    <w:abstractNumId w:val="1"/>
  </w:num>
  <w:num w:numId="594" w16cid:durableId="1862863506">
    <w:abstractNumId w:val="0"/>
  </w:num>
  <w:num w:numId="595" w16cid:durableId="1620523489">
    <w:abstractNumId w:val="4"/>
  </w:num>
  <w:num w:numId="596" w16cid:durableId="1735852816">
    <w:abstractNumId w:val="3"/>
  </w:num>
  <w:num w:numId="597" w16cid:durableId="87240346">
    <w:abstractNumId w:val="2"/>
  </w:num>
  <w:num w:numId="598" w16cid:durableId="1342660664">
    <w:abstractNumId w:val="1"/>
  </w:num>
  <w:num w:numId="599" w16cid:durableId="1884830993">
    <w:abstractNumId w:val="0"/>
  </w:num>
  <w:num w:numId="600" w16cid:durableId="394669599">
    <w:abstractNumId w:val="4"/>
  </w:num>
  <w:num w:numId="601" w16cid:durableId="1874684273">
    <w:abstractNumId w:val="3"/>
  </w:num>
  <w:num w:numId="602" w16cid:durableId="261454580">
    <w:abstractNumId w:val="2"/>
  </w:num>
  <w:num w:numId="603" w16cid:durableId="1028869255">
    <w:abstractNumId w:val="1"/>
  </w:num>
  <w:num w:numId="604" w16cid:durableId="582760112">
    <w:abstractNumId w:val="0"/>
  </w:num>
  <w:num w:numId="605" w16cid:durableId="2081631174">
    <w:abstractNumId w:val="4"/>
  </w:num>
  <w:num w:numId="606" w16cid:durableId="1027759036">
    <w:abstractNumId w:val="3"/>
  </w:num>
  <w:num w:numId="607" w16cid:durableId="1674720950">
    <w:abstractNumId w:val="2"/>
  </w:num>
  <w:num w:numId="608" w16cid:durableId="1255018968">
    <w:abstractNumId w:val="1"/>
  </w:num>
  <w:num w:numId="609" w16cid:durableId="722683017">
    <w:abstractNumId w:val="0"/>
  </w:num>
  <w:num w:numId="610" w16cid:durableId="788354224">
    <w:abstractNumId w:val="4"/>
  </w:num>
  <w:num w:numId="611" w16cid:durableId="79370673">
    <w:abstractNumId w:val="3"/>
  </w:num>
  <w:num w:numId="612" w16cid:durableId="220602613">
    <w:abstractNumId w:val="2"/>
  </w:num>
  <w:num w:numId="613" w16cid:durableId="1828399990">
    <w:abstractNumId w:val="1"/>
  </w:num>
  <w:num w:numId="614" w16cid:durableId="147791962">
    <w:abstractNumId w:val="0"/>
  </w:num>
  <w:num w:numId="615" w16cid:durableId="1115245455">
    <w:abstractNumId w:val="4"/>
  </w:num>
  <w:num w:numId="616" w16cid:durableId="311837049">
    <w:abstractNumId w:val="3"/>
  </w:num>
  <w:num w:numId="617" w16cid:durableId="145978592">
    <w:abstractNumId w:val="2"/>
  </w:num>
  <w:num w:numId="618" w16cid:durableId="1206060868">
    <w:abstractNumId w:val="1"/>
  </w:num>
  <w:num w:numId="619" w16cid:durableId="1499880637">
    <w:abstractNumId w:val="0"/>
  </w:num>
  <w:num w:numId="620" w16cid:durableId="1990088461">
    <w:abstractNumId w:val="4"/>
  </w:num>
  <w:num w:numId="621" w16cid:durableId="1777367875">
    <w:abstractNumId w:val="3"/>
  </w:num>
  <w:num w:numId="622" w16cid:durableId="459693808">
    <w:abstractNumId w:val="2"/>
  </w:num>
  <w:num w:numId="623" w16cid:durableId="2074231417">
    <w:abstractNumId w:val="1"/>
  </w:num>
  <w:num w:numId="624" w16cid:durableId="1839615986">
    <w:abstractNumId w:val="0"/>
  </w:num>
  <w:num w:numId="625" w16cid:durableId="1194266515">
    <w:abstractNumId w:val="4"/>
  </w:num>
  <w:num w:numId="626" w16cid:durableId="1639913025">
    <w:abstractNumId w:val="3"/>
  </w:num>
  <w:num w:numId="627" w16cid:durableId="1090540281">
    <w:abstractNumId w:val="2"/>
  </w:num>
  <w:num w:numId="628" w16cid:durableId="2025128144">
    <w:abstractNumId w:val="1"/>
  </w:num>
  <w:num w:numId="629" w16cid:durableId="1334381523">
    <w:abstractNumId w:val="0"/>
  </w:num>
  <w:num w:numId="630" w16cid:durableId="2020963914">
    <w:abstractNumId w:val="4"/>
  </w:num>
  <w:num w:numId="631" w16cid:durableId="2049645351">
    <w:abstractNumId w:val="3"/>
  </w:num>
  <w:num w:numId="632" w16cid:durableId="1551530222">
    <w:abstractNumId w:val="2"/>
  </w:num>
  <w:num w:numId="633" w16cid:durableId="2033409007">
    <w:abstractNumId w:val="1"/>
  </w:num>
  <w:num w:numId="634" w16cid:durableId="210699039">
    <w:abstractNumId w:val="0"/>
  </w:num>
  <w:num w:numId="635" w16cid:durableId="1563905398">
    <w:abstractNumId w:val="4"/>
  </w:num>
  <w:num w:numId="636" w16cid:durableId="221868149">
    <w:abstractNumId w:val="3"/>
  </w:num>
  <w:num w:numId="637" w16cid:durableId="1979918134">
    <w:abstractNumId w:val="2"/>
  </w:num>
  <w:num w:numId="638" w16cid:durableId="826282301">
    <w:abstractNumId w:val="1"/>
  </w:num>
  <w:num w:numId="639" w16cid:durableId="1577321817">
    <w:abstractNumId w:val="0"/>
  </w:num>
  <w:num w:numId="640" w16cid:durableId="1778677533">
    <w:abstractNumId w:val="4"/>
  </w:num>
  <w:num w:numId="641" w16cid:durableId="450512905">
    <w:abstractNumId w:val="3"/>
  </w:num>
  <w:num w:numId="642" w16cid:durableId="214004558">
    <w:abstractNumId w:val="2"/>
  </w:num>
  <w:num w:numId="643" w16cid:durableId="728071574">
    <w:abstractNumId w:val="1"/>
  </w:num>
  <w:num w:numId="644" w16cid:durableId="1606308360">
    <w:abstractNumId w:val="0"/>
  </w:num>
  <w:num w:numId="645" w16cid:durableId="762410616">
    <w:abstractNumId w:val="4"/>
  </w:num>
  <w:num w:numId="646" w16cid:durableId="2085174902">
    <w:abstractNumId w:val="3"/>
  </w:num>
  <w:num w:numId="647" w16cid:durableId="1530755033">
    <w:abstractNumId w:val="2"/>
  </w:num>
  <w:num w:numId="648" w16cid:durableId="1966037866">
    <w:abstractNumId w:val="1"/>
  </w:num>
  <w:num w:numId="649" w16cid:durableId="239993574">
    <w:abstractNumId w:val="0"/>
  </w:num>
  <w:num w:numId="650" w16cid:durableId="624773565">
    <w:abstractNumId w:val="4"/>
  </w:num>
  <w:num w:numId="651" w16cid:durableId="650981933">
    <w:abstractNumId w:val="3"/>
  </w:num>
  <w:num w:numId="652" w16cid:durableId="1563517860">
    <w:abstractNumId w:val="2"/>
  </w:num>
  <w:num w:numId="653" w16cid:durableId="2003770713">
    <w:abstractNumId w:val="1"/>
  </w:num>
  <w:num w:numId="654" w16cid:durableId="823936701">
    <w:abstractNumId w:val="0"/>
  </w:num>
  <w:num w:numId="655" w16cid:durableId="209342585">
    <w:abstractNumId w:val="4"/>
  </w:num>
  <w:num w:numId="656" w16cid:durableId="1626691361">
    <w:abstractNumId w:val="3"/>
  </w:num>
  <w:num w:numId="657" w16cid:durableId="248739768">
    <w:abstractNumId w:val="2"/>
  </w:num>
  <w:num w:numId="658" w16cid:durableId="2120180946">
    <w:abstractNumId w:val="1"/>
  </w:num>
  <w:num w:numId="659" w16cid:durableId="521015246">
    <w:abstractNumId w:val="0"/>
  </w:num>
  <w:num w:numId="660" w16cid:durableId="1539587829">
    <w:abstractNumId w:val="4"/>
  </w:num>
  <w:num w:numId="661" w16cid:durableId="129908004">
    <w:abstractNumId w:val="3"/>
  </w:num>
  <w:num w:numId="662" w16cid:durableId="282418967">
    <w:abstractNumId w:val="2"/>
  </w:num>
  <w:num w:numId="663" w16cid:durableId="900404666">
    <w:abstractNumId w:val="1"/>
  </w:num>
  <w:num w:numId="664" w16cid:durableId="1773086969">
    <w:abstractNumId w:val="0"/>
  </w:num>
  <w:num w:numId="665" w16cid:durableId="1597253981">
    <w:abstractNumId w:val="4"/>
  </w:num>
  <w:num w:numId="666" w16cid:durableId="1897859310">
    <w:abstractNumId w:val="3"/>
  </w:num>
  <w:num w:numId="667" w16cid:durableId="2138376761">
    <w:abstractNumId w:val="2"/>
  </w:num>
  <w:num w:numId="668" w16cid:durableId="451444114">
    <w:abstractNumId w:val="1"/>
  </w:num>
  <w:num w:numId="669" w16cid:durableId="1201673422">
    <w:abstractNumId w:val="0"/>
  </w:num>
  <w:num w:numId="670" w16cid:durableId="195972626">
    <w:abstractNumId w:val="4"/>
  </w:num>
  <w:num w:numId="671" w16cid:durableId="1500776703">
    <w:abstractNumId w:val="3"/>
  </w:num>
  <w:num w:numId="672" w16cid:durableId="427890414">
    <w:abstractNumId w:val="2"/>
  </w:num>
  <w:num w:numId="673" w16cid:durableId="500698106">
    <w:abstractNumId w:val="1"/>
  </w:num>
  <w:num w:numId="674" w16cid:durableId="464128222">
    <w:abstractNumId w:val="0"/>
  </w:num>
  <w:num w:numId="675" w16cid:durableId="1740056218">
    <w:abstractNumId w:val="4"/>
  </w:num>
  <w:num w:numId="676" w16cid:durableId="1115057676">
    <w:abstractNumId w:val="3"/>
  </w:num>
  <w:num w:numId="677" w16cid:durableId="1946380754">
    <w:abstractNumId w:val="2"/>
  </w:num>
  <w:num w:numId="678" w16cid:durableId="936402380">
    <w:abstractNumId w:val="1"/>
  </w:num>
  <w:num w:numId="679" w16cid:durableId="1854149267">
    <w:abstractNumId w:val="0"/>
  </w:num>
  <w:num w:numId="680" w16cid:durableId="1297108391">
    <w:abstractNumId w:val="4"/>
  </w:num>
  <w:num w:numId="681" w16cid:durableId="1662931536">
    <w:abstractNumId w:val="3"/>
  </w:num>
  <w:num w:numId="682" w16cid:durableId="871303409">
    <w:abstractNumId w:val="2"/>
  </w:num>
  <w:num w:numId="683" w16cid:durableId="1743871752">
    <w:abstractNumId w:val="1"/>
  </w:num>
  <w:num w:numId="684" w16cid:durableId="1347292727">
    <w:abstractNumId w:val="0"/>
  </w:num>
  <w:num w:numId="685" w16cid:durableId="641543927">
    <w:abstractNumId w:val="4"/>
  </w:num>
  <w:num w:numId="686" w16cid:durableId="1216699567">
    <w:abstractNumId w:val="3"/>
  </w:num>
  <w:num w:numId="687" w16cid:durableId="1762942995">
    <w:abstractNumId w:val="2"/>
  </w:num>
  <w:num w:numId="688" w16cid:durableId="1032808363">
    <w:abstractNumId w:val="1"/>
  </w:num>
  <w:num w:numId="689" w16cid:durableId="341053447">
    <w:abstractNumId w:val="0"/>
  </w:num>
  <w:num w:numId="690" w16cid:durableId="1147552422">
    <w:abstractNumId w:val="4"/>
  </w:num>
  <w:num w:numId="691" w16cid:durableId="2098482389">
    <w:abstractNumId w:val="3"/>
  </w:num>
  <w:num w:numId="692" w16cid:durableId="320930980">
    <w:abstractNumId w:val="2"/>
  </w:num>
  <w:num w:numId="693" w16cid:durableId="160200113">
    <w:abstractNumId w:val="1"/>
  </w:num>
  <w:num w:numId="694" w16cid:durableId="1493330168">
    <w:abstractNumId w:val="0"/>
  </w:num>
  <w:num w:numId="695" w16cid:durableId="1464467880">
    <w:abstractNumId w:val="4"/>
  </w:num>
  <w:num w:numId="696" w16cid:durableId="377824954">
    <w:abstractNumId w:val="3"/>
  </w:num>
  <w:num w:numId="697" w16cid:durableId="1108424526">
    <w:abstractNumId w:val="2"/>
  </w:num>
  <w:num w:numId="698" w16cid:durableId="1870681352">
    <w:abstractNumId w:val="1"/>
  </w:num>
  <w:num w:numId="699" w16cid:durableId="650258472">
    <w:abstractNumId w:val="0"/>
  </w:num>
  <w:num w:numId="700" w16cid:durableId="497698329">
    <w:abstractNumId w:val="4"/>
  </w:num>
  <w:num w:numId="701" w16cid:durableId="237133317">
    <w:abstractNumId w:val="3"/>
  </w:num>
  <w:num w:numId="702" w16cid:durableId="133105775">
    <w:abstractNumId w:val="2"/>
  </w:num>
  <w:num w:numId="703" w16cid:durableId="12269217">
    <w:abstractNumId w:val="1"/>
  </w:num>
  <w:num w:numId="704" w16cid:durableId="805700650">
    <w:abstractNumId w:val="0"/>
  </w:num>
  <w:num w:numId="705" w16cid:durableId="448665824">
    <w:abstractNumId w:val="4"/>
  </w:num>
  <w:num w:numId="706" w16cid:durableId="453258781">
    <w:abstractNumId w:val="3"/>
  </w:num>
  <w:num w:numId="707" w16cid:durableId="2139911616">
    <w:abstractNumId w:val="2"/>
  </w:num>
  <w:num w:numId="708" w16cid:durableId="9374185">
    <w:abstractNumId w:val="1"/>
  </w:num>
  <w:num w:numId="709" w16cid:durableId="1701517411">
    <w:abstractNumId w:val="0"/>
  </w:num>
  <w:num w:numId="710" w16cid:durableId="1114834010">
    <w:abstractNumId w:val="4"/>
  </w:num>
  <w:num w:numId="711" w16cid:durableId="1020861759">
    <w:abstractNumId w:val="3"/>
  </w:num>
  <w:num w:numId="712" w16cid:durableId="360672621">
    <w:abstractNumId w:val="2"/>
  </w:num>
  <w:num w:numId="713" w16cid:durableId="1025835476">
    <w:abstractNumId w:val="1"/>
  </w:num>
  <w:num w:numId="714" w16cid:durableId="768813242">
    <w:abstractNumId w:val="0"/>
  </w:num>
  <w:num w:numId="715" w16cid:durableId="761488993">
    <w:abstractNumId w:val="4"/>
  </w:num>
  <w:num w:numId="716" w16cid:durableId="771239592">
    <w:abstractNumId w:val="3"/>
  </w:num>
  <w:num w:numId="717" w16cid:durableId="398941566">
    <w:abstractNumId w:val="2"/>
  </w:num>
  <w:num w:numId="718" w16cid:durableId="914510680">
    <w:abstractNumId w:val="1"/>
  </w:num>
  <w:num w:numId="719" w16cid:durableId="1687903925">
    <w:abstractNumId w:val="0"/>
  </w:num>
  <w:num w:numId="720" w16cid:durableId="584337123">
    <w:abstractNumId w:val="8"/>
  </w:num>
  <w:num w:numId="721" w16cid:durableId="1624145439">
    <w:abstractNumId w:val="12"/>
  </w:num>
  <w:num w:numId="722" w16cid:durableId="1284532704">
    <w:abstractNumId w:val="5"/>
  </w:num>
  <w:num w:numId="723" w16cid:durableId="99032581">
    <w:abstractNumId w:val="11"/>
  </w:num>
  <w:num w:numId="724" w16cid:durableId="698353428">
    <w:abstractNumId w:val="14"/>
  </w:num>
  <w:num w:numId="725" w16cid:durableId="1948728409">
    <w:abstractNumId w:val="17"/>
  </w:num>
  <w:num w:numId="726" w16cid:durableId="467359136">
    <w:abstractNumId w:val="9"/>
  </w:num>
  <w:numIdMacAtCleanup w:val="7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85"/>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539"/>
    <w:rsid w:val="00000BAF"/>
    <w:rsid w:val="00012616"/>
    <w:rsid w:val="00012804"/>
    <w:rsid w:val="0001287B"/>
    <w:rsid w:val="00017722"/>
    <w:rsid w:val="0001784A"/>
    <w:rsid w:val="000222F0"/>
    <w:rsid w:val="000224AD"/>
    <w:rsid w:val="00023C3A"/>
    <w:rsid w:val="000328BF"/>
    <w:rsid w:val="000334CE"/>
    <w:rsid w:val="00034D4B"/>
    <w:rsid w:val="000364A0"/>
    <w:rsid w:val="0003785C"/>
    <w:rsid w:val="000419A5"/>
    <w:rsid w:val="00041B7D"/>
    <w:rsid w:val="00046322"/>
    <w:rsid w:val="00046A90"/>
    <w:rsid w:val="000471BA"/>
    <w:rsid w:val="000508F8"/>
    <w:rsid w:val="000512CC"/>
    <w:rsid w:val="00052342"/>
    <w:rsid w:val="0005317A"/>
    <w:rsid w:val="000545D7"/>
    <w:rsid w:val="000552D8"/>
    <w:rsid w:val="00060504"/>
    <w:rsid w:val="000619FE"/>
    <w:rsid w:val="00063423"/>
    <w:rsid w:val="000648CB"/>
    <w:rsid w:val="00064C7A"/>
    <w:rsid w:val="00064E22"/>
    <w:rsid w:val="000702B8"/>
    <w:rsid w:val="000751E1"/>
    <w:rsid w:val="00076997"/>
    <w:rsid w:val="0007779B"/>
    <w:rsid w:val="000807E3"/>
    <w:rsid w:val="0008770A"/>
    <w:rsid w:val="00090F86"/>
    <w:rsid w:val="00093D64"/>
    <w:rsid w:val="000957CE"/>
    <w:rsid w:val="000978F5"/>
    <w:rsid w:val="000B0833"/>
    <w:rsid w:val="000B12EE"/>
    <w:rsid w:val="000B20A8"/>
    <w:rsid w:val="000B2A18"/>
    <w:rsid w:val="000B34BC"/>
    <w:rsid w:val="000B79B4"/>
    <w:rsid w:val="000C1D77"/>
    <w:rsid w:val="000C2C3A"/>
    <w:rsid w:val="000C608B"/>
    <w:rsid w:val="000D3511"/>
    <w:rsid w:val="000E25CB"/>
    <w:rsid w:val="000E315F"/>
    <w:rsid w:val="000E363E"/>
    <w:rsid w:val="000E549E"/>
    <w:rsid w:val="000E623E"/>
    <w:rsid w:val="000F6DFB"/>
    <w:rsid w:val="001023E0"/>
    <w:rsid w:val="001202E9"/>
    <w:rsid w:val="00121039"/>
    <w:rsid w:val="00121EA5"/>
    <w:rsid w:val="00130B11"/>
    <w:rsid w:val="00131F56"/>
    <w:rsid w:val="00132DA1"/>
    <w:rsid w:val="001346C0"/>
    <w:rsid w:val="0013511C"/>
    <w:rsid w:val="0013577A"/>
    <w:rsid w:val="0014045E"/>
    <w:rsid w:val="00140D28"/>
    <w:rsid w:val="00143A81"/>
    <w:rsid w:val="0014489A"/>
    <w:rsid w:val="00144D8F"/>
    <w:rsid w:val="00147971"/>
    <w:rsid w:val="0015183F"/>
    <w:rsid w:val="0016019C"/>
    <w:rsid w:val="00161A2F"/>
    <w:rsid w:val="00164806"/>
    <w:rsid w:val="00172286"/>
    <w:rsid w:val="00173C03"/>
    <w:rsid w:val="0017558F"/>
    <w:rsid w:val="001803E6"/>
    <w:rsid w:val="001917E3"/>
    <w:rsid w:val="001953EA"/>
    <w:rsid w:val="001A4EA1"/>
    <w:rsid w:val="001A63CF"/>
    <w:rsid w:val="001A7199"/>
    <w:rsid w:val="001B014A"/>
    <w:rsid w:val="001B07EA"/>
    <w:rsid w:val="001B1190"/>
    <w:rsid w:val="001B12DE"/>
    <w:rsid w:val="001B15CE"/>
    <w:rsid w:val="001B2B14"/>
    <w:rsid w:val="001B3C28"/>
    <w:rsid w:val="001B3FEB"/>
    <w:rsid w:val="001B5539"/>
    <w:rsid w:val="001B6637"/>
    <w:rsid w:val="001C6396"/>
    <w:rsid w:val="001C6A57"/>
    <w:rsid w:val="001C7C59"/>
    <w:rsid w:val="001D14FF"/>
    <w:rsid w:val="001D32BA"/>
    <w:rsid w:val="001D46B4"/>
    <w:rsid w:val="001D5460"/>
    <w:rsid w:val="001D5BB5"/>
    <w:rsid w:val="001D7A1E"/>
    <w:rsid w:val="001E4818"/>
    <w:rsid w:val="001E74B6"/>
    <w:rsid w:val="001E7E76"/>
    <w:rsid w:val="00205513"/>
    <w:rsid w:val="002066C7"/>
    <w:rsid w:val="002066DD"/>
    <w:rsid w:val="00210AE4"/>
    <w:rsid w:val="00210C83"/>
    <w:rsid w:val="00213910"/>
    <w:rsid w:val="00214181"/>
    <w:rsid w:val="00223A9C"/>
    <w:rsid w:val="00226BE5"/>
    <w:rsid w:val="00234A90"/>
    <w:rsid w:val="00235B67"/>
    <w:rsid w:val="00235C91"/>
    <w:rsid w:val="00237835"/>
    <w:rsid w:val="002379EC"/>
    <w:rsid w:val="0024151F"/>
    <w:rsid w:val="00243FA7"/>
    <w:rsid w:val="00244097"/>
    <w:rsid w:val="0024678D"/>
    <w:rsid w:val="00246B93"/>
    <w:rsid w:val="002520E8"/>
    <w:rsid w:val="00252312"/>
    <w:rsid w:val="00262EF5"/>
    <w:rsid w:val="00263683"/>
    <w:rsid w:val="002661EA"/>
    <w:rsid w:val="0026785B"/>
    <w:rsid w:val="00270287"/>
    <w:rsid w:val="00273119"/>
    <w:rsid w:val="0027645A"/>
    <w:rsid w:val="00283E6D"/>
    <w:rsid w:val="002851DA"/>
    <w:rsid w:val="0028590E"/>
    <w:rsid w:val="00286727"/>
    <w:rsid w:val="0028682A"/>
    <w:rsid w:val="00291211"/>
    <w:rsid w:val="002931C5"/>
    <w:rsid w:val="00293DF5"/>
    <w:rsid w:val="00295C69"/>
    <w:rsid w:val="0029701F"/>
    <w:rsid w:val="002A0B04"/>
    <w:rsid w:val="002A1646"/>
    <w:rsid w:val="002A2C0C"/>
    <w:rsid w:val="002B1880"/>
    <w:rsid w:val="002B33B3"/>
    <w:rsid w:val="002B41A5"/>
    <w:rsid w:val="002C5DB2"/>
    <w:rsid w:val="002C6B49"/>
    <w:rsid w:val="002C71EF"/>
    <w:rsid w:val="002D0229"/>
    <w:rsid w:val="002D4415"/>
    <w:rsid w:val="002D73FE"/>
    <w:rsid w:val="002E24BD"/>
    <w:rsid w:val="002E2950"/>
    <w:rsid w:val="002E312C"/>
    <w:rsid w:val="002E4699"/>
    <w:rsid w:val="002E4FD9"/>
    <w:rsid w:val="002F13B6"/>
    <w:rsid w:val="00300CE3"/>
    <w:rsid w:val="003054A7"/>
    <w:rsid w:val="00305F72"/>
    <w:rsid w:val="00311EF8"/>
    <w:rsid w:val="003208B7"/>
    <w:rsid w:val="00322A16"/>
    <w:rsid w:val="00324ABB"/>
    <w:rsid w:val="0032512A"/>
    <w:rsid w:val="00326D7A"/>
    <w:rsid w:val="003273BC"/>
    <w:rsid w:val="0034108F"/>
    <w:rsid w:val="003415D5"/>
    <w:rsid w:val="00342F2C"/>
    <w:rsid w:val="00344F93"/>
    <w:rsid w:val="00345393"/>
    <w:rsid w:val="00346367"/>
    <w:rsid w:val="00347A41"/>
    <w:rsid w:val="00353390"/>
    <w:rsid w:val="00354072"/>
    <w:rsid w:val="00357893"/>
    <w:rsid w:val="00372D0C"/>
    <w:rsid w:val="00376BAE"/>
    <w:rsid w:val="00376F62"/>
    <w:rsid w:val="00380074"/>
    <w:rsid w:val="0038080E"/>
    <w:rsid w:val="00385C4A"/>
    <w:rsid w:val="003941DA"/>
    <w:rsid w:val="00395283"/>
    <w:rsid w:val="003A215E"/>
    <w:rsid w:val="003A27A7"/>
    <w:rsid w:val="003A4F51"/>
    <w:rsid w:val="003A5C2C"/>
    <w:rsid w:val="003A7BD2"/>
    <w:rsid w:val="003B15D6"/>
    <w:rsid w:val="003B242C"/>
    <w:rsid w:val="003B64CF"/>
    <w:rsid w:val="003B6E5B"/>
    <w:rsid w:val="003B7456"/>
    <w:rsid w:val="003C1AD4"/>
    <w:rsid w:val="003C24B1"/>
    <w:rsid w:val="003C7E4D"/>
    <w:rsid w:val="003D06A8"/>
    <w:rsid w:val="003D1391"/>
    <w:rsid w:val="003D19A2"/>
    <w:rsid w:val="003D2419"/>
    <w:rsid w:val="003D52C9"/>
    <w:rsid w:val="003D54EA"/>
    <w:rsid w:val="003D69EF"/>
    <w:rsid w:val="003D747E"/>
    <w:rsid w:val="003E5364"/>
    <w:rsid w:val="003E5849"/>
    <w:rsid w:val="003F12B8"/>
    <w:rsid w:val="003F299B"/>
    <w:rsid w:val="003F45A1"/>
    <w:rsid w:val="003F789C"/>
    <w:rsid w:val="00400CA8"/>
    <w:rsid w:val="00402FC4"/>
    <w:rsid w:val="00406346"/>
    <w:rsid w:val="00411BB0"/>
    <w:rsid w:val="00414168"/>
    <w:rsid w:val="00416A84"/>
    <w:rsid w:val="00421892"/>
    <w:rsid w:val="004266DE"/>
    <w:rsid w:val="00430BE2"/>
    <w:rsid w:val="004335F8"/>
    <w:rsid w:val="00435D57"/>
    <w:rsid w:val="004362D7"/>
    <w:rsid w:val="0043684C"/>
    <w:rsid w:val="00441F2A"/>
    <w:rsid w:val="00442A03"/>
    <w:rsid w:val="00445D8C"/>
    <w:rsid w:val="00446849"/>
    <w:rsid w:val="00460694"/>
    <w:rsid w:val="0047093D"/>
    <w:rsid w:val="004723D3"/>
    <w:rsid w:val="00474B3F"/>
    <w:rsid w:val="004766D6"/>
    <w:rsid w:val="00476C16"/>
    <w:rsid w:val="00480EC3"/>
    <w:rsid w:val="00484B81"/>
    <w:rsid w:val="004878AB"/>
    <w:rsid w:val="00487D9B"/>
    <w:rsid w:val="00490631"/>
    <w:rsid w:val="00492704"/>
    <w:rsid w:val="00494C9A"/>
    <w:rsid w:val="0049605B"/>
    <w:rsid w:val="00496876"/>
    <w:rsid w:val="004A0C12"/>
    <w:rsid w:val="004A159F"/>
    <w:rsid w:val="004A55B2"/>
    <w:rsid w:val="004A6D28"/>
    <w:rsid w:val="004A7872"/>
    <w:rsid w:val="004A7ED7"/>
    <w:rsid w:val="004B3315"/>
    <w:rsid w:val="004B3DFD"/>
    <w:rsid w:val="004B5B31"/>
    <w:rsid w:val="004C0141"/>
    <w:rsid w:val="004C05C9"/>
    <w:rsid w:val="004C1EA5"/>
    <w:rsid w:val="004C6BBA"/>
    <w:rsid w:val="004C7BBF"/>
    <w:rsid w:val="004D083B"/>
    <w:rsid w:val="004D1D9C"/>
    <w:rsid w:val="004D3B2D"/>
    <w:rsid w:val="004D675F"/>
    <w:rsid w:val="004E25BA"/>
    <w:rsid w:val="004E2A49"/>
    <w:rsid w:val="004E4247"/>
    <w:rsid w:val="004E69A2"/>
    <w:rsid w:val="004F58FC"/>
    <w:rsid w:val="00503187"/>
    <w:rsid w:val="005037FC"/>
    <w:rsid w:val="00504CCE"/>
    <w:rsid w:val="00504F73"/>
    <w:rsid w:val="00506336"/>
    <w:rsid w:val="00506609"/>
    <w:rsid w:val="00507BF6"/>
    <w:rsid w:val="00513492"/>
    <w:rsid w:val="00513EA6"/>
    <w:rsid w:val="0051473E"/>
    <w:rsid w:val="005301E4"/>
    <w:rsid w:val="00531840"/>
    <w:rsid w:val="00540E5D"/>
    <w:rsid w:val="0054147F"/>
    <w:rsid w:val="00541EB7"/>
    <w:rsid w:val="00542BF3"/>
    <w:rsid w:val="0054387F"/>
    <w:rsid w:val="00545ED9"/>
    <w:rsid w:val="00546998"/>
    <w:rsid w:val="00547509"/>
    <w:rsid w:val="0055168E"/>
    <w:rsid w:val="00553047"/>
    <w:rsid w:val="00553839"/>
    <w:rsid w:val="00555077"/>
    <w:rsid w:val="00556F27"/>
    <w:rsid w:val="005604F0"/>
    <w:rsid w:val="0056192E"/>
    <w:rsid w:val="0056216C"/>
    <w:rsid w:val="00562BB6"/>
    <w:rsid w:val="005649C9"/>
    <w:rsid w:val="0056670A"/>
    <w:rsid w:val="00567D6D"/>
    <w:rsid w:val="0057354F"/>
    <w:rsid w:val="00575C22"/>
    <w:rsid w:val="0057634C"/>
    <w:rsid w:val="00576B5D"/>
    <w:rsid w:val="00581849"/>
    <w:rsid w:val="00582952"/>
    <w:rsid w:val="00582E9D"/>
    <w:rsid w:val="00585B60"/>
    <w:rsid w:val="00592627"/>
    <w:rsid w:val="0059354B"/>
    <w:rsid w:val="005941FE"/>
    <w:rsid w:val="005977A9"/>
    <w:rsid w:val="005A15A9"/>
    <w:rsid w:val="005A3C06"/>
    <w:rsid w:val="005A582A"/>
    <w:rsid w:val="005B1A66"/>
    <w:rsid w:val="005B1E14"/>
    <w:rsid w:val="005B35B6"/>
    <w:rsid w:val="005B3A89"/>
    <w:rsid w:val="005B454E"/>
    <w:rsid w:val="005B5143"/>
    <w:rsid w:val="005C5EE1"/>
    <w:rsid w:val="005C7883"/>
    <w:rsid w:val="005D0F3C"/>
    <w:rsid w:val="005D614E"/>
    <w:rsid w:val="005D6FA7"/>
    <w:rsid w:val="005E0820"/>
    <w:rsid w:val="005E1407"/>
    <w:rsid w:val="005E27F1"/>
    <w:rsid w:val="005E35B6"/>
    <w:rsid w:val="005E4832"/>
    <w:rsid w:val="005E68EB"/>
    <w:rsid w:val="005F0317"/>
    <w:rsid w:val="005F1C6E"/>
    <w:rsid w:val="005F31BF"/>
    <w:rsid w:val="005F6833"/>
    <w:rsid w:val="005F72AE"/>
    <w:rsid w:val="006026D2"/>
    <w:rsid w:val="006038DD"/>
    <w:rsid w:val="006062AD"/>
    <w:rsid w:val="00607374"/>
    <w:rsid w:val="006114D5"/>
    <w:rsid w:val="0061244D"/>
    <w:rsid w:val="00617758"/>
    <w:rsid w:val="0062038D"/>
    <w:rsid w:val="006219CA"/>
    <w:rsid w:val="006227C0"/>
    <w:rsid w:val="0062651F"/>
    <w:rsid w:val="00632138"/>
    <w:rsid w:val="00633074"/>
    <w:rsid w:val="00636860"/>
    <w:rsid w:val="00642388"/>
    <w:rsid w:val="006429F2"/>
    <w:rsid w:val="0064322A"/>
    <w:rsid w:val="00643B25"/>
    <w:rsid w:val="00650763"/>
    <w:rsid w:val="00651048"/>
    <w:rsid w:val="00652579"/>
    <w:rsid w:val="006526A1"/>
    <w:rsid w:val="006528CF"/>
    <w:rsid w:val="006557B2"/>
    <w:rsid w:val="0066268A"/>
    <w:rsid w:val="00663DD2"/>
    <w:rsid w:val="0066642E"/>
    <w:rsid w:val="00666AD1"/>
    <w:rsid w:val="006735BF"/>
    <w:rsid w:val="0067630D"/>
    <w:rsid w:val="00676F16"/>
    <w:rsid w:val="006817E4"/>
    <w:rsid w:val="00682CD2"/>
    <w:rsid w:val="00683FEA"/>
    <w:rsid w:val="00685DE1"/>
    <w:rsid w:val="00692148"/>
    <w:rsid w:val="00693548"/>
    <w:rsid w:val="006966C5"/>
    <w:rsid w:val="0069774C"/>
    <w:rsid w:val="006A3338"/>
    <w:rsid w:val="006A3F32"/>
    <w:rsid w:val="006A656A"/>
    <w:rsid w:val="006A6B89"/>
    <w:rsid w:val="006B3061"/>
    <w:rsid w:val="006B4015"/>
    <w:rsid w:val="006C4570"/>
    <w:rsid w:val="006C5088"/>
    <w:rsid w:val="006D4F1A"/>
    <w:rsid w:val="006D6050"/>
    <w:rsid w:val="006D643E"/>
    <w:rsid w:val="006D734E"/>
    <w:rsid w:val="006D7A69"/>
    <w:rsid w:val="006E1B23"/>
    <w:rsid w:val="006E3A3C"/>
    <w:rsid w:val="006F0768"/>
    <w:rsid w:val="006F0BEB"/>
    <w:rsid w:val="006F1EB8"/>
    <w:rsid w:val="006F2F98"/>
    <w:rsid w:val="006F44EE"/>
    <w:rsid w:val="006F5451"/>
    <w:rsid w:val="006F5EED"/>
    <w:rsid w:val="006F7580"/>
    <w:rsid w:val="00706483"/>
    <w:rsid w:val="007118BE"/>
    <w:rsid w:val="00711B4D"/>
    <w:rsid w:val="00712058"/>
    <w:rsid w:val="007134A4"/>
    <w:rsid w:val="007202E2"/>
    <w:rsid w:val="00721FC6"/>
    <w:rsid w:val="007260C4"/>
    <w:rsid w:val="00730E4B"/>
    <w:rsid w:val="0073256E"/>
    <w:rsid w:val="0074032E"/>
    <w:rsid w:val="0074078B"/>
    <w:rsid w:val="007454CF"/>
    <w:rsid w:val="00750FEF"/>
    <w:rsid w:val="00755728"/>
    <w:rsid w:val="007632F4"/>
    <w:rsid w:val="00764A0E"/>
    <w:rsid w:val="00771B3D"/>
    <w:rsid w:val="007769C3"/>
    <w:rsid w:val="00776D5C"/>
    <w:rsid w:val="0078084A"/>
    <w:rsid w:val="00781476"/>
    <w:rsid w:val="007829E4"/>
    <w:rsid w:val="0078455E"/>
    <w:rsid w:val="00787DCA"/>
    <w:rsid w:val="007968C1"/>
    <w:rsid w:val="007969D9"/>
    <w:rsid w:val="007A49FC"/>
    <w:rsid w:val="007A6165"/>
    <w:rsid w:val="007A64D0"/>
    <w:rsid w:val="007A7353"/>
    <w:rsid w:val="007A7377"/>
    <w:rsid w:val="007A788F"/>
    <w:rsid w:val="007B712B"/>
    <w:rsid w:val="007B7D68"/>
    <w:rsid w:val="007C2677"/>
    <w:rsid w:val="007C3380"/>
    <w:rsid w:val="007C3C15"/>
    <w:rsid w:val="007C7437"/>
    <w:rsid w:val="007D002F"/>
    <w:rsid w:val="007D11DB"/>
    <w:rsid w:val="007D40A7"/>
    <w:rsid w:val="007D5119"/>
    <w:rsid w:val="007D5CED"/>
    <w:rsid w:val="007E32E7"/>
    <w:rsid w:val="007E7AB5"/>
    <w:rsid w:val="007F0D36"/>
    <w:rsid w:val="007F4EE7"/>
    <w:rsid w:val="007F6FF6"/>
    <w:rsid w:val="007F78C6"/>
    <w:rsid w:val="008037D7"/>
    <w:rsid w:val="00803B18"/>
    <w:rsid w:val="008115F9"/>
    <w:rsid w:val="00813AF1"/>
    <w:rsid w:val="00814B86"/>
    <w:rsid w:val="008163F3"/>
    <w:rsid w:val="0082490C"/>
    <w:rsid w:val="00826C3F"/>
    <w:rsid w:val="00832FAA"/>
    <w:rsid w:val="008346B8"/>
    <w:rsid w:val="008355A7"/>
    <w:rsid w:val="008374AE"/>
    <w:rsid w:val="008402A6"/>
    <w:rsid w:val="00841263"/>
    <w:rsid w:val="0084332B"/>
    <w:rsid w:val="00844FAF"/>
    <w:rsid w:val="00846E5F"/>
    <w:rsid w:val="00847FAF"/>
    <w:rsid w:val="008551A0"/>
    <w:rsid w:val="00855BA8"/>
    <w:rsid w:val="00857313"/>
    <w:rsid w:val="008628DD"/>
    <w:rsid w:val="008638CE"/>
    <w:rsid w:val="00872B4E"/>
    <w:rsid w:val="00874AD6"/>
    <w:rsid w:val="00874FA8"/>
    <w:rsid w:val="00875FA0"/>
    <w:rsid w:val="00882F81"/>
    <w:rsid w:val="00885717"/>
    <w:rsid w:val="00887001"/>
    <w:rsid w:val="00892E2F"/>
    <w:rsid w:val="008A23B8"/>
    <w:rsid w:val="008A2612"/>
    <w:rsid w:val="008A6201"/>
    <w:rsid w:val="008A6A6D"/>
    <w:rsid w:val="008B0DA6"/>
    <w:rsid w:val="008B2908"/>
    <w:rsid w:val="008B6D01"/>
    <w:rsid w:val="008B7814"/>
    <w:rsid w:val="008B7F22"/>
    <w:rsid w:val="008C0BD0"/>
    <w:rsid w:val="008C29F3"/>
    <w:rsid w:val="008D07A5"/>
    <w:rsid w:val="008D64A8"/>
    <w:rsid w:val="008D6D2C"/>
    <w:rsid w:val="008E0C05"/>
    <w:rsid w:val="008E382F"/>
    <w:rsid w:val="008E3DBF"/>
    <w:rsid w:val="009011C2"/>
    <w:rsid w:val="00901E89"/>
    <w:rsid w:val="00902D74"/>
    <w:rsid w:val="009030AD"/>
    <w:rsid w:val="00913ADA"/>
    <w:rsid w:val="00914D6C"/>
    <w:rsid w:val="00922672"/>
    <w:rsid w:val="00926CF3"/>
    <w:rsid w:val="009303A4"/>
    <w:rsid w:val="00930C8A"/>
    <w:rsid w:val="009314F2"/>
    <w:rsid w:val="00931C8E"/>
    <w:rsid w:val="00932613"/>
    <w:rsid w:val="00936417"/>
    <w:rsid w:val="00937040"/>
    <w:rsid w:val="009463A2"/>
    <w:rsid w:val="00946410"/>
    <w:rsid w:val="00952D10"/>
    <w:rsid w:val="00962748"/>
    <w:rsid w:val="00964001"/>
    <w:rsid w:val="0096594B"/>
    <w:rsid w:val="00966261"/>
    <w:rsid w:val="0096697E"/>
    <w:rsid w:val="00966FCA"/>
    <w:rsid w:val="00967FD4"/>
    <w:rsid w:val="009752BD"/>
    <w:rsid w:val="00976B1D"/>
    <w:rsid w:val="00987562"/>
    <w:rsid w:val="00987A07"/>
    <w:rsid w:val="00992181"/>
    <w:rsid w:val="009A1608"/>
    <w:rsid w:val="009A49B9"/>
    <w:rsid w:val="009A6253"/>
    <w:rsid w:val="009B0154"/>
    <w:rsid w:val="009B3074"/>
    <w:rsid w:val="009B3D87"/>
    <w:rsid w:val="009B692E"/>
    <w:rsid w:val="009B6B64"/>
    <w:rsid w:val="009C08D2"/>
    <w:rsid w:val="009C1921"/>
    <w:rsid w:val="009C1D76"/>
    <w:rsid w:val="009C3895"/>
    <w:rsid w:val="009D11A1"/>
    <w:rsid w:val="009D3B14"/>
    <w:rsid w:val="009D4096"/>
    <w:rsid w:val="009E14BD"/>
    <w:rsid w:val="009E20D9"/>
    <w:rsid w:val="009E25A8"/>
    <w:rsid w:val="009E399B"/>
    <w:rsid w:val="009E67A5"/>
    <w:rsid w:val="009E6FFC"/>
    <w:rsid w:val="009F26F6"/>
    <w:rsid w:val="009F30DE"/>
    <w:rsid w:val="009F61EC"/>
    <w:rsid w:val="009F744E"/>
    <w:rsid w:val="00A00366"/>
    <w:rsid w:val="00A0503A"/>
    <w:rsid w:val="00A052FF"/>
    <w:rsid w:val="00A06BF6"/>
    <w:rsid w:val="00A10750"/>
    <w:rsid w:val="00A1238C"/>
    <w:rsid w:val="00A126DC"/>
    <w:rsid w:val="00A21F25"/>
    <w:rsid w:val="00A2531F"/>
    <w:rsid w:val="00A26F20"/>
    <w:rsid w:val="00A27C1D"/>
    <w:rsid w:val="00A31096"/>
    <w:rsid w:val="00A3239A"/>
    <w:rsid w:val="00A323F0"/>
    <w:rsid w:val="00A3356A"/>
    <w:rsid w:val="00A34295"/>
    <w:rsid w:val="00A35248"/>
    <w:rsid w:val="00A35B1A"/>
    <w:rsid w:val="00A37A3B"/>
    <w:rsid w:val="00A4488C"/>
    <w:rsid w:val="00A461B3"/>
    <w:rsid w:val="00A50B3E"/>
    <w:rsid w:val="00A51720"/>
    <w:rsid w:val="00A52B64"/>
    <w:rsid w:val="00A52CB3"/>
    <w:rsid w:val="00A54F9F"/>
    <w:rsid w:val="00A60929"/>
    <w:rsid w:val="00A60B27"/>
    <w:rsid w:val="00A6115D"/>
    <w:rsid w:val="00A61A1D"/>
    <w:rsid w:val="00A633CC"/>
    <w:rsid w:val="00A63845"/>
    <w:rsid w:val="00A66C7E"/>
    <w:rsid w:val="00A67AE6"/>
    <w:rsid w:val="00A72624"/>
    <w:rsid w:val="00A72764"/>
    <w:rsid w:val="00A82352"/>
    <w:rsid w:val="00A862BB"/>
    <w:rsid w:val="00A86A0B"/>
    <w:rsid w:val="00A86A15"/>
    <w:rsid w:val="00A940BE"/>
    <w:rsid w:val="00A97138"/>
    <w:rsid w:val="00A974BA"/>
    <w:rsid w:val="00AA07BC"/>
    <w:rsid w:val="00AA0A21"/>
    <w:rsid w:val="00AA1DF0"/>
    <w:rsid w:val="00AA24F9"/>
    <w:rsid w:val="00AA444E"/>
    <w:rsid w:val="00AA50AA"/>
    <w:rsid w:val="00AA5306"/>
    <w:rsid w:val="00AB0027"/>
    <w:rsid w:val="00AB051D"/>
    <w:rsid w:val="00AB280A"/>
    <w:rsid w:val="00AC30BB"/>
    <w:rsid w:val="00AC3F66"/>
    <w:rsid w:val="00AC60B9"/>
    <w:rsid w:val="00AD187F"/>
    <w:rsid w:val="00AF3DCB"/>
    <w:rsid w:val="00AF3F17"/>
    <w:rsid w:val="00AF7F12"/>
    <w:rsid w:val="00B01A0B"/>
    <w:rsid w:val="00B04E9D"/>
    <w:rsid w:val="00B114C1"/>
    <w:rsid w:val="00B13264"/>
    <w:rsid w:val="00B1367E"/>
    <w:rsid w:val="00B14169"/>
    <w:rsid w:val="00B17585"/>
    <w:rsid w:val="00B24264"/>
    <w:rsid w:val="00B3074D"/>
    <w:rsid w:val="00B3208A"/>
    <w:rsid w:val="00B34528"/>
    <w:rsid w:val="00B35F2E"/>
    <w:rsid w:val="00B378A9"/>
    <w:rsid w:val="00B41F69"/>
    <w:rsid w:val="00B44A90"/>
    <w:rsid w:val="00B50385"/>
    <w:rsid w:val="00B54DC4"/>
    <w:rsid w:val="00B626BA"/>
    <w:rsid w:val="00B6396A"/>
    <w:rsid w:val="00B6476C"/>
    <w:rsid w:val="00B665D9"/>
    <w:rsid w:val="00B66B5D"/>
    <w:rsid w:val="00B67387"/>
    <w:rsid w:val="00B70575"/>
    <w:rsid w:val="00B74E21"/>
    <w:rsid w:val="00B80676"/>
    <w:rsid w:val="00B809DC"/>
    <w:rsid w:val="00B81C81"/>
    <w:rsid w:val="00B83062"/>
    <w:rsid w:val="00B85B00"/>
    <w:rsid w:val="00B922FD"/>
    <w:rsid w:val="00B95F39"/>
    <w:rsid w:val="00BA0DBF"/>
    <w:rsid w:val="00BA2A32"/>
    <w:rsid w:val="00BA5115"/>
    <w:rsid w:val="00BA59D0"/>
    <w:rsid w:val="00BA5B5C"/>
    <w:rsid w:val="00BB0EEA"/>
    <w:rsid w:val="00BB482B"/>
    <w:rsid w:val="00BB59CD"/>
    <w:rsid w:val="00BB7D7D"/>
    <w:rsid w:val="00BC015D"/>
    <w:rsid w:val="00BC0C20"/>
    <w:rsid w:val="00BC1F87"/>
    <w:rsid w:val="00BD0D41"/>
    <w:rsid w:val="00BD2533"/>
    <w:rsid w:val="00BD3F35"/>
    <w:rsid w:val="00BE0D40"/>
    <w:rsid w:val="00BE5C5B"/>
    <w:rsid w:val="00BE7B1D"/>
    <w:rsid w:val="00BF6760"/>
    <w:rsid w:val="00BF6BE9"/>
    <w:rsid w:val="00C001DF"/>
    <w:rsid w:val="00C02282"/>
    <w:rsid w:val="00C1135C"/>
    <w:rsid w:val="00C13952"/>
    <w:rsid w:val="00C1558D"/>
    <w:rsid w:val="00C15A21"/>
    <w:rsid w:val="00C16044"/>
    <w:rsid w:val="00C22FA9"/>
    <w:rsid w:val="00C2563D"/>
    <w:rsid w:val="00C2705E"/>
    <w:rsid w:val="00C30B77"/>
    <w:rsid w:val="00C3774E"/>
    <w:rsid w:val="00C4216F"/>
    <w:rsid w:val="00C4384F"/>
    <w:rsid w:val="00C4453C"/>
    <w:rsid w:val="00C50D23"/>
    <w:rsid w:val="00C5275D"/>
    <w:rsid w:val="00C52CCC"/>
    <w:rsid w:val="00C6197C"/>
    <w:rsid w:val="00C62695"/>
    <w:rsid w:val="00C63768"/>
    <w:rsid w:val="00C6589F"/>
    <w:rsid w:val="00C6675C"/>
    <w:rsid w:val="00C66C28"/>
    <w:rsid w:val="00C70F28"/>
    <w:rsid w:val="00C713FF"/>
    <w:rsid w:val="00C72405"/>
    <w:rsid w:val="00C72C32"/>
    <w:rsid w:val="00C74134"/>
    <w:rsid w:val="00C76B49"/>
    <w:rsid w:val="00C84D75"/>
    <w:rsid w:val="00C84EA3"/>
    <w:rsid w:val="00C901C2"/>
    <w:rsid w:val="00C9120F"/>
    <w:rsid w:val="00C92953"/>
    <w:rsid w:val="00C93146"/>
    <w:rsid w:val="00C947AA"/>
    <w:rsid w:val="00C95DB4"/>
    <w:rsid w:val="00CA72B0"/>
    <w:rsid w:val="00CB1DA8"/>
    <w:rsid w:val="00CB46BC"/>
    <w:rsid w:val="00CB7945"/>
    <w:rsid w:val="00CC0916"/>
    <w:rsid w:val="00CC0C1D"/>
    <w:rsid w:val="00CC6423"/>
    <w:rsid w:val="00CC7EC8"/>
    <w:rsid w:val="00CD0893"/>
    <w:rsid w:val="00CD5595"/>
    <w:rsid w:val="00CE06ED"/>
    <w:rsid w:val="00CE2900"/>
    <w:rsid w:val="00CE6C50"/>
    <w:rsid w:val="00CF1941"/>
    <w:rsid w:val="00CF4999"/>
    <w:rsid w:val="00CF7E88"/>
    <w:rsid w:val="00D03F84"/>
    <w:rsid w:val="00D04553"/>
    <w:rsid w:val="00D131E7"/>
    <w:rsid w:val="00D22F49"/>
    <w:rsid w:val="00D23752"/>
    <w:rsid w:val="00D31A1A"/>
    <w:rsid w:val="00D32C21"/>
    <w:rsid w:val="00D37C7D"/>
    <w:rsid w:val="00D51B6F"/>
    <w:rsid w:val="00D52488"/>
    <w:rsid w:val="00D621A7"/>
    <w:rsid w:val="00D63FDF"/>
    <w:rsid w:val="00D64159"/>
    <w:rsid w:val="00D72C7D"/>
    <w:rsid w:val="00D749EB"/>
    <w:rsid w:val="00D753AC"/>
    <w:rsid w:val="00D80F32"/>
    <w:rsid w:val="00D84266"/>
    <w:rsid w:val="00D8474D"/>
    <w:rsid w:val="00D924AD"/>
    <w:rsid w:val="00D96164"/>
    <w:rsid w:val="00D961B6"/>
    <w:rsid w:val="00DA01C2"/>
    <w:rsid w:val="00DA15A0"/>
    <w:rsid w:val="00DA366E"/>
    <w:rsid w:val="00DA4C6A"/>
    <w:rsid w:val="00DA50DC"/>
    <w:rsid w:val="00DA76C9"/>
    <w:rsid w:val="00DB3E32"/>
    <w:rsid w:val="00DB4795"/>
    <w:rsid w:val="00DB512A"/>
    <w:rsid w:val="00DC0DFF"/>
    <w:rsid w:val="00DC3686"/>
    <w:rsid w:val="00DC3FE8"/>
    <w:rsid w:val="00DC4289"/>
    <w:rsid w:val="00DC49E2"/>
    <w:rsid w:val="00DD2AAD"/>
    <w:rsid w:val="00DD3F9A"/>
    <w:rsid w:val="00DE1AA0"/>
    <w:rsid w:val="00DE5803"/>
    <w:rsid w:val="00DE6DCD"/>
    <w:rsid w:val="00DE7C44"/>
    <w:rsid w:val="00DF1BBF"/>
    <w:rsid w:val="00DF236A"/>
    <w:rsid w:val="00DF673B"/>
    <w:rsid w:val="00DF70E0"/>
    <w:rsid w:val="00DF7A83"/>
    <w:rsid w:val="00E06E76"/>
    <w:rsid w:val="00E100CA"/>
    <w:rsid w:val="00E10987"/>
    <w:rsid w:val="00E11AD5"/>
    <w:rsid w:val="00E12291"/>
    <w:rsid w:val="00E12B09"/>
    <w:rsid w:val="00E130A7"/>
    <w:rsid w:val="00E1718B"/>
    <w:rsid w:val="00E20298"/>
    <w:rsid w:val="00E20A44"/>
    <w:rsid w:val="00E211F8"/>
    <w:rsid w:val="00E215BB"/>
    <w:rsid w:val="00E24A22"/>
    <w:rsid w:val="00E24F4C"/>
    <w:rsid w:val="00E277C9"/>
    <w:rsid w:val="00E27DB9"/>
    <w:rsid w:val="00E3358B"/>
    <w:rsid w:val="00E358DE"/>
    <w:rsid w:val="00E35913"/>
    <w:rsid w:val="00E35F29"/>
    <w:rsid w:val="00E420A6"/>
    <w:rsid w:val="00E45720"/>
    <w:rsid w:val="00E45D80"/>
    <w:rsid w:val="00E52EEC"/>
    <w:rsid w:val="00E55683"/>
    <w:rsid w:val="00E62202"/>
    <w:rsid w:val="00E63EB0"/>
    <w:rsid w:val="00E643AF"/>
    <w:rsid w:val="00E66DA4"/>
    <w:rsid w:val="00E66FE7"/>
    <w:rsid w:val="00E8022B"/>
    <w:rsid w:val="00E804B2"/>
    <w:rsid w:val="00E804F8"/>
    <w:rsid w:val="00E80E81"/>
    <w:rsid w:val="00E82641"/>
    <w:rsid w:val="00E8286B"/>
    <w:rsid w:val="00E857EF"/>
    <w:rsid w:val="00E94389"/>
    <w:rsid w:val="00E96A11"/>
    <w:rsid w:val="00EA0B1E"/>
    <w:rsid w:val="00EA1044"/>
    <w:rsid w:val="00EA1B2C"/>
    <w:rsid w:val="00EA2C68"/>
    <w:rsid w:val="00EA4738"/>
    <w:rsid w:val="00EA6B24"/>
    <w:rsid w:val="00EB21DB"/>
    <w:rsid w:val="00EC044C"/>
    <w:rsid w:val="00EC2246"/>
    <w:rsid w:val="00ED1C8F"/>
    <w:rsid w:val="00ED3A0F"/>
    <w:rsid w:val="00ED4588"/>
    <w:rsid w:val="00EE541B"/>
    <w:rsid w:val="00EF1FE6"/>
    <w:rsid w:val="00EF346E"/>
    <w:rsid w:val="00EF4777"/>
    <w:rsid w:val="00EF7BF2"/>
    <w:rsid w:val="00F00395"/>
    <w:rsid w:val="00F022A9"/>
    <w:rsid w:val="00F041E5"/>
    <w:rsid w:val="00F0728E"/>
    <w:rsid w:val="00F07919"/>
    <w:rsid w:val="00F1395C"/>
    <w:rsid w:val="00F157A6"/>
    <w:rsid w:val="00F16C16"/>
    <w:rsid w:val="00F20B9F"/>
    <w:rsid w:val="00F227ED"/>
    <w:rsid w:val="00F24C0C"/>
    <w:rsid w:val="00F251D6"/>
    <w:rsid w:val="00F30907"/>
    <w:rsid w:val="00F319CD"/>
    <w:rsid w:val="00F33FDB"/>
    <w:rsid w:val="00F35E92"/>
    <w:rsid w:val="00F43662"/>
    <w:rsid w:val="00F4557A"/>
    <w:rsid w:val="00F465F5"/>
    <w:rsid w:val="00F46C74"/>
    <w:rsid w:val="00F514E2"/>
    <w:rsid w:val="00F5214A"/>
    <w:rsid w:val="00F52515"/>
    <w:rsid w:val="00F5315A"/>
    <w:rsid w:val="00F538A5"/>
    <w:rsid w:val="00F56873"/>
    <w:rsid w:val="00F571A6"/>
    <w:rsid w:val="00F623DF"/>
    <w:rsid w:val="00F63BC9"/>
    <w:rsid w:val="00F65ECF"/>
    <w:rsid w:val="00F70D71"/>
    <w:rsid w:val="00F733A9"/>
    <w:rsid w:val="00F73EBE"/>
    <w:rsid w:val="00F74FA5"/>
    <w:rsid w:val="00F75563"/>
    <w:rsid w:val="00F75836"/>
    <w:rsid w:val="00F846A8"/>
    <w:rsid w:val="00F8558D"/>
    <w:rsid w:val="00F92D54"/>
    <w:rsid w:val="00FA1DBE"/>
    <w:rsid w:val="00FA316F"/>
    <w:rsid w:val="00FA4323"/>
    <w:rsid w:val="00FA6ED6"/>
    <w:rsid w:val="00FB000C"/>
    <w:rsid w:val="00FB49CB"/>
    <w:rsid w:val="00FD3588"/>
    <w:rsid w:val="00FD6272"/>
    <w:rsid w:val="00FD755E"/>
    <w:rsid w:val="00FE5F0C"/>
    <w:rsid w:val="00FE61C1"/>
    <w:rsid w:val="00FE62B1"/>
    <w:rsid w:val="00FE6962"/>
    <w:rsid w:val="00FE7BD1"/>
    <w:rsid w:val="00FF37DA"/>
    <w:rsid w:val="00FF5878"/>
    <w:rsid w:val="00FF59AA"/>
    <w:rsid w:val="00FF698F"/>
    <w:rsid w:val="00FF6FA8"/>
    <w:rsid w:val="00FF7A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9D23C"/>
  <w15:chartTrackingRefBased/>
  <w15:docId w15:val="{F8D268A0-B633-404C-A306-2AFBB48F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07"/>
    <w:pPr>
      <w:spacing w:before="120" w:after="120" w:line="264" w:lineRule="auto"/>
    </w:pPr>
    <w:rPr>
      <w:rFonts w:ascii="Arial" w:hAnsi="Arial"/>
      <w:sz w:val="20"/>
    </w:rPr>
  </w:style>
  <w:style w:type="paragraph" w:styleId="Heading1">
    <w:name w:val="heading 1"/>
    <w:basedOn w:val="Nessunostileparagrafo"/>
    <w:next w:val="Normal"/>
    <w:link w:val="Heading1Char"/>
    <w:uiPriority w:val="9"/>
    <w:rsid w:val="00885717"/>
    <w:pPr>
      <w:numPr>
        <w:numId w:val="6"/>
      </w:numPr>
      <w:tabs>
        <w:tab w:val="left" w:pos="567"/>
      </w:tabs>
      <w:suppressAutoHyphens/>
      <w:spacing w:after="1814" w:line="240" w:lineRule="auto"/>
      <w:outlineLvl w:val="0"/>
    </w:pPr>
    <w:rPr>
      <w:rFonts w:ascii="Hind" w:hAnsi="Hind" w:cs="Hind SemiBold"/>
      <w:b/>
      <w:bCs/>
      <w:color w:val="auto"/>
      <w:sz w:val="96"/>
      <w:szCs w:val="74"/>
    </w:rPr>
  </w:style>
  <w:style w:type="paragraph" w:styleId="Heading2">
    <w:name w:val="heading 2"/>
    <w:basedOn w:val="Paragrafobase"/>
    <w:next w:val="Normal"/>
    <w:link w:val="Heading2Char"/>
    <w:uiPriority w:val="9"/>
    <w:unhideWhenUsed/>
    <w:rsid w:val="00D32C21"/>
    <w:pPr>
      <w:spacing w:before="57" w:after="170"/>
      <w:outlineLvl w:val="1"/>
    </w:pPr>
    <w:rPr>
      <w:rFonts w:ascii="Hind" w:hAnsi="Hind" w:cs="Hind"/>
      <w:b/>
      <w:bCs/>
      <w:sz w:val="36"/>
      <w:szCs w:val="36"/>
      <w:lang w:val="en-US"/>
    </w:rPr>
  </w:style>
  <w:style w:type="paragraph" w:styleId="Heading3">
    <w:name w:val="heading 3"/>
    <w:basedOn w:val="Normal"/>
    <w:next w:val="Normal"/>
    <w:link w:val="Heading3Char"/>
    <w:uiPriority w:val="9"/>
    <w:unhideWhenUsed/>
    <w:qFormat/>
    <w:rsid w:val="00DC3FE8"/>
    <w:pPr>
      <w:keepNext/>
      <w:keepLines/>
      <w:pBdr>
        <w:top w:val="single" w:sz="2" w:space="4" w:color="FFCD00"/>
        <w:left w:val="single" w:sz="2" w:space="4" w:color="FFCD00"/>
        <w:bottom w:val="single" w:sz="2" w:space="4" w:color="FFCD00"/>
        <w:right w:val="single" w:sz="2" w:space="4" w:color="FFCD00"/>
      </w:pBdr>
      <w:shd w:val="clear" w:color="auto" w:fill="F9D03C"/>
      <w:tabs>
        <w:tab w:val="left" w:pos="397"/>
      </w:tabs>
      <w:suppressAutoHyphens/>
      <w:autoSpaceDE w:val="0"/>
      <w:autoSpaceDN w:val="0"/>
      <w:adjustRightInd w:val="0"/>
      <w:spacing w:before="360" w:after="160" w:line="240" w:lineRule="auto"/>
      <w:ind w:left="96" w:right="96"/>
      <w:textAlignment w:val="center"/>
      <w:outlineLvl w:val="2"/>
    </w:pPr>
    <w:rPr>
      <w:rFonts w:cs="Hind SemiBold"/>
      <w:b/>
      <w:bCs/>
      <w:kern w:val="0"/>
      <w:position w:val="8"/>
      <w:sz w:val="28"/>
      <w:lang w:val="en-GB"/>
    </w:rPr>
  </w:style>
  <w:style w:type="paragraph" w:styleId="Heading4">
    <w:name w:val="heading 4"/>
    <w:basedOn w:val="Normal"/>
    <w:next w:val="Normal"/>
    <w:link w:val="Heading4Char"/>
    <w:uiPriority w:val="9"/>
    <w:unhideWhenUsed/>
    <w:qFormat/>
    <w:rsid w:val="0084332B"/>
    <w:pPr>
      <w:keepLines/>
      <w:tabs>
        <w:tab w:val="left" w:pos="397"/>
      </w:tabs>
      <w:suppressAutoHyphens/>
      <w:autoSpaceDE w:val="0"/>
      <w:autoSpaceDN w:val="0"/>
      <w:adjustRightInd w:val="0"/>
      <w:spacing w:before="360" w:line="240" w:lineRule="atLeast"/>
      <w:textAlignment w:val="center"/>
      <w:outlineLvl w:val="3"/>
    </w:pPr>
    <w:rPr>
      <w:rFonts w:cs="Hind SemiBold"/>
      <w:b/>
      <w:bCs/>
      <w:color w:val="000000"/>
      <w:spacing w:val="-1"/>
      <w:kern w:val="0"/>
      <w:position w:val="8"/>
      <w:sz w:val="24"/>
      <w:szCs w:val="20"/>
      <w:lang w:val="en-GB"/>
    </w:rPr>
  </w:style>
  <w:style w:type="paragraph" w:styleId="Heading5">
    <w:name w:val="heading 5"/>
    <w:basedOn w:val="Heading4"/>
    <w:next w:val="Normal"/>
    <w:link w:val="Heading5Char"/>
    <w:uiPriority w:val="9"/>
    <w:unhideWhenUsed/>
    <w:qFormat/>
    <w:rsid w:val="0084332B"/>
    <w:pPr>
      <w:tabs>
        <w:tab w:val="clear" w:pos="397"/>
      </w:tabs>
      <w:spacing w:before="240"/>
      <w:outlineLvl w:val="4"/>
    </w:pPr>
    <w:rPr>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4332B"/>
    <w:rPr>
      <w:rFonts w:ascii="Arial" w:hAnsi="Arial" w:cs="Hind SemiBold"/>
      <w:b/>
      <w:bCs/>
      <w:spacing w:val="-1"/>
      <w:kern w:val="0"/>
      <w:position w:val="8"/>
      <w:sz w:val="20"/>
      <w:szCs w:val="20"/>
      <w:lang w:val="en-GB"/>
    </w:rPr>
  </w:style>
  <w:style w:type="paragraph" w:customStyle="1" w:styleId="CopyrightHeadingCopyrightPage">
    <w:name w:val="Copyright Heading (Copyright Page)"/>
    <w:basedOn w:val="Normal"/>
    <w:uiPriority w:val="99"/>
    <w:rsid w:val="00C95DB4"/>
    <w:pPr>
      <w:suppressAutoHyphens/>
      <w:autoSpaceDE w:val="0"/>
      <w:autoSpaceDN w:val="0"/>
      <w:adjustRightInd w:val="0"/>
      <w:spacing w:before="57" w:after="0" w:line="240" w:lineRule="atLeast"/>
      <w:jc w:val="both"/>
      <w:textAlignment w:val="center"/>
    </w:pPr>
    <w:rPr>
      <w:rFonts w:ascii="Hind" w:hAnsi="Hind" w:cs="Hind"/>
      <w:b/>
      <w:bCs/>
      <w:color w:val="000000"/>
      <w:kern w:val="0"/>
      <w:sz w:val="24"/>
      <w:lang w:val="en-GB"/>
    </w:rPr>
  </w:style>
  <w:style w:type="paragraph" w:customStyle="1" w:styleId="CopyrightTextCopyrightPage">
    <w:name w:val="Copyright Text (Copyright Page)"/>
    <w:basedOn w:val="Normal"/>
    <w:uiPriority w:val="99"/>
    <w:rsid w:val="00041B7D"/>
    <w:pPr>
      <w:suppressAutoHyphens/>
      <w:autoSpaceDE w:val="0"/>
      <w:autoSpaceDN w:val="0"/>
      <w:adjustRightInd w:val="0"/>
      <w:spacing w:before="57" w:after="227" w:line="240" w:lineRule="atLeast"/>
      <w:textAlignment w:val="center"/>
    </w:pPr>
    <w:rPr>
      <w:rFonts w:cs="Open Sans"/>
      <w:kern w:val="0"/>
      <w:szCs w:val="18"/>
      <w:lang w:val="en-GB"/>
    </w:rPr>
  </w:style>
  <w:style w:type="paragraph" w:customStyle="1" w:styleId="CopyrightAddressCopyrightPage">
    <w:name w:val="Copyright Address (Copyright Page)"/>
    <w:basedOn w:val="CopyrightTextCopyrightPage"/>
    <w:uiPriority w:val="99"/>
    <w:rsid w:val="00C95DB4"/>
  </w:style>
  <w:style w:type="character" w:customStyle="1" w:styleId="Bold">
    <w:name w:val="Bold"/>
    <w:uiPriority w:val="99"/>
    <w:rsid w:val="00DC3686"/>
    <w:rPr>
      <w:rFonts w:ascii="Arial" w:hAnsi="Arial" w:cs="Open Sans"/>
      <w:b/>
      <w:bCs/>
      <w:color w:val="000000"/>
      <w:u w:val="none"/>
      <w:lang w:val="en-US"/>
    </w:rPr>
  </w:style>
  <w:style w:type="character" w:customStyle="1" w:styleId="Hyperlinkcopy">
    <w:name w:val="Hyperlink copy"/>
    <w:uiPriority w:val="99"/>
    <w:rsid w:val="00C95DB4"/>
    <w:rPr>
      <w:color w:val="2262AC"/>
      <w:w w:val="100"/>
      <w:u w:val="thick"/>
    </w:rPr>
  </w:style>
  <w:style w:type="paragraph" w:customStyle="1" w:styleId="CopyrightHeading">
    <w:name w:val="Copyright Heading"/>
    <w:basedOn w:val="CopyrightHeadingCopyrightPage"/>
    <w:qFormat/>
    <w:rsid w:val="00041B7D"/>
    <w:rPr>
      <w:rFonts w:ascii="Arial" w:hAnsi="Arial"/>
      <w:color w:val="auto"/>
    </w:rPr>
  </w:style>
  <w:style w:type="character" w:styleId="Hyperlink">
    <w:name w:val="Hyperlink"/>
    <w:basedOn w:val="Hyperlinkcopy"/>
    <w:uiPriority w:val="99"/>
    <w:unhideWhenUsed/>
    <w:rsid w:val="00F5214A"/>
    <w:rPr>
      <w:color w:val="2262AC"/>
      <w:w w:val="100"/>
      <w:u w:val="single"/>
    </w:rPr>
  </w:style>
  <w:style w:type="character" w:styleId="Strong">
    <w:name w:val="Strong"/>
    <w:basedOn w:val="DefaultParagraphFont"/>
    <w:uiPriority w:val="99"/>
    <w:qFormat/>
    <w:rsid w:val="00C95DB4"/>
    <w:rPr>
      <w:b/>
      <w:bCs/>
    </w:rPr>
  </w:style>
  <w:style w:type="character" w:styleId="UnresolvedMention">
    <w:name w:val="Unresolved Mention"/>
    <w:basedOn w:val="DefaultParagraphFont"/>
    <w:uiPriority w:val="99"/>
    <w:semiHidden/>
    <w:unhideWhenUsed/>
    <w:rsid w:val="00A61A1D"/>
    <w:rPr>
      <w:color w:val="605E5C"/>
      <w:shd w:val="clear" w:color="auto" w:fill="E1DFDD"/>
    </w:rPr>
  </w:style>
  <w:style w:type="paragraph" w:customStyle="1" w:styleId="Heading4indented">
    <w:name w:val="Heading 4 indented"/>
    <w:basedOn w:val="Heading4"/>
    <w:qFormat/>
    <w:rsid w:val="0084332B"/>
    <w:pPr>
      <w:ind w:left="567"/>
    </w:pPr>
  </w:style>
  <w:style w:type="paragraph" w:customStyle="1" w:styleId="Paragrafobase">
    <w:name w:val="[Paragrafo base]"/>
    <w:basedOn w:val="Normal"/>
    <w:uiPriority w:val="99"/>
    <w:rsid w:val="00A61A1D"/>
    <w:pPr>
      <w:suppressAutoHyphens/>
      <w:autoSpaceDE w:val="0"/>
      <w:autoSpaceDN w:val="0"/>
      <w:adjustRightInd w:val="0"/>
      <w:spacing w:before="0" w:after="0"/>
      <w:textAlignment w:val="center"/>
    </w:pPr>
    <w:rPr>
      <w:rFonts w:cs="Open Sans"/>
      <w:color w:val="000000"/>
      <w:kern w:val="0"/>
      <w:szCs w:val="20"/>
      <w:lang w:val="en-GB"/>
    </w:rPr>
  </w:style>
  <w:style w:type="paragraph" w:customStyle="1" w:styleId="Projectlead">
    <w:name w:val="Project lead"/>
    <w:basedOn w:val="Normal"/>
    <w:uiPriority w:val="99"/>
    <w:rsid w:val="00B83062"/>
    <w:pPr>
      <w:suppressAutoHyphens/>
      <w:autoSpaceDE w:val="0"/>
      <w:autoSpaceDN w:val="0"/>
      <w:adjustRightInd w:val="0"/>
      <w:spacing w:before="600" w:after="240" w:line="240" w:lineRule="atLeast"/>
      <w:jc w:val="both"/>
      <w:textAlignment w:val="center"/>
    </w:pPr>
    <w:rPr>
      <w:rFonts w:cs="Open Sans"/>
      <w:b/>
      <w:bCs/>
      <w:color w:val="000000"/>
      <w:kern w:val="0"/>
      <w:sz w:val="28"/>
      <w:szCs w:val="28"/>
      <w:lang w:val="en-GB"/>
    </w:rPr>
  </w:style>
  <w:style w:type="paragraph" w:customStyle="1" w:styleId="Body10ptBold">
    <w:name w:val="Body 10pt Bold"/>
    <w:basedOn w:val="Normal"/>
    <w:uiPriority w:val="99"/>
    <w:rsid w:val="00AB0027"/>
    <w:pPr>
      <w:suppressAutoHyphens/>
      <w:autoSpaceDE w:val="0"/>
      <w:autoSpaceDN w:val="0"/>
      <w:adjustRightInd w:val="0"/>
      <w:spacing w:before="57" w:after="0" w:line="240" w:lineRule="atLeast"/>
      <w:jc w:val="both"/>
      <w:textAlignment w:val="center"/>
    </w:pPr>
    <w:rPr>
      <w:rFonts w:cs="Open Sans"/>
      <w:b/>
      <w:bCs/>
      <w:color w:val="000000"/>
      <w:kern w:val="0"/>
      <w:szCs w:val="18"/>
      <w:lang w:val="en-GB"/>
    </w:rPr>
  </w:style>
  <w:style w:type="paragraph" w:customStyle="1" w:styleId="Stile1">
    <w:name w:val="Stile1"/>
    <w:basedOn w:val="Normal"/>
    <w:qFormat/>
    <w:rsid w:val="00DC3686"/>
    <w:pPr>
      <w:suppressAutoHyphens/>
      <w:autoSpaceDE w:val="0"/>
      <w:autoSpaceDN w:val="0"/>
      <w:adjustRightInd w:val="0"/>
      <w:spacing w:before="0" w:after="0" w:line="1240" w:lineRule="exact"/>
      <w:textAlignment w:val="center"/>
    </w:pPr>
    <w:rPr>
      <w:rFonts w:ascii="Hind" w:hAnsi="Hind" w:cs="Hind"/>
      <w:b/>
      <w:bCs/>
      <w:kern w:val="0"/>
      <w:sz w:val="96"/>
      <w:szCs w:val="144"/>
      <w:lang w:val="en-US"/>
    </w:rPr>
  </w:style>
  <w:style w:type="character" w:customStyle="1" w:styleId="Italic">
    <w:name w:val="Italic"/>
    <w:uiPriority w:val="99"/>
    <w:rsid w:val="000E549E"/>
    <w:rPr>
      <w:rFonts w:ascii="Open Sans" w:hAnsi="Open Sans" w:cs="Open Sans"/>
      <w:i/>
      <w:iCs/>
      <w:color w:val="000000"/>
      <w:w w:val="100"/>
      <w:u w:val="none"/>
      <w:lang w:val="en-US"/>
    </w:rPr>
  </w:style>
  <w:style w:type="paragraph" w:customStyle="1" w:styleId="Nessunostileparagrafo">
    <w:name w:val="[Nessuno stile paragrafo]"/>
    <w:rsid w:val="00052342"/>
    <w:pPr>
      <w:autoSpaceDE w:val="0"/>
      <w:autoSpaceDN w:val="0"/>
      <w:adjustRightInd w:val="0"/>
      <w:spacing w:line="288" w:lineRule="auto"/>
      <w:textAlignment w:val="center"/>
    </w:pPr>
    <w:rPr>
      <w:rFonts w:ascii="Minion Pro" w:hAnsi="Minion Pro" w:cs="Minion Pro"/>
      <w:color w:val="000000"/>
      <w:kern w:val="0"/>
      <w:lang w:val="en-GB"/>
    </w:rPr>
  </w:style>
  <w:style w:type="character" w:customStyle="1" w:styleId="RunningHeader">
    <w:name w:val="Running Header"/>
    <w:uiPriority w:val="99"/>
    <w:rsid w:val="00052342"/>
  </w:style>
  <w:style w:type="character" w:customStyle="1" w:styleId="Heading1Char">
    <w:name w:val="Heading 1 Char"/>
    <w:basedOn w:val="DefaultParagraphFont"/>
    <w:link w:val="Heading1"/>
    <w:uiPriority w:val="9"/>
    <w:rsid w:val="00885717"/>
    <w:rPr>
      <w:rFonts w:ascii="Hind" w:hAnsi="Hind" w:cs="Hind SemiBold"/>
      <w:b/>
      <w:bCs/>
      <w:kern w:val="0"/>
      <w:sz w:val="96"/>
      <w:szCs w:val="74"/>
      <w:lang w:val="en-GB"/>
    </w:rPr>
  </w:style>
  <w:style w:type="paragraph" w:customStyle="1" w:styleId="H1">
    <w:name w:val="H1"/>
    <w:basedOn w:val="Normal"/>
    <w:uiPriority w:val="99"/>
    <w:rsid w:val="00DC3686"/>
    <w:pPr>
      <w:suppressAutoHyphens/>
      <w:autoSpaceDE w:val="0"/>
      <w:autoSpaceDN w:val="0"/>
      <w:adjustRightInd w:val="0"/>
      <w:spacing w:line="240" w:lineRule="auto"/>
      <w:textAlignment w:val="center"/>
      <w:outlineLvl w:val="0"/>
    </w:pPr>
    <w:rPr>
      <w:rFonts w:cs="Hind"/>
      <w:b/>
      <w:bCs/>
      <w:kern w:val="0"/>
      <w:sz w:val="120"/>
      <w:szCs w:val="144"/>
      <w:lang w:val="en-US"/>
    </w:rPr>
  </w:style>
  <w:style w:type="paragraph" w:customStyle="1" w:styleId="Bulletlevel1">
    <w:name w:val="Bullet level 1"/>
    <w:basedOn w:val="Normal"/>
    <w:uiPriority w:val="99"/>
    <w:rsid w:val="00AB0027"/>
    <w:pPr>
      <w:tabs>
        <w:tab w:val="left" w:pos="283"/>
        <w:tab w:val="left" w:pos="454"/>
        <w:tab w:val="left" w:pos="720"/>
      </w:tabs>
      <w:suppressAutoHyphens/>
      <w:autoSpaceDE w:val="0"/>
      <w:autoSpaceDN w:val="0"/>
      <w:adjustRightInd w:val="0"/>
      <w:spacing w:before="0" w:after="227" w:line="240" w:lineRule="atLeast"/>
      <w:ind w:left="227" w:hanging="227"/>
      <w:textAlignment w:val="center"/>
    </w:pPr>
    <w:rPr>
      <w:rFonts w:cs="Open Sans"/>
      <w:color w:val="000000"/>
      <w:kern w:val="0"/>
      <w:szCs w:val="18"/>
      <w:lang w:val="en-GB"/>
    </w:rPr>
  </w:style>
  <w:style w:type="paragraph" w:customStyle="1" w:styleId="Heading2-Unnumbered">
    <w:name w:val="Heading 2 - Unnumbered"/>
    <w:basedOn w:val="Nessunostileparagrafo"/>
    <w:uiPriority w:val="99"/>
    <w:rsid w:val="0084332B"/>
    <w:pPr>
      <w:shd w:val="clear" w:color="auto" w:fill="FFCE00"/>
      <w:spacing w:after="160" w:line="259" w:lineRule="auto"/>
    </w:pPr>
    <w:rPr>
      <w:rFonts w:ascii="Arial" w:hAnsi="Arial" w:cs="Hind"/>
      <w:b/>
      <w:bCs/>
      <w:sz w:val="30"/>
      <w:szCs w:val="30"/>
      <w:lang w:val="en-US"/>
    </w:rPr>
  </w:style>
  <w:style w:type="paragraph" w:customStyle="1" w:styleId="H2">
    <w:name w:val="H2"/>
    <w:basedOn w:val="Nessunostileparagrafo"/>
    <w:uiPriority w:val="99"/>
    <w:rsid w:val="007D5CED"/>
    <w:pPr>
      <w:shd w:val="clear" w:color="auto" w:fill="F9D03C"/>
      <w:suppressAutoHyphens/>
      <w:spacing w:before="283" w:after="170" w:line="320" w:lineRule="atLeast"/>
      <w:ind w:left="567" w:hanging="567"/>
    </w:pPr>
    <w:rPr>
      <w:rFonts w:ascii="Hind" w:hAnsi="Hind" w:cs="Hind"/>
      <w:b/>
      <w:bCs/>
      <w:sz w:val="30"/>
      <w:szCs w:val="30"/>
    </w:rPr>
  </w:style>
  <w:style w:type="paragraph" w:customStyle="1" w:styleId="H3">
    <w:name w:val="H3"/>
    <w:basedOn w:val="Nessunostileparagrafo"/>
    <w:uiPriority w:val="99"/>
    <w:rsid w:val="00B83062"/>
    <w:pPr>
      <w:tabs>
        <w:tab w:val="left" w:pos="397"/>
      </w:tabs>
      <w:suppressAutoHyphens/>
      <w:spacing w:before="100" w:beforeAutospacing="1" w:after="100" w:afterAutospacing="1" w:line="280" w:lineRule="atLeast"/>
    </w:pPr>
    <w:rPr>
      <w:rFonts w:ascii="Arial" w:hAnsi="Arial" w:cs="Hind SemiBold"/>
      <w:b/>
      <w:bCs/>
      <w:position w:val="8"/>
      <w:sz w:val="36"/>
    </w:rPr>
  </w:style>
  <w:style w:type="paragraph" w:customStyle="1" w:styleId="H3KeyFinding">
    <w:name w:val="H3 Key Finding"/>
    <w:basedOn w:val="H3"/>
    <w:uiPriority w:val="99"/>
    <w:rsid w:val="007D5CED"/>
    <w:pPr>
      <w:ind w:left="340" w:hanging="340"/>
    </w:pPr>
  </w:style>
  <w:style w:type="paragraph" w:customStyle="1" w:styleId="H4">
    <w:name w:val="H4"/>
    <w:basedOn w:val="H3"/>
    <w:uiPriority w:val="99"/>
    <w:rsid w:val="007D5CED"/>
    <w:pPr>
      <w:keepLines/>
      <w:spacing w:before="57" w:after="0" w:line="240" w:lineRule="atLeast"/>
    </w:pPr>
    <w:rPr>
      <w:spacing w:val="-1"/>
      <w:sz w:val="20"/>
      <w:szCs w:val="20"/>
    </w:rPr>
  </w:style>
  <w:style w:type="paragraph" w:customStyle="1" w:styleId="TableFigureHeadingTablesandfigures">
    <w:name w:val="Table Figure Heading (Tables and figures)"/>
    <w:basedOn w:val="TableheadingTablesandfigures"/>
    <w:uiPriority w:val="99"/>
    <w:rsid w:val="00C84EA3"/>
  </w:style>
  <w:style w:type="paragraph" w:customStyle="1" w:styleId="Normal8pt">
    <w:name w:val="Normal 8pt"/>
    <w:basedOn w:val="Normal"/>
    <w:uiPriority w:val="99"/>
    <w:rsid w:val="00AD187F"/>
    <w:pPr>
      <w:tabs>
        <w:tab w:val="left" w:pos="128"/>
      </w:tabs>
      <w:suppressAutoHyphens/>
      <w:autoSpaceDE w:val="0"/>
      <w:autoSpaceDN w:val="0"/>
      <w:adjustRightInd w:val="0"/>
      <w:spacing w:after="240" w:line="190" w:lineRule="atLeast"/>
      <w:contextualSpacing/>
      <w:textAlignment w:val="center"/>
    </w:pPr>
    <w:rPr>
      <w:rFonts w:cs="Open Sans"/>
      <w:color w:val="000000"/>
      <w:kern w:val="0"/>
      <w:sz w:val="16"/>
      <w:szCs w:val="14"/>
      <w:lang w:val="en-US"/>
    </w:rPr>
  </w:style>
  <w:style w:type="paragraph" w:customStyle="1" w:styleId="TablefigurenoteTABLESFIGURESSTYLES">
    <w:name w:val="Table figure note (TABLES FIGURES STYLES)"/>
    <w:basedOn w:val="Normal"/>
    <w:next w:val="Normal"/>
    <w:uiPriority w:val="99"/>
    <w:rsid w:val="00AB0027"/>
    <w:pPr>
      <w:tabs>
        <w:tab w:val="left" w:pos="128"/>
      </w:tabs>
      <w:suppressAutoHyphens/>
      <w:autoSpaceDE w:val="0"/>
      <w:autoSpaceDN w:val="0"/>
      <w:adjustRightInd w:val="0"/>
      <w:spacing w:before="0" w:after="28" w:line="190" w:lineRule="atLeast"/>
      <w:jc w:val="both"/>
      <w:textAlignment w:val="center"/>
    </w:pPr>
    <w:rPr>
      <w:rFonts w:cs="Open Sans"/>
      <w:color w:val="000000"/>
      <w:kern w:val="0"/>
      <w:sz w:val="14"/>
      <w:szCs w:val="14"/>
      <w:lang w:val="en-US"/>
    </w:rPr>
  </w:style>
  <w:style w:type="paragraph" w:customStyle="1" w:styleId="PullOutQuote">
    <w:name w:val="Pull Out Quote"/>
    <w:basedOn w:val="Normal"/>
    <w:uiPriority w:val="99"/>
    <w:rsid w:val="00AB0027"/>
    <w:pPr>
      <w:suppressAutoHyphens/>
      <w:autoSpaceDE w:val="0"/>
      <w:autoSpaceDN w:val="0"/>
      <w:adjustRightInd w:val="0"/>
      <w:spacing w:before="113" w:after="340" w:line="300" w:lineRule="atLeast"/>
      <w:ind w:left="624" w:right="397"/>
      <w:textAlignment w:val="center"/>
    </w:pPr>
    <w:rPr>
      <w:rFonts w:ascii="Hind Medium" w:hAnsi="Hind Medium" w:cs="Hind Medium"/>
      <w:color w:val="000000"/>
      <w:kern w:val="0"/>
      <w:sz w:val="24"/>
      <w:lang w:val="en-GB"/>
    </w:rPr>
  </w:style>
  <w:style w:type="paragraph" w:customStyle="1" w:styleId="TableFigureHeadingTABLESFIGURESSTYLES">
    <w:name w:val="Table Figure Heading (TABLES FIGURES STYLES)"/>
    <w:basedOn w:val="Nessunostileparagrafo"/>
    <w:next w:val="Normal"/>
    <w:uiPriority w:val="99"/>
    <w:rsid w:val="007D5CED"/>
    <w:pPr>
      <w:suppressAutoHyphens/>
      <w:spacing w:before="170" w:after="113" w:line="240" w:lineRule="atLeast"/>
    </w:pPr>
    <w:rPr>
      <w:rFonts w:ascii="Open Sans SemiBold" w:hAnsi="Open Sans SemiBold" w:cs="Open Sans SemiBold"/>
      <w:sz w:val="18"/>
      <w:szCs w:val="18"/>
    </w:rPr>
  </w:style>
  <w:style w:type="paragraph" w:customStyle="1" w:styleId="Tablefigurenote4TABLESFIGURESSTYLES">
    <w:name w:val="Table figure note +4 (TABLES FIGURES STYLES)"/>
    <w:basedOn w:val="TablefigurenoteTABLESFIGURESSTYLES"/>
    <w:uiPriority w:val="99"/>
    <w:rsid w:val="007D5CED"/>
    <w:pPr>
      <w:spacing w:after="227"/>
      <w:jc w:val="left"/>
    </w:pPr>
  </w:style>
  <w:style w:type="paragraph" w:customStyle="1" w:styleId="TablefigurenotebulletTablesandfigures">
    <w:name w:val="Table figure note bullet (Tables and figures)"/>
    <w:basedOn w:val="Normal8pt"/>
    <w:uiPriority w:val="99"/>
    <w:rsid w:val="007D5CED"/>
    <w:pPr>
      <w:ind w:left="454" w:hanging="170"/>
    </w:pPr>
  </w:style>
  <w:style w:type="paragraph" w:styleId="CommentText">
    <w:name w:val="annotation text"/>
    <w:basedOn w:val="Normal"/>
    <w:link w:val="CommentTextChar"/>
    <w:uiPriority w:val="99"/>
    <w:rsid w:val="00AB0027"/>
    <w:pPr>
      <w:suppressAutoHyphens/>
      <w:autoSpaceDE w:val="0"/>
      <w:autoSpaceDN w:val="0"/>
      <w:adjustRightInd w:val="0"/>
      <w:spacing w:before="57" w:after="227" w:line="240" w:lineRule="atLeast"/>
      <w:jc w:val="both"/>
      <w:textAlignment w:val="center"/>
    </w:pPr>
    <w:rPr>
      <w:rFonts w:cs="Open Sans"/>
      <w:color w:val="000000"/>
      <w:kern w:val="0"/>
      <w:szCs w:val="18"/>
      <w:lang w:val="en-GB"/>
    </w:rPr>
  </w:style>
  <w:style w:type="character" w:customStyle="1" w:styleId="CommentTextChar">
    <w:name w:val="Comment Text Char"/>
    <w:basedOn w:val="DefaultParagraphFont"/>
    <w:link w:val="CommentText"/>
    <w:uiPriority w:val="99"/>
    <w:rsid w:val="007D5CED"/>
    <w:rPr>
      <w:rFonts w:ascii="Open Sans" w:hAnsi="Open Sans" w:cs="Open Sans"/>
      <w:color w:val="000000"/>
      <w:kern w:val="0"/>
      <w:sz w:val="18"/>
      <w:szCs w:val="18"/>
      <w:lang w:val="en-GB"/>
    </w:rPr>
  </w:style>
  <w:style w:type="paragraph" w:customStyle="1" w:styleId="TablefigurenotebulletTABLESFIGURESSTYLES">
    <w:name w:val="Table figure note bullet (TABLES FIGURES STYLES)"/>
    <w:basedOn w:val="Normal"/>
    <w:uiPriority w:val="99"/>
    <w:rsid w:val="00AB0027"/>
    <w:pPr>
      <w:tabs>
        <w:tab w:val="left" w:pos="128"/>
      </w:tabs>
      <w:suppressAutoHyphens/>
      <w:autoSpaceDE w:val="0"/>
      <w:autoSpaceDN w:val="0"/>
      <w:adjustRightInd w:val="0"/>
      <w:spacing w:before="0" w:after="28" w:line="190" w:lineRule="atLeast"/>
      <w:ind w:left="283" w:hanging="283"/>
      <w:jc w:val="both"/>
      <w:textAlignment w:val="center"/>
    </w:pPr>
    <w:rPr>
      <w:rFonts w:cs="Open Sans"/>
      <w:color w:val="000000"/>
      <w:kern w:val="0"/>
      <w:sz w:val="14"/>
      <w:szCs w:val="14"/>
      <w:lang w:val="en-US"/>
    </w:rPr>
  </w:style>
  <w:style w:type="paragraph" w:customStyle="1" w:styleId="Bulletlevel2">
    <w:name w:val="Bullet level 2"/>
    <w:basedOn w:val="Bulletlevel1"/>
    <w:uiPriority w:val="99"/>
    <w:rsid w:val="007D5CED"/>
    <w:pPr>
      <w:spacing w:after="57"/>
      <w:ind w:left="454"/>
    </w:pPr>
  </w:style>
  <w:style w:type="paragraph" w:customStyle="1" w:styleId="Reference">
    <w:name w:val="Reference"/>
    <w:basedOn w:val="Normal"/>
    <w:uiPriority w:val="99"/>
    <w:rsid w:val="00AB0027"/>
    <w:pPr>
      <w:suppressAutoHyphens/>
      <w:autoSpaceDE w:val="0"/>
      <w:autoSpaceDN w:val="0"/>
      <w:adjustRightInd w:val="0"/>
      <w:spacing w:before="57" w:after="113" w:line="250" w:lineRule="atLeast"/>
      <w:ind w:left="227" w:hanging="227"/>
      <w:textAlignment w:val="center"/>
    </w:pPr>
    <w:rPr>
      <w:rFonts w:cs="Open Sans"/>
      <w:color w:val="000000"/>
      <w:kern w:val="0"/>
      <w:sz w:val="16"/>
      <w:szCs w:val="16"/>
      <w:lang w:val="en-GB"/>
    </w:rPr>
  </w:style>
  <w:style w:type="paragraph" w:customStyle="1" w:styleId="TablesubheadingSubscale">
    <w:name w:val="Table sub heading (Subscale)"/>
    <w:basedOn w:val="Tablesubheading"/>
    <w:uiPriority w:val="99"/>
    <w:rsid w:val="0017558F"/>
    <w:rPr>
      <w:lang w:val="en-AU"/>
    </w:rPr>
  </w:style>
  <w:style w:type="paragraph" w:customStyle="1" w:styleId="Tablesubheading">
    <w:name w:val="Table sub heading"/>
    <w:basedOn w:val="Normal"/>
    <w:uiPriority w:val="99"/>
    <w:rsid w:val="00DC3686"/>
    <w:pPr>
      <w:keepNext/>
      <w:spacing w:after="0" w:line="240" w:lineRule="atLeast"/>
    </w:pPr>
    <w:rPr>
      <w:rFonts w:cs="Hind"/>
      <w:bCs/>
      <w:szCs w:val="18"/>
      <w:lang w:val="en-US"/>
    </w:rPr>
  </w:style>
  <w:style w:type="paragraph" w:customStyle="1" w:styleId="Bodybefore">
    <w:name w:val="Body before"/>
    <w:basedOn w:val="Nessunostileparagrafo"/>
    <w:uiPriority w:val="99"/>
    <w:rsid w:val="007D5CED"/>
    <w:pPr>
      <w:suppressAutoHyphens/>
      <w:spacing w:before="57" w:line="240" w:lineRule="atLeast"/>
      <w:jc w:val="both"/>
    </w:pPr>
    <w:rPr>
      <w:rFonts w:ascii="Open Sans" w:hAnsi="Open Sans" w:cs="Open Sans"/>
      <w:sz w:val="18"/>
      <w:szCs w:val="18"/>
    </w:rPr>
  </w:style>
  <w:style w:type="paragraph" w:customStyle="1" w:styleId="Keyterms">
    <w:name w:val="Key terms"/>
    <w:basedOn w:val="Bodybefore"/>
    <w:uiPriority w:val="99"/>
    <w:rsid w:val="007D5CED"/>
    <w:pPr>
      <w:spacing w:line="250" w:lineRule="atLeast"/>
    </w:pPr>
    <w:rPr>
      <w:rFonts w:ascii="Open Sans SemiBold" w:hAnsi="Open Sans SemiBold" w:cs="Open Sans SemiBold"/>
      <w:sz w:val="20"/>
      <w:szCs w:val="20"/>
    </w:rPr>
  </w:style>
  <w:style w:type="paragraph" w:customStyle="1" w:styleId="ChapterintropageChapterintro">
    <w:name w:val="Chapter intro page (Chapter intro)"/>
    <w:basedOn w:val="Keyterms"/>
    <w:uiPriority w:val="99"/>
    <w:rsid w:val="007D5CED"/>
    <w:pPr>
      <w:spacing w:before="0" w:after="113" w:line="340" w:lineRule="atLeast"/>
      <w:jc w:val="left"/>
    </w:pPr>
    <w:rPr>
      <w:sz w:val="22"/>
      <w:szCs w:val="22"/>
    </w:rPr>
  </w:style>
  <w:style w:type="paragraph" w:customStyle="1" w:styleId="ChapterintrobulletsChapterintro">
    <w:name w:val="Chapter intro bullets (Chapter intro)"/>
    <w:basedOn w:val="ChapterIntro"/>
    <w:uiPriority w:val="99"/>
    <w:rsid w:val="00B83062"/>
    <w:pPr>
      <w:numPr>
        <w:numId w:val="724"/>
      </w:numPr>
    </w:pPr>
  </w:style>
  <w:style w:type="paragraph" w:customStyle="1" w:styleId="Footnote">
    <w:name w:val="Footnote"/>
    <w:basedOn w:val="Normal"/>
    <w:uiPriority w:val="99"/>
    <w:rsid w:val="00AB0027"/>
    <w:pPr>
      <w:suppressAutoHyphens/>
      <w:autoSpaceDE w:val="0"/>
      <w:autoSpaceDN w:val="0"/>
      <w:adjustRightInd w:val="0"/>
      <w:spacing w:before="57" w:after="0" w:line="190" w:lineRule="atLeast"/>
      <w:ind w:left="227" w:hanging="227"/>
      <w:jc w:val="both"/>
      <w:textAlignment w:val="center"/>
    </w:pPr>
    <w:rPr>
      <w:rFonts w:cs="Open Sans"/>
      <w:color w:val="000000"/>
      <w:kern w:val="0"/>
      <w:sz w:val="14"/>
      <w:szCs w:val="14"/>
      <w:lang w:val="en-GB"/>
    </w:rPr>
  </w:style>
  <w:style w:type="paragraph" w:customStyle="1" w:styleId="TableheadingTablesandfigures">
    <w:name w:val="Table heading (Tables and figures)"/>
    <w:basedOn w:val="H2"/>
    <w:uiPriority w:val="99"/>
    <w:rsid w:val="005649C9"/>
    <w:pPr>
      <w:keepNext/>
      <w:shd w:val="clear" w:color="auto" w:fill="FFFFFF" w:themeFill="background1"/>
      <w:ind w:left="0" w:firstLine="0"/>
      <w:outlineLvl w:val="2"/>
    </w:pPr>
    <w:rPr>
      <w:rFonts w:ascii="Arial" w:hAnsi="Arial"/>
      <w:sz w:val="20"/>
      <w:szCs w:val="20"/>
    </w:rPr>
  </w:style>
  <w:style w:type="paragraph" w:customStyle="1" w:styleId="H2nonumbernobg">
    <w:name w:val="H2 no number no bg"/>
    <w:basedOn w:val="H2"/>
    <w:uiPriority w:val="99"/>
    <w:rsid w:val="007D5CED"/>
  </w:style>
  <w:style w:type="paragraph" w:customStyle="1" w:styleId="Bulletlevel3open">
    <w:name w:val="Bullet level 3 open"/>
    <w:basedOn w:val="Bulletlevel2"/>
    <w:uiPriority w:val="99"/>
    <w:rsid w:val="007D5CED"/>
    <w:pPr>
      <w:spacing w:after="227"/>
      <w:ind w:left="680"/>
    </w:pPr>
  </w:style>
  <w:style w:type="character" w:styleId="FootnoteReference">
    <w:name w:val="footnote reference"/>
    <w:basedOn w:val="DefaultParagraphFont"/>
    <w:uiPriority w:val="99"/>
    <w:rsid w:val="007D5CED"/>
    <w:rPr>
      <w:vertAlign w:val="superscript"/>
    </w:rPr>
  </w:style>
  <w:style w:type="character" w:customStyle="1" w:styleId="QuoteSignature">
    <w:name w:val="Quote Signature"/>
    <w:uiPriority w:val="99"/>
    <w:rsid w:val="007D5CED"/>
    <w:rPr>
      <w:rFonts w:ascii="Hind" w:hAnsi="Hind" w:cs="Hind"/>
      <w:sz w:val="20"/>
      <w:szCs w:val="20"/>
    </w:rPr>
  </w:style>
  <w:style w:type="character" w:customStyle="1" w:styleId="BoldMontserrat">
    <w:name w:val="Bold Montserrat"/>
    <w:basedOn w:val="Bold"/>
    <w:uiPriority w:val="99"/>
    <w:rsid w:val="00DC3686"/>
    <w:rPr>
      <w:rFonts w:ascii="Arial" w:hAnsi="Arial" w:cs="Montserrat"/>
      <w:b/>
      <w:bCs/>
      <w:color w:val="000000"/>
      <w:u w:val="none"/>
      <w:lang w:val="en-US"/>
    </w:rPr>
  </w:style>
  <w:style w:type="character" w:styleId="Emphasis">
    <w:name w:val="Emphasis"/>
    <w:basedOn w:val="DefaultParagraphFont"/>
    <w:uiPriority w:val="99"/>
    <w:qFormat/>
    <w:rsid w:val="007D5CED"/>
    <w:rPr>
      <w:i/>
      <w:iCs/>
    </w:rPr>
  </w:style>
  <w:style w:type="paragraph" w:customStyle="1" w:styleId="Normal12pt">
    <w:name w:val="Normal 12pt"/>
    <w:basedOn w:val="Normal"/>
    <w:qFormat/>
    <w:rsid w:val="00F514E2"/>
    <w:rPr>
      <w:sz w:val="24"/>
      <w:szCs w:val="32"/>
    </w:rPr>
  </w:style>
  <w:style w:type="character" w:customStyle="1" w:styleId="Giallo">
    <w:name w:val="Giallo"/>
    <w:uiPriority w:val="99"/>
    <w:rsid w:val="007D5CED"/>
    <w:rPr>
      <w:color w:val="FFCD00"/>
      <w:sz w:val="22"/>
      <w:szCs w:val="22"/>
    </w:rPr>
  </w:style>
  <w:style w:type="paragraph" w:styleId="ListBullet">
    <w:name w:val="List Bullet"/>
    <w:basedOn w:val="Normal"/>
    <w:uiPriority w:val="99"/>
    <w:unhideWhenUsed/>
    <w:rsid w:val="00354072"/>
    <w:pPr>
      <w:numPr>
        <w:numId w:val="1"/>
      </w:numPr>
    </w:pPr>
  </w:style>
  <w:style w:type="paragraph" w:customStyle="1" w:styleId="ChapterIntro">
    <w:name w:val="Chapter Intro"/>
    <w:basedOn w:val="Normal"/>
    <w:qFormat/>
    <w:rsid w:val="00B83062"/>
    <w:pPr>
      <w:spacing w:line="360" w:lineRule="auto"/>
    </w:pPr>
    <w:rPr>
      <w:rFonts w:cs="Open Sans SemiBold"/>
      <w:b/>
      <w:sz w:val="22"/>
      <w:lang w:val="en-GB"/>
    </w:rPr>
  </w:style>
  <w:style w:type="paragraph" w:customStyle="1" w:styleId="Bullet1SemiBold">
    <w:name w:val="Bullet 1 SemiBold"/>
    <w:basedOn w:val="ListBullet"/>
    <w:qFormat/>
    <w:rsid w:val="00DC3686"/>
    <w:rPr>
      <w:b/>
      <w:lang w:val="en-GB"/>
    </w:rPr>
  </w:style>
  <w:style w:type="character" w:customStyle="1" w:styleId="Heading2Char">
    <w:name w:val="Heading 2 Char"/>
    <w:basedOn w:val="DefaultParagraphFont"/>
    <w:link w:val="Heading2"/>
    <w:uiPriority w:val="9"/>
    <w:rsid w:val="00D32C21"/>
    <w:rPr>
      <w:rFonts w:ascii="Hind" w:hAnsi="Hind" w:cs="Hind"/>
      <w:b/>
      <w:bCs/>
      <w:color w:val="000000"/>
      <w:kern w:val="0"/>
      <w:sz w:val="36"/>
      <w:szCs w:val="36"/>
      <w:lang w:val="en-US"/>
    </w:rPr>
  </w:style>
  <w:style w:type="character" w:customStyle="1" w:styleId="Heading3Char">
    <w:name w:val="Heading 3 Char"/>
    <w:basedOn w:val="DefaultParagraphFont"/>
    <w:link w:val="Heading3"/>
    <w:uiPriority w:val="9"/>
    <w:rsid w:val="00DC3FE8"/>
    <w:rPr>
      <w:rFonts w:ascii="Arial" w:hAnsi="Arial" w:cs="Hind SemiBold"/>
      <w:b/>
      <w:bCs/>
      <w:kern w:val="0"/>
      <w:position w:val="8"/>
      <w:sz w:val="28"/>
      <w:shd w:val="clear" w:color="auto" w:fill="F9D03C"/>
      <w:lang w:val="en-GB"/>
    </w:rPr>
  </w:style>
  <w:style w:type="character" w:customStyle="1" w:styleId="Heading4Char">
    <w:name w:val="Heading 4 Char"/>
    <w:basedOn w:val="DefaultParagraphFont"/>
    <w:link w:val="Heading4"/>
    <w:uiPriority w:val="9"/>
    <w:rsid w:val="0084332B"/>
    <w:rPr>
      <w:rFonts w:ascii="Arial" w:hAnsi="Arial" w:cs="Hind SemiBold"/>
      <w:b/>
      <w:bCs/>
      <w:color w:val="000000"/>
      <w:spacing w:val="-1"/>
      <w:kern w:val="0"/>
      <w:position w:val="8"/>
      <w:szCs w:val="20"/>
      <w:lang w:val="en-GB"/>
    </w:rPr>
  </w:style>
  <w:style w:type="paragraph" w:styleId="Caption">
    <w:name w:val="caption"/>
    <w:basedOn w:val="Normal"/>
    <w:next w:val="Normal"/>
    <w:uiPriority w:val="35"/>
    <w:unhideWhenUsed/>
    <w:qFormat/>
    <w:rsid w:val="00EC2246"/>
    <w:pPr>
      <w:tabs>
        <w:tab w:val="left" w:pos="128"/>
      </w:tabs>
      <w:suppressAutoHyphens/>
      <w:autoSpaceDE w:val="0"/>
      <w:autoSpaceDN w:val="0"/>
      <w:adjustRightInd w:val="0"/>
      <w:spacing w:before="360"/>
      <w:contextualSpacing/>
      <w:jc w:val="center"/>
      <w:textAlignment w:val="center"/>
    </w:pPr>
    <w:rPr>
      <w:rFonts w:cs="Open Sans"/>
      <w:b/>
      <w:bCs/>
      <w:kern w:val="0"/>
      <w:szCs w:val="14"/>
      <w:lang w:val="en-US"/>
    </w:rPr>
  </w:style>
  <w:style w:type="paragraph" w:styleId="Quote">
    <w:name w:val="Quote"/>
    <w:basedOn w:val="Normal"/>
    <w:next w:val="Normal"/>
    <w:link w:val="QuoteChar"/>
    <w:uiPriority w:val="29"/>
    <w:qFormat/>
    <w:rsid w:val="0084332B"/>
    <w:pPr>
      <w:suppressAutoHyphens/>
      <w:autoSpaceDE w:val="0"/>
      <w:autoSpaceDN w:val="0"/>
      <w:adjustRightInd w:val="0"/>
      <w:spacing w:before="360" w:after="0" w:line="240" w:lineRule="auto"/>
      <w:ind w:left="624" w:right="397"/>
      <w:textAlignment w:val="center"/>
    </w:pPr>
    <w:rPr>
      <w:rFonts w:cs="Hind Medium"/>
      <w:kern w:val="0"/>
      <w:sz w:val="24"/>
      <w:lang w:val="en-GB"/>
    </w:rPr>
  </w:style>
  <w:style w:type="character" w:customStyle="1" w:styleId="QuoteChar">
    <w:name w:val="Quote Char"/>
    <w:basedOn w:val="DefaultParagraphFont"/>
    <w:link w:val="Quote"/>
    <w:uiPriority w:val="29"/>
    <w:rsid w:val="0084332B"/>
    <w:rPr>
      <w:rFonts w:ascii="Arial" w:hAnsi="Arial" w:cs="Hind Medium"/>
      <w:kern w:val="0"/>
      <w:lang w:val="en-GB"/>
    </w:rPr>
  </w:style>
  <w:style w:type="paragraph" w:customStyle="1" w:styleId="QuoteSignatureLine">
    <w:name w:val="Quote Signature Line"/>
    <w:basedOn w:val="Quote"/>
    <w:qFormat/>
    <w:rsid w:val="0084332B"/>
    <w:pPr>
      <w:spacing w:before="120" w:after="360"/>
    </w:pPr>
    <w:rPr>
      <w:rFonts w:cs="Hind"/>
      <w:szCs w:val="20"/>
    </w:rPr>
  </w:style>
  <w:style w:type="paragraph" w:styleId="ListBullet4">
    <w:name w:val="List Bullet 4"/>
    <w:basedOn w:val="ListBullet"/>
    <w:uiPriority w:val="99"/>
    <w:unhideWhenUsed/>
    <w:rsid w:val="001C7C59"/>
    <w:pPr>
      <w:pBdr>
        <w:left w:val="single" w:sz="36" w:space="5" w:color="FFCD00"/>
      </w:pBdr>
      <w:ind w:left="567"/>
    </w:pPr>
    <w:rPr>
      <w:lang w:val="en-US"/>
    </w:rPr>
  </w:style>
  <w:style w:type="table" w:styleId="TableGrid">
    <w:name w:val="Table Grid"/>
    <w:basedOn w:val="TableNormal"/>
    <w:uiPriority w:val="39"/>
    <w:rsid w:val="003C2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Summary">
    <w:name w:val="Results Summary"/>
    <w:basedOn w:val="Normal"/>
    <w:qFormat/>
    <w:rsid w:val="00750FEF"/>
    <w:pPr>
      <w:pBdr>
        <w:left w:val="single" w:sz="36" w:space="5" w:color="FFCD00"/>
      </w:pBdr>
      <w:ind w:left="283"/>
    </w:pPr>
    <w:rPr>
      <w:lang w:val="en-GB"/>
    </w:rPr>
  </w:style>
  <w:style w:type="paragraph" w:customStyle="1" w:styleId="ResultsSummaryHeading">
    <w:name w:val="Results Summary Heading"/>
    <w:basedOn w:val="Heading2"/>
    <w:qFormat/>
    <w:rsid w:val="00750FEF"/>
    <w:pPr>
      <w:pBdr>
        <w:left w:val="single" w:sz="36" w:space="5" w:color="FFCD00"/>
      </w:pBdr>
      <w:spacing w:before="0" w:after="80"/>
      <w:ind w:left="283"/>
      <w:outlineLvl w:val="9"/>
    </w:pPr>
    <w:rPr>
      <w:rFonts w:ascii="Arial" w:hAnsi="Arial"/>
    </w:rPr>
  </w:style>
  <w:style w:type="paragraph" w:styleId="ListBullet3">
    <w:name w:val="List Bullet 3"/>
    <w:basedOn w:val="Caption"/>
    <w:uiPriority w:val="99"/>
    <w:unhideWhenUsed/>
    <w:rsid w:val="003E5364"/>
    <w:pPr>
      <w:numPr>
        <w:numId w:val="2"/>
      </w:numPr>
      <w:spacing w:before="0" w:after="0"/>
    </w:pPr>
  </w:style>
  <w:style w:type="numbering" w:customStyle="1" w:styleId="Elencocorrente1">
    <w:name w:val="Elenco corrente1"/>
    <w:uiPriority w:val="99"/>
    <w:rsid w:val="003F45A1"/>
    <w:pPr>
      <w:numPr>
        <w:numId w:val="3"/>
      </w:numPr>
    </w:pPr>
  </w:style>
  <w:style w:type="paragraph" w:styleId="ListParagraph">
    <w:name w:val="List Paragraph"/>
    <w:basedOn w:val="Normal"/>
    <w:link w:val="ListParagraphChar"/>
    <w:uiPriority w:val="34"/>
    <w:qFormat/>
    <w:rsid w:val="00C30B77"/>
    <w:pPr>
      <w:numPr>
        <w:numId w:val="721"/>
      </w:numPr>
      <w:ind w:left="867" w:hanging="357"/>
      <w:contextualSpacing/>
    </w:pPr>
  </w:style>
  <w:style w:type="paragraph" w:styleId="ListBullet2">
    <w:name w:val="List Bullet 2"/>
    <w:basedOn w:val="ListParagraph"/>
    <w:uiPriority w:val="99"/>
    <w:unhideWhenUsed/>
    <w:rsid w:val="00B85B00"/>
    <w:pPr>
      <w:numPr>
        <w:numId w:val="4"/>
      </w:numPr>
      <w:tabs>
        <w:tab w:val="left" w:pos="283"/>
        <w:tab w:val="left" w:pos="454"/>
        <w:tab w:val="left" w:pos="720"/>
      </w:tabs>
      <w:suppressAutoHyphens/>
      <w:autoSpaceDE w:val="0"/>
      <w:autoSpaceDN w:val="0"/>
      <w:adjustRightInd w:val="0"/>
      <w:contextualSpacing w:val="0"/>
      <w:textAlignment w:val="center"/>
    </w:pPr>
    <w:rPr>
      <w:rFonts w:cs="Open Sans"/>
      <w:kern w:val="0"/>
      <w:szCs w:val="18"/>
      <w:lang w:val="en-GB"/>
    </w:rPr>
  </w:style>
  <w:style w:type="numbering" w:customStyle="1" w:styleId="Elencocorrente2">
    <w:name w:val="Elenco corrente2"/>
    <w:uiPriority w:val="99"/>
    <w:rsid w:val="00B85B00"/>
    <w:pPr>
      <w:numPr>
        <w:numId w:val="5"/>
      </w:numPr>
    </w:pPr>
  </w:style>
  <w:style w:type="paragraph" w:styleId="ListBullet5">
    <w:name w:val="List Bullet 5"/>
    <w:basedOn w:val="Bullet1SemiBold"/>
    <w:uiPriority w:val="99"/>
    <w:unhideWhenUsed/>
    <w:rsid w:val="00322A16"/>
    <w:rPr>
      <w:b w:val="0"/>
    </w:rPr>
  </w:style>
  <w:style w:type="paragraph" w:styleId="TableofFigures">
    <w:name w:val="table of figures"/>
    <w:basedOn w:val="Tablesubheading"/>
    <w:next w:val="Normal"/>
    <w:uiPriority w:val="99"/>
    <w:unhideWhenUsed/>
    <w:rsid w:val="00DC3686"/>
    <w:pPr>
      <w:pBdr>
        <w:bottom w:val="single" w:sz="4" w:space="1" w:color="000000" w:themeColor="text1"/>
        <w:between w:val="single" w:sz="4" w:space="1" w:color="000000" w:themeColor="text1"/>
      </w:pBdr>
      <w:tabs>
        <w:tab w:val="left" w:pos="1400"/>
        <w:tab w:val="right" w:pos="9628"/>
      </w:tabs>
    </w:pPr>
    <w:rPr>
      <w:noProof/>
    </w:rPr>
  </w:style>
  <w:style w:type="numbering" w:customStyle="1" w:styleId="Elencocorrente3">
    <w:name w:val="Elenco corrente3"/>
    <w:uiPriority w:val="99"/>
    <w:rsid w:val="00DE5803"/>
    <w:pPr>
      <w:numPr>
        <w:numId w:val="7"/>
      </w:numPr>
    </w:pPr>
  </w:style>
  <w:style w:type="paragraph" w:styleId="TOCHeading">
    <w:name w:val="TOC Heading"/>
    <w:basedOn w:val="Normal"/>
    <w:next w:val="Normal"/>
    <w:uiPriority w:val="39"/>
    <w:unhideWhenUsed/>
    <w:qFormat/>
    <w:rsid w:val="009E67A5"/>
    <w:pPr>
      <w:keepNext/>
      <w:keepLines/>
      <w:tabs>
        <w:tab w:val="left" w:pos="567"/>
      </w:tabs>
      <w:spacing w:before="0" w:after="960" w:line="240" w:lineRule="auto"/>
      <w:outlineLvl w:val="1"/>
    </w:pPr>
    <w:rPr>
      <w:rFonts w:eastAsiaTheme="majorEastAsia" w:cstheme="majorBidi"/>
      <w:sz w:val="72"/>
      <w:szCs w:val="32"/>
    </w:rPr>
  </w:style>
  <w:style w:type="paragraph" w:styleId="Title">
    <w:name w:val="Title"/>
    <w:basedOn w:val="Normal"/>
    <w:next w:val="Normal"/>
    <w:link w:val="TitleChar"/>
    <w:uiPriority w:val="10"/>
    <w:qFormat/>
    <w:rsid w:val="00DE5803"/>
    <w:pPr>
      <w:spacing w:before="0" w:after="1814" w:line="240" w:lineRule="auto"/>
    </w:pPr>
    <w:rPr>
      <w:rFonts w:ascii="Hind SemiBold" w:eastAsiaTheme="majorEastAsia" w:hAnsi="Hind SemiBold" w:cstheme="majorBidi"/>
      <w:b/>
      <w:spacing w:val="-10"/>
      <w:kern w:val="28"/>
      <w:sz w:val="72"/>
      <w:szCs w:val="56"/>
    </w:rPr>
  </w:style>
  <w:style w:type="character" w:customStyle="1" w:styleId="TitleChar">
    <w:name w:val="Title Char"/>
    <w:basedOn w:val="DefaultParagraphFont"/>
    <w:link w:val="Title"/>
    <w:uiPriority w:val="10"/>
    <w:rsid w:val="00DE5803"/>
    <w:rPr>
      <w:rFonts w:ascii="Hind SemiBold" w:eastAsiaTheme="majorEastAsia" w:hAnsi="Hind SemiBold" w:cstheme="majorBidi"/>
      <w:b/>
      <w:spacing w:val="-10"/>
      <w:kern w:val="28"/>
      <w:sz w:val="72"/>
      <w:szCs w:val="56"/>
    </w:rPr>
  </w:style>
  <w:style w:type="numbering" w:customStyle="1" w:styleId="Elencocorrente4">
    <w:name w:val="Elenco corrente4"/>
    <w:uiPriority w:val="99"/>
    <w:rsid w:val="003E5364"/>
    <w:pPr>
      <w:numPr>
        <w:numId w:val="9"/>
      </w:numPr>
    </w:pPr>
  </w:style>
  <w:style w:type="character" w:styleId="CommentReference">
    <w:name w:val="annotation reference"/>
    <w:basedOn w:val="DefaultParagraphFont"/>
    <w:uiPriority w:val="99"/>
    <w:semiHidden/>
    <w:unhideWhenUsed/>
    <w:rsid w:val="003E5364"/>
    <w:rPr>
      <w:sz w:val="16"/>
      <w:szCs w:val="16"/>
    </w:rPr>
  </w:style>
  <w:style w:type="paragraph" w:styleId="CommentSubject">
    <w:name w:val="annotation subject"/>
    <w:basedOn w:val="CommentText"/>
    <w:next w:val="CommentText"/>
    <w:link w:val="CommentSubjectChar"/>
    <w:uiPriority w:val="99"/>
    <w:semiHidden/>
    <w:unhideWhenUsed/>
    <w:rsid w:val="003E5364"/>
    <w:pPr>
      <w:suppressAutoHyphens w:val="0"/>
      <w:autoSpaceDE/>
      <w:autoSpaceDN/>
      <w:adjustRightInd/>
      <w:spacing w:before="120" w:after="120" w:line="240" w:lineRule="auto"/>
      <w:jc w:val="left"/>
      <w:textAlignment w:val="auto"/>
    </w:pPr>
    <w:rPr>
      <w:rFonts w:cstheme="minorBidi"/>
      <w:b/>
      <w:bCs/>
      <w:color w:val="auto"/>
      <w:kern w:val="2"/>
      <w:szCs w:val="20"/>
      <w:lang w:val="it-IT"/>
    </w:rPr>
  </w:style>
  <w:style w:type="character" w:customStyle="1" w:styleId="CommentSubjectChar">
    <w:name w:val="Comment Subject Char"/>
    <w:basedOn w:val="CommentTextChar"/>
    <w:link w:val="CommentSubject"/>
    <w:uiPriority w:val="99"/>
    <w:semiHidden/>
    <w:rsid w:val="003E5364"/>
    <w:rPr>
      <w:rFonts w:ascii="Open Sans" w:hAnsi="Open Sans" w:cs="Open Sans"/>
      <w:b/>
      <w:bCs/>
      <w:color w:val="000000"/>
      <w:kern w:val="0"/>
      <w:sz w:val="20"/>
      <w:szCs w:val="20"/>
      <w:lang w:val="en-GB"/>
    </w:rPr>
  </w:style>
  <w:style w:type="paragraph" w:styleId="TOC2">
    <w:name w:val="toc 2"/>
    <w:basedOn w:val="Normal"/>
    <w:next w:val="Normal"/>
    <w:autoRedefine/>
    <w:uiPriority w:val="39"/>
    <w:unhideWhenUsed/>
    <w:rsid w:val="00EA6B24"/>
    <w:pPr>
      <w:pBdr>
        <w:top w:val="single" w:sz="4" w:space="4" w:color="FFCD00"/>
        <w:left w:val="single" w:sz="4" w:space="4" w:color="FFCD00"/>
        <w:bottom w:val="single" w:sz="4" w:space="4" w:color="FFCD00"/>
        <w:right w:val="single" w:sz="4" w:space="4" w:color="FFCD00"/>
      </w:pBdr>
      <w:shd w:val="clear" w:color="auto" w:fill="FFCD00"/>
      <w:tabs>
        <w:tab w:val="right" w:pos="9072"/>
      </w:tabs>
      <w:spacing w:line="240" w:lineRule="auto"/>
      <w:ind w:left="113" w:right="397"/>
    </w:pPr>
    <w:rPr>
      <w:b/>
      <w:noProof/>
      <w:szCs w:val="20"/>
    </w:rPr>
  </w:style>
  <w:style w:type="paragraph" w:styleId="TOC1">
    <w:name w:val="toc 1"/>
    <w:basedOn w:val="Normal"/>
    <w:next w:val="Normal"/>
    <w:autoRedefine/>
    <w:uiPriority w:val="39"/>
    <w:unhideWhenUsed/>
    <w:rsid w:val="004A159F"/>
    <w:pPr>
      <w:tabs>
        <w:tab w:val="right" w:pos="9628"/>
      </w:tabs>
      <w:spacing w:before="360" w:after="0"/>
    </w:pPr>
    <w:rPr>
      <w:rFonts w:ascii="Hind" w:hAnsi="Hind"/>
      <w:bCs/>
      <w:caps/>
      <w:noProof/>
    </w:rPr>
  </w:style>
  <w:style w:type="paragraph" w:customStyle="1" w:styleId="TablebodyTablesandfigures">
    <w:name w:val="Table body (Tables and figures)"/>
    <w:basedOn w:val="Nessunostileparagrafo"/>
    <w:uiPriority w:val="99"/>
    <w:rsid w:val="005977A9"/>
    <w:pPr>
      <w:suppressAutoHyphens/>
      <w:spacing w:before="57" w:after="57" w:line="240" w:lineRule="atLeast"/>
    </w:pPr>
    <w:rPr>
      <w:rFonts w:ascii="Open Sans" w:hAnsi="Open Sans" w:cs="Open Sans"/>
      <w:sz w:val="18"/>
      <w:szCs w:val="18"/>
    </w:rPr>
  </w:style>
  <w:style w:type="character" w:customStyle="1" w:styleId="OpenSansBold">
    <w:name w:val="Open Sans Bold"/>
    <w:uiPriority w:val="99"/>
    <w:rsid w:val="005977A9"/>
    <w:rPr>
      <w:rFonts w:ascii="Open Sans" w:hAnsi="Open Sans" w:cs="Open Sans"/>
      <w:b/>
      <w:bCs/>
    </w:rPr>
  </w:style>
  <w:style w:type="character" w:customStyle="1" w:styleId="Apice">
    <w:name w:val="Apice"/>
    <w:uiPriority w:val="99"/>
    <w:rsid w:val="005977A9"/>
    <w:rPr>
      <w:vertAlign w:val="superscript"/>
    </w:rPr>
  </w:style>
  <w:style w:type="character" w:customStyle="1" w:styleId="MontserratRegolare">
    <w:name w:val="Montserrat Regolare"/>
    <w:uiPriority w:val="99"/>
    <w:rsid w:val="005977A9"/>
    <w:rPr>
      <w:rFonts w:ascii="Montserrat" w:hAnsi="Montserrat" w:cs="Montserrat"/>
      <w:lang w:val="it-IT"/>
    </w:rPr>
  </w:style>
  <w:style w:type="paragraph" w:customStyle="1" w:styleId="body">
    <w:name w:val="body"/>
    <w:basedOn w:val="Nessunostileparagrafo"/>
    <w:uiPriority w:val="99"/>
    <w:rsid w:val="002D0229"/>
    <w:pPr>
      <w:suppressAutoHyphens/>
      <w:spacing w:before="57" w:after="227" w:line="240" w:lineRule="atLeast"/>
      <w:jc w:val="both"/>
    </w:pPr>
    <w:rPr>
      <w:rFonts w:ascii="Open Sans" w:hAnsi="Open Sans" w:cs="Open Sans"/>
      <w:sz w:val="18"/>
      <w:szCs w:val="18"/>
    </w:rPr>
  </w:style>
  <w:style w:type="paragraph" w:customStyle="1" w:styleId="Tablebody3Tablesandfigures">
    <w:name w:val="Table body +3 (Tables and figures)"/>
    <w:basedOn w:val="TablebodyTablesandfigures"/>
    <w:uiPriority w:val="99"/>
    <w:rsid w:val="001E4818"/>
    <w:pPr>
      <w:spacing w:after="170"/>
    </w:pPr>
  </w:style>
  <w:style w:type="character" w:customStyle="1" w:styleId="Notebold">
    <w:name w:val="Note bold"/>
    <w:uiPriority w:val="99"/>
    <w:rsid w:val="00F00395"/>
  </w:style>
  <w:style w:type="paragraph" w:styleId="Header">
    <w:name w:val="header"/>
    <w:basedOn w:val="Normal"/>
    <w:link w:val="HeaderChar"/>
    <w:uiPriority w:val="99"/>
    <w:unhideWhenUsed/>
    <w:rsid w:val="004C1EA5"/>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4C1EA5"/>
    <w:rPr>
      <w:rFonts w:ascii="Open Sans" w:hAnsi="Open Sans"/>
      <w:sz w:val="20"/>
    </w:rPr>
  </w:style>
  <w:style w:type="paragraph" w:styleId="Footer">
    <w:name w:val="footer"/>
    <w:basedOn w:val="Normal"/>
    <w:link w:val="FooterChar"/>
    <w:uiPriority w:val="99"/>
    <w:unhideWhenUsed/>
    <w:rsid w:val="004C1EA5"/>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4C1EA5"/>
    <w:rPr>
      <w:rFonts w:ascii="Open Sans" w:hAnsi="Open Sans"/>
      <w:sz w:val="20"/>
    </w:rPr>
  </w:style>
  <w:style w:type="paragraph" w:styleId="Revision">
    <w:name w:val="Revision"/>
    <w:hidden/>
    <w:uiPriority w:val="99"/>
    <w:semiHidden/>
    <w:rsid w:val="00885717"/>
    <w:rPr>
      <w:rFonts w:ascii="Open Sans" w:hAnsi="Open Sans"/>
      <w:sz w:val="20"/>
    </w:rPr>
  </w:style>
  <w:style w:type="paragraph" w:customStyle="1" w:styleId="H2SectionTitle">
    <w:name w:val="H2 Section Title"/>
    <w:basedOn w:val="TOCHeading"/>
    <w:rsid w:val="009E67A5"/>
    <w:pPr>
      <w:pageBreakBefore/>
    </w:pPr>
    <w:rPr>
      <w:rFonts w:cs="Hind"/>
      <w:b/>
      <w:lang w:val="en-GB"/>
    </w:rPr>
  </w:style>
  <w:style w:type="paragraph" w:customStyle="1" w:styleId="Heading">
    <w:name w:val="Heading"/>
    <w:basedOn w:val="Normal"/>
    <w:rsid w:val="00E3358B"/>
    <w:pPr>
      <w:tabs>
        <w:tab w:val="left" w:pos="397"/>
      </w:tabs>
      <w:suppressAutoHyphens/>
      <w:autoSpaceDE w:val="0"/>
      <w:autoSpaceDN w:val="0"/>
      <w:adjustRightInd w:val="0"/>
      <w:spacing w:before="57" w:after="0" w:line="240" w:lineRule="atLeast"/>
      <w:textAlignment w:val="center"/>
      <w:outlineLvl w:val="3"/>
    </w:pPr>
    <w:rPr>
      <w:rFonts w:ascii="Hind SemiBold" w:hAnsi="Hind SemiBold" w:cs="Hind SemiBold"/>
      <w:b/>
      <w:bCs/>
      <w:color w:val="000000"/>
      <w:spacing w:val="-1"/>
      <w:kern w:val="0"/>
      <w:position w:val="8"/>
      <w:szCs w:val="20"/>
      <w:lang w:val="en-GB"/>
    </w:rPr>
  </w:style>
  <w:style w:type="paragraph" w:customStyle="1" w:styleId="Heading2NotonContents">
    <w:name w:val="Heading 2 (Not on Contents)"/>
    <w:basedOn w:val="Heading2-Unnumbered"/>
    <w:rsid w:val="001B2B14"/>
    <w:pPr>
      <w:pBdr>
        <w:top w:val="single" w:sz="4" w:space="1" w:color="4472C4" w:themeColor="accent1"/>
        <w:left w:val="single" w:sz="4" w:space="5" w:color="4472C4" w:themeColor="accent1"/>
        <w:bottom w:val="single" w:sz="4" w:space="1" w:color="4472C4" w:themeColor="accent1"/>
        <w:right w:val="single" w:sz="4" w:space="5" w:color="4472C4" w:themeColor="accent1"/>
      </w:pBdr>
      <w:shd w:val="clear" w:color="auto" w:fill="4472C4" w:themeFill="accent1"/>
      <w:autoSpaceDE/>
      <w:autoSpaceDN/>
      <w:adjustRightInd/>
      <w:spacing w:before="240"/>
      <w:textAlignment w:val="auto"/>
    </w:pPr>
    <w:rPr>
      <w:rFonts w:eastAsiaTheme="majorEastAsia" w:cstheme="majorBidi"/>
      <w:bCs w:val="0"/>
      <w:color w:val="auto"/>
      <w:szCs w:val="26"/>
      <w:lang w:val="en-AU"/>
      <w14:ligatures w14:val="none"/>
    </w:rPr>
  </w:style>
  <w:style w:type="table" w:customStyle="1" w:styleId="Table-SingleHeaderRow">
    <w:name w:val="Table - Single Header Row"/>
    <w:basedOn w:val="TableNormal"/>
    <w:uiPriority w:val="99"/>
    <w:rsid w:val="00B83062"/>
    <w:rPr>
      <w:rFonts w:ascii="Open Sans" w:hAnsi="Open Sans"/>
    </w:rPr>
    <w:tblPr>
      <w:tblBorders>
        <w:top w:val="single" w:sz="4" w:space="0" w:color="FCB316"/>
        <w:bottom w:val="single" w:sz="4" w:space="0" w:color="FCB316"/>
        <w:insideH w:val="single" w:sz="4" w:space="0" w:color="FCB316"/>
      </w:tblBorders>
    </w:tblPr>
    <w:tblStylePr w:type="firstRow">
      <w:rPr>
        <w:b/>
      </w:rPr>
      <w:tblPr/>
      <w:tcPr>
        <w:shd w:val="clear" w:color="auto" w:fill="FFCD00"/>
      </w:tcPr>
    </w:tblStylePr>
    <w:tblStylePr w:type="firstCol">
      <w:rPr>
        <w:b/>
      </w:rPr>
      <w:tblPr/>
      <w:tcPr>
        <w:shd w:val="clear" w:color="auto" w:fill="F4F3F2"/>
      </w:tcPr>
    </w:tblStylePr>
  </w:style>
  <w:style w:type="table" w:styleId="ListTable4-Accent2">
    <w:name w:val="List Table 4 Accent 2"/>
    <w:basedOn w:val="TableNormal"/>
    <w:uiPriority w:val="49"/>
    <w:rsid w:val="0094641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53">
    <w:name w:val="Heading 53"/>
    <w:basedOn w:val="Heading5"/>
    <w:rsid w:val="008402A6"/>
  </w:style>
  <w:style w:type="paragraph" w:customStyle="1" w:styleId="Tablebody">
    <w:name w:val="Table body"/>
    <w:basedOn w:val="Normal"/>
    <w:rsid w:val="006D4F1A"/>
    <w:pPr>
      <w:spacing w:before="60" w:after="60" w:line="240" w:lineRule="auto"/>
    </w:pPr>
    <w:rPr>
      <w:rFonts w:eastAsia="Times New Roman" w:cstheme="minorHAnsi"/>
      <w:kern w:val="0"/>
      <w:sz w:val="18"/>
      <w:szCs w:val="20"/>
      <w:lang w:val="en-AU" w:eastAsia="en-AU"/>
      <w14:ligatures w14:val="none"/>
    </w:rPr>
  </w:style>
  <w:style w:type="paragraph" w:customStyle="1" w:styleId="Researchteam">
    <w:name w:val="Research team"/>
    <w:basedOn w:val="Projectlead"/>
    <w:rsid w:val="00F24C0C"/>
    <w:pPr>
      <w:outlineLvl w:val="2"/>
    </w:pPr>
  </w:style>
  <w:style w:type="paragraph" w:customStyle="1" w:styleId="datatablenote">
    <w:name w:val="data table note"/>
    <w:basedOn w:val="Normal"/>
    <w:rsid w:val="00651048"/>
    <w:pPr>
      <w:tabs>
        <w:tab w:val="left" w:pos="128"/>
      </w:tabs>
      <w:suppressAutoHyphens/>
      <w:autoSpaceDE w:val="0"/>
      <w:autoSpaceDN w:val="0"/>
      <w:adjustRightInd w:val="0"/>
      <w:spacing w:before="80" w:after="0" w:line="190" w:lineRule="atLeast"/>
      <w:contextualSpacing/>
      <w:textAlignment w:val="center"/>
    </w:pPr>
    <w:rPr>
      <w:rFonts w:cs="Open Sans"/>
      <w:bCs/>
      <w:color w:val="000000"/>
      <w:kern w:val="0"/>
      <w:sz w:val="16"/>
      <w:szCs w:val="14"/>
      <w:lang w:val="en-US"/>
    </w:rPr>
  </w:style>
  <w:style w:type="paragraph" w:customStyle="1" w:styleId="Superscript">
    <w:name w:val="Superscript"/>
    <w:basedOn w:val="Tablebody"/>
    <w:rsid w:val="00BB482B"/>
  </w:style>
  <w:style w:type="paragraph" w:customStyle="1" w:styleId="datatableheading">
    <w:name w:val="data table heading"/>
    <w:basedOn w:val="TableofFigures"/>
    <w:rsid w:val="00651048"/>
    <w:pPr>
      <w:spacing w:before="240" w:after="60"/>
    </w:pPr>
    <w:rPr>
      <w:sz w:val="18"/>
    </w:rPr>
  </w:style>
  <w:style w:type="paragraph" w:customStyle="1" w:styleId="Tablefigurenotes">
    <w:name w:val="Table figure notes"/>
    <w:basedOn w:val="Caption"/>
    <w:rsid w:val="002D73FE"/>
    <w:rPr>
      <w:b w:val="0"/>
    </w:rPr>
  </w:style>
  <w:style w:type="paragraph" w:customStyle="1" w:styleId="tablefigurenote">
    <w:name w:val="table figure note"/>
    <w:basedOn w:val="Normal"/>
    <w:rsid w:val="002D73FE"/>
    <w:pPr>
      <w:spacing w:before="0" w:after="0" w:line="240" w:lineRule="auto"/>
    </w:pPr>
    <w:rPr>
      <w:bCs/>
      <w:lang w:val="en-AU"/>
    </w:rPr>
  </w:style>
  <w:style w:type="paragraph" w:styleId="FootnoteText">
    <w:name w:val="footnote text"/>
    <w:basedOn w:val="Normal"/>
    <w:link w:val="FootnoteTextChar"/>
    <w:uiPriority w:val="99"/>
    <w:semiHidden/>
    <w:unhideWhenUsed/>
    <w:rsid w:val="007118BE"/>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7118BE"/>
    <w:rPr>
      <w:rFonts w:ascii="Open Sans" w:hAnsi="Open Sans"/>
      <w:sz w:val="20"/>
      <w:szCs w:val="20"/>
    </w:rPr>
  </w:style>
  <w:style w:type="character" w:customStyle="1" w:styleId="ListParagraphChar">
    <w:name w:val="List Paragraph Char"/>
    <w:basedOn w:val="DefaultParagraphFont"/>
    <w:link w:val="ListParagraph"/>
    <w:uiPriority w:val="34"/>
    <w:qFormat/>
    <w:locked/>
    <w:rsid w:val="00C30B77"/>
    <w:rPr>
      <w:rFonts w:ascii="Arial" w:hAnsi="Arial"/>
      <w:sz w:val="20"/>
    </w:rPr>
  </w:style>
  <w:style w:type="paragraph" w:styleId="Subtitle">
    <w:name w:val="Subtitle"/>
    <w:basedOn w:val="Paragrafobase"/>
    <w:next w:val="Normal"/>
    <w:link w:val="SubtitleChar"/>
    <w:uiPriority w:val="11"/>
    <w:qFormat/>
    <w:rsid w:val="00DC3686"/>
    <w:pPr>
      <w:spacing w:before="480"/>
      <w:outlineLvl w:val="1"/>
    </w:pPr>
    <w:rPr>
      <w:noProof/>
      <w:sz w:val="36"/>
    </w:rPr>
  </w:style>
  <w:style w:type="character" w:customStyle="1" w:styleId="SubtitleChar">
    <w:name w:val="Subtitle Char"/>
    <w:basedOn w:val="DefaultParagraphFont"/>
    <w:link w:val="Subtitle"/>
    <w:uiPriority w:val="11"/>
    <w:rsid w:val="00DC3686"/>
    <w:rPr>
      <w:rFonts w:ascii="Arial" w:hAnsi="Arial" w:cs="Open Sans"/>
      <w:noProof/>
      <w:color w:val="000000"/>
      <w:kern w:val="0"/>
      <w:sz w:val="36"/>
      <w:szCs w:val="20"/>
      <w:lang w:val="en-GB"/>
    </w:rPr>
  </w:style>
  <w:style w:type="paragraph" w:customStyle="1" w:styleId="ResearcherNames">
    <w:name w:val="Researcher Names"/>
    <w:basedOn w:val="Normal"/>
    <w:qFormat/>
    <w:rsid w:val="009E67A5"/>
    <w:pPr>
      <w:suppressAutoHyphens/>
      <w:autoSpaceDE w:val="0"/>
      <w:autoSpaceDN w:val="0"/>
      <w:adjustRightInd w:val="0"/>
      <w:spacing w:before="57" w:after="0" w:line="240" w:lineRule="atLeast"/>
      <w:jc w:val="both"/>
      <w:textAlignment w:val="center"/>
    </w:pPr>
    <w:rPr>
      <w:rFonts w:cs="Open Sans"/>
      <w:b/>
      <w:bCs/>
      <w:color w:val="000000"/>
      <w:kern w:val="0"/>
      <w:szCs w:val="18"/>
      <w:lang w:val="en-US"/>
    </w:rPr>
  </w:style>
  <w:style w:type="paragraph" w:customStyle="1" w:styleId="Researchertitle">
    <w:name w:val="Researcher title"/>
    <w:basedOn w:val="Normal"/>
    <w:qFormat/>
    <w:rsid w:val="009E67A5"/>
    <w:pPr>
      <w:suppressAutoHyphens/>
      <w:autoSpaceDE w:val="0"/>
      <w:autoSpaceDN w:val="0"/>
      <w:adjustRightInd w:val="0"/>
      <w:spacing w:before="57" w:after="227" w:line="240" w:lineRule="atLeast"/>
      <w:jc w:val="both"/>
      <w:textAlignment w:val="center"/>
    </w:pPr>
    <w:rPr>
      <w:rFonts w:cs="Open Sans"/>
      <w:color w:val="000000"/>
      <w:kern w:val="0"/>
      <w:szCs w:val="18"/>
      <w:lang w:val="en-GB"/>
    </w:rPr>
  </w:style>
  <w:style w:type="table" w:customStyle="1" w:styleId="Whitecalloutboxlayout">
    <w:name w:val="White callout box layout"/>
    <w:basedOn w:val="TableNormal"/>
    <w:uiPriority w:val="99"/>
    <w:rsid w:val="00C30B77"/>
    <w:rPr>
      <w:sz w:val="20"/>
    </w:r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shd w:val="clear" w:color="auto" w:fill="auto"/>
    </w:tcPr>
  </w:style>
  <w:style w:type="paragraph" w:customStyle="1" w:styleId="DetailHeading">
    <w:name w:val="Detail Heading"/>
    <w:basedOn w:val="Normal"/>
    <w:qFormat/>
    <w:rsid w:val="00D32C21"/>
    <w:rPr>
      <w:b/>
      <w:lang w:val="en-GB"/>
    </w:rPr>
  </w:style>
  <w:style w:type="character" w:customStyle="1" w:styleId="TOC1shading">
    <w:name w:val="TOC1 shading"/>
    <w:basedOn w:val="DefaultParagraphFont"/>
    <w:uiPriority w:val="1"/>
    <w:qFormat/>
    <w:rsid w:val="00214181"/>
    <w:rPr>
      <w:bdr w:val="none" w:sz="0" w:space="0" w:color="auto"/>
      <w:shd w:val="clear" w:color="auto" w:fill="FFCE00"/>
    </w:rPr>
  </w:style>
  <w:style w:type="paragraph" w:customStyle="1" w:styleId="DetailBody">
    <w:name w:val="Detail Body"/>
    <w:basedOn w:val="CopyrightTextCopyrightPage"/>
    <w:qFormat/>
    <w:rsid w:val="00214181"/>
    <w:pPr>
      <w:spacing w:after="240"/>
    </w:pPr>
  </w:style>
  <w:style w:type="paragraph" w:customStyle="1" w:styleId="Tablesubheading0">
    <w:name w:val="Table subheading"/>
    <w:basedOn w:val="Normal"/>
    <w:qFormat/>
    <w:rsid w:val="005649C9"/>
    <w:pPr>
      <w:keepNext/>
    </w:pPr>
    <w:rPr>
      <w:b/>
      <w:bCs/>
      <w:sz w:val="24"/>
      <w:szCs w:val="32"/>
      <w:lang w:val="en-US"/>
    </w:rPr>
  </w:style>
  <w:style w:type="paragraph" w:customStyle="1" w:styleId="BodySansBold">
    <w:name w:val="Body (Sans) Bold"/>
    <w:basedOn w:val="Normal"/>
    <w:qFormat/>
    <w:rsid w:val="00F514E2"/>
    <w:pPr>
      <w:tabs>
        <w:tab w:val="left" w:pos="397"/>
      </w:tabs>
      <w:suppressAutoHyphens/>
      <w:autoSpaceDE w:val="0"/>
      <w:autoSpaceDN w:val="0"/>
      <w:adjustRightInd w:val="0"/>
      <w:spacing w:line="240" w:lineRule="auto"/>
      <w:textAlignment w:val="center"/>
    </w:pPr>
    <w:rPr>
      <w:rFonts w:cs="Open Sans"/>
      <w:b/>
      <w:bCs/>
      <w:color w:val="000000"/>
      <w:kern w:val="0"/>
      <w:position w:val="8"/>
      <w:szCs w:val="18"/>
      <w:lang w:val="en-US"/>
    </w:rPr>
  </w:style>
  <w:style w:type="paragraph" w:customStyle="1" w:styleId="StyledatatablenoteBold">
    <w:name w:val="Style data table note + Bold"/>
    <w:basedOn w:val="datatablenote"/>
    <w:rsid w:val="00F75563"/>
    <w:pPr>
      <w:spacing w:before="120"/>
    </w:pPr>
    <w:rPr>
      <w:b/>
    </w:rPr>
  </w:style>
  <w:style w:type="paragraph" w:customStyle="1" w:styleId="StyleLatinHindSemiBoldBoldBlackBefore0ptAfter0">
    <w:name w:val="Style (Latin) Hind SemiBold Bold Black Before:  0 pt After:  0 ..."/>
    <w:basedOn w:val="Normal"/>
    <w:rsid w:val="00C72C32"/>
    <w:pPr>
      <w:spacing w:before="0" w:after="0" w:line="260" w:lineRule="atLeast"/>
    </w:pPr>
    <w:rPr>
      <w:rFonts w:ascii="Hind SemiBold" w:eastAsia="Times New Roman" w:hAnsi="Hind SemiBold" w:cs="Times New Roman"/>
      <w:b/>
      <w:bCs/>
      <w:color w:val="000000"/>
      <w:kern w:val="0"/>
      <w:position w:val="8"/>
      <w:szCs w:val="20"/>
    </w:rPr>
  </w:style>
  <w:style w:type="paragraph" w:customStyle="1" w:styleId="Heading4nospacing">
    <w:name w:val="Heading 4 no spacing"/>
    <w:basedOn w:val="Heading4"/>
    <w:qFormat/>
    <w:rsid w:val="00DC3FE8"/>
    <w:pPr>
      <w:spacing w:before="0"/>
    </w:pPr>
  </w:style>
  <w:style w:type="paragraph" w:customStyle="1" w:styleId="Styledatatablenote7ptBold">
    <w:name w:val="Style data table note + 7 pt Bold"/>
    <w:basedOn w:val="datatablenote"/>
    <w:rsid w:val="00887001"/>
    <w:pPr>
      <w:spacing w:before="60"/>
    </w:pPr>
    <w:rPr>
      <w:b/>
    </w:rPr>
  </w:style>
  <w:style w:type="paragraph" w:customStyle="1" w:styleId="Styledatatablenote7pt">
    <w:name w:val="Style data table note + 7 pt"/>
    <w:basedOn w:val="datatablenote"/>
    <w:rsid w:val="00887001"/>
    <w:pPr>
      <w:spacing w:before="60"/>
    </w:pPr>
    <w:rPr>
      <w:bCs w:val="0"/>
    </w:rPr>
  </w:style>
  <w:style w:type="paragraph" w:customStyle="1" w:styleId="Styledatatablenote7pt1">
    <w:name w:val="Style data table note + 7 pt1"/>
    <w:basedOn w:val="datatablenote"/>
    <w:rsid w:val="00887001"/>
    <w:pPr>
      <w:spacing w:before="60"/>
    </w:pPr>
    <w:rPr>
      <w:bCs w:val="0"/>
    </w:rPr>
  </w:style>
  <w:style w:type="paragraph" w:customStyle="1" w:styleId="Styledatatablenote7pt2">
    <w:name w:val="Style data table note + 7 pt2"/>
    <w:basedOn w:val="datatablenote"/>
    <w:rsid w:val="00ED4588"/>
    <w:pPr>
      <w:spacing w:before="60"/>
    </w:pPr>
    <w:rPr>
      <w:bCs w:val="0"/>
    </w:rPr>
  </w:style>
  <w:style w:type="paragraph" w:customStyle="1" w:styleId="StyleStyledatatablenote7pt1After0pt">
    <w:name w:val="Style Style data table note + 7 pt1 + After:  0 pt"/>
    <w:basedOn w:val="Styledatatablenote7pt1"/>
    <w:rsid w:val="00ED4588"/>
    <w:rPr>
      <w:rFonts w:eastAsia="Times New Roman" w:cs="Times New Roman"/>
      <w:szCs w:val="20"/>
    </w:rPr>
  </w:style>
  <w:style w:type="paragraph" w:customStyle="1" w:styleId="Subtitle2">
    <w:name w:val="Subtitle 2"/>
    <w:basedOn w:val="Heading2"/>
    <w:qFormat/>
    <w:rsid w:val="00DC3686"/>
    <w:rPr>
      <w:rFonts w:ascii="Arial" w:hAnsi="Arial"/>
    </w:rPr>
  </w:style>
  <w:style w:type="paragraph" w:styleId="TOC3">
    <w:name w:val="toc 3"/>
    <w:basedOn w:val="Normal"/>
    <w:next w:val="Normal"/>
    <w:autoRedefine/>
    <w:uiPriority w:val="39"/>
    <w:unhideWhenUsed/>
    <w:rsid w:val="006026D2"/>
    <w:pPr>
      <w:pBdr>
        <w:bottom w:val="single" w:sz="4" w:space="1" w:color="auto"/>
        <w:between w:val="single" w:sz="4" w:space="1" w:color="auto"/>
      </w:pBdr>
      <w:tabs>
        <w:tab w:val="left" w:pos="8647"/>
      </w:tabs>
      <w:spacing w:before="60" w:after="0"/>
      <w:ind w:left="425" w:right="567"/>
    </w:pPr>
    <w:rPr>
      <w:noProof/>
      <w:szCs w:val="20"/>
    </w:rPr>
  </w:style>
  <w:style w:type="paragraph" w:styleId="TOC4">
    <w:name w:val="toc 4"/>
    <w:basedOn w:val="Normal"/>
    <w:next w:val="Normal"/>
    <w:autoRedefine/>
    <w:uiPriority w:val="39"/>
    <w:unhideWhenUsed/>
    <w:rsid w:val="009030AD"/>
    <w:pPr>
      <w:spacing w:before="0" w:after="0"/>
      <w:ind w:left="400"/>
    </w:pPr>
    <w:rPr>
      <w:rFonts w:asciiTheme="minorHAnsi" w:hAnsiTheme="minorHAnsi"/>
      <w:szCs w:val="20"/>
    </w:rPr>
  </w:style>
  <w:style w:type="paragraph" w:styleId="TOC5">
    <w:name w:val="toc 5"/>
    <w:basedOn w:val="Normal"/>
    <w:next w:val="Normal"/>
    <w:autoRedefine/>
    <w:uiPriority w:val="39"/>
    <w:unhideWhenUsed/>
    <w:rsid w:val="009030AD"/>
    <w:pPr>
      <w:spacing w:before="0" w:after="0"/>
      <w:ind w:left="600"/>
    </w:pPr>
    <w:rPr>
      <w:rFonts w:asciiTheme="minorHAnsi" w:hAnsiTheme="minorHAnsi"/>
      <w:szCs w:val="20"/>
    </w:rPr>
  </w:style>
  <w:style w:type="paragraph" w:styleId="TOC6">
    <w:name w:val="toc 6"/>
    <w:basedOn w:val="Normal"/>
    <w:next w:val="Normal"/>
    <w:autoRedefine/>
    <w:uiPriority w:val="39"/>
    <w:unhideWhenUsed/>
    <w:rsid w:val="009030AD"/>
    <w:pPr>
      <w:spacing w:before="0" w:after="0"/>
      <w:ind w:left="800"/>
    </w:pPr>
    <w:rPr>
      <w:rFonts w:asciiTheme="minorHAnsi" w:hAnsiTheme="minorHAnsi"/>
      <w:szCs w:val="20"/>
    </w:rPr>
  </w:style>
  <w:style w:type="paragraph" w:styleId="TOC7">
    <w:name w:val="toc 7"/>
    <w:basedOn w:val="Normal"/>
    <w:next w:val="Normal"/>
    <w:autoRedefine/>
    <w:uiPriority w:val="39"/>
    <w:unhideWhenUsed/>
    <w:rsid w:val="009030AD"/>
    <w:pPr>
      <w:spacing w:before="0" w:after="0"/>
      <w:ind w:left="1000"/>
    </w:pPr>
    <w:rPr>
      <w:rFonts w:asciiTheme="minorHAnsi" w:hAnsiTheme="minorHAnsi"/>
      <w:szCs w:val="20"/>
    </w:rPr>
  </w:style>
  <w:style w:type="paragraph" w:styleId="TOC8">
    <w:name w:val="toc 8"/>
    <w:basedOn w:val="Normal"/>
    <w:next w:val="Normal"/>
    <w:autoRedefine/>
    <w:uiPriority w:val="39"/>
    <w:unhideWhenUsed/>
    <w:rsid w:val="009030AD"/>
    <w:pPr>
      <w:spacing w:before="0" w:after="0"/>
      <w:ind w:left="1200"/>
    </w:pPr>
    <w:rPr>
      <w:rFonts w:asciiTheme="minorHAnsi" w:hAnsiTheme="minorHAnsi"/>
      <w:szCs w:val="20"/>
    </w:rPr>
  </w:style>
  <w:style w:type="paragraph" w:styleId="TOC9">
    <w:name w:val="toc 9"/>
    <w:basedOn w:val="Normal"/>
    <w:next w:val="Normal"/>
    <w:autoRedefine/>
    <w:uiPriority w:val="39"/>
    <w:unhideWhenUsed/>
    <w:rsid w:val="009030AD"/>
    <w:pPr>
      <w:spacing w:before="0" w:after="0"/>
      <w:ind w:left="1400"/>
    </w:pPr>
    <w:rPr>
      <w:rFonts w:asciiTheme="minorHAnsi" w:hAnsiTheme="minorHAnsi"/>
      <w:szCs w:val="20"/>
    </w:rPr>
  </w:style>
  <w:style w:type="paragraph" w:customStyle="1" w:styleId="figuretableheading">
    <w:name w:val="figure table heading"/>
    <w:basedOn w:val="datatableheading"/>
    <w:qFormat/>
    <w:rsid w:val="00651048"/>
  </w:style>
  <w:style w:type="paragraph" w:customStyle="1" w:styleId="figuretablesubheading">
    <w:name w:val="figure table sub heading"/>
    <w:basedOn w:val="figuretableheading"/>
    <w:qFormat/>
    <w:rsid w:val="00651048"/>
    <w:pPr>
      <w:spacing w:before="120"/>
    </w:pPr>
  </w:style>
  <w:style w:type="paragraph" w:customStyle="1" w:styleId="TOCshading">
    <w:name w:val="TOC shading"/>
    <w:basedOn w:val="TOC2"/>
    <w:qFormat/>
    <w:rsid w:val="00131F56"/>
  </w:style>
  <w:style w:type="table" w:customStyle="1" w:styleId="Yellowcalloutboxlayout">
    <w:name w:val="Yellow callout box layout"/>
    <w:basedOn w:val="TableNormal"/>
    <w:uiPriority w:val="99"/>
    <w:rsid w:val="00A72764"/>
    <w:tblPr>
      <w:tblCellMar>
        <w:top w:w="567" w:type="dxa"/>
        <w:left w:w="567" w:type="dxa"/>
        <w:bottom w:w="567" w:type="dxa"/>
        <w:right w:w="567" w:type="dxa"/>
      </w:tblCellMar>
    </w:tblPr>
    <w:tcPr>
      <w:shd w:val="clear" w:color="auto" w:fill="FFEEAE"/>
    </w:tcPr>
  </w:style>
  <w:style w:type="paragraph" w:customStyle="1" w:styleId="Listparagraph2">
    <w:name w:val="List paragraph 2"/>
    <w:basedOn w:val="ListParagraph"/>
    <w:qFormat/>
    <w:rsid w:val="00DA76C9"/>
    <w:pPr>
      <w:numPr>
        <w:ilvl w:val="1"/>
      </w:numPr>
      <w:ind w:left="1380"/>
    </w:pPr>
  </w:style>
  <w:style w:type="paragraph" w:customStyle="1" w:styleId="Coversubtitle">
    <w:name w:val="Cover subtitle"/>
    <w:basedOn w:val="Normal"/>
    <w:qFormat/>
    <w:rsid w:val="00041B7D"/>
    <w:rPr>
      <w:b/>
      <w:bCs/>
      <w:noProof/>
      <w:sz w:val="36"/>
      <w:szCs w:val="44"/>
    </w:rPr>
  </w:style>
  <w:style w:type="paragraph" w:customStyle="1" w:styleId="Coversubtitlesmall">
    <w:name w:val="Cover subtitle small"/>
    <w:basedOn w:val="Coversubtitle"/>
    <w:qFormat/>
    <w:rsid w:val="00041B7D"/>
    <w:rPr>
      <w:sz w:val="28"/>
      <w:szCs w:val="36"/>
    </w:rPr>
  </w:style>
  <w:style w:type="paragraph" w:customStyle="1" w:styleId="Listparagraph3">
    <w:name w:val="List paragraph 3"/>
    <w:basedOn w:val="Listparagraph2"/>
    <w:qFormat/>
    <w:rsid w:val="00DA76C9"/>
    <w:pPr>
      <w:numPr>
        <w:ilvl w:val="2"/>
      </w:numPr>
      <w:ind w:left="1888" w:hanging="357"/>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mh.com.au/national/people-tell-me-they-would-never-hit-their-partner-that-s-not-enough-20230707-p5dmnf.html" TargetMode="External"/><Relationship Id="rId299" Type="http://schemas.openxmlformats.org/officeDocument/2006/relationships/hyperlink" Target="https://doi.org/10.1007/s10964-016-0621-0" TargetMode="External"/><Relationship Id="rId21" Type="http://schemas.openxmlformats.org/officeDocument/2006/relationships/footer" Target="footer2.xml"/><Relationship Id="rId63" Type="http://schemas.openxmlformats.org/officeDocument/2006/relationships/hyperlink" Target="https://theconversation.com/making-change-making-history-making-noise-brittany-higgins-and-grace-tame-at-the-national-press-club-176252" TargetMode="External"/><Relationship Id="rId159" Type="http://schemas.openxmlformats.org/officeDocument/2006/relationships/hyperlink" Target="https://www.esafety.gov.au/young-people" TargetMode="External"/><Relationship Id="rId324" Type="http://schemas.openxmlformats.org/officeDocument/2006/relationships/hyperlink" Target="https://doi.org/10.1016/j.evalprogplan.2022.102207" TargetMode="External"/><Relationship Id="rId366" Type="http://schemas.openxmlformats.org/officeDocument/2006/relationships/hyperlink" Target="https://www.who.int/health-topics/gender" TargetMode="External"/><Relationship Id="rId170" Type="http://schemas.openxmlformats.org/officeDocument/2006/relationships/hyperlink" Target="https://research.qut.edu.au/centre-for-justice/wp-content/uploads/sites/304/2023/01/Who-uses-domestic-family-and-sexual-violence-how-and-why-The-State-of-Knowledge-Report-on-Violence-Perpetration-2023.pdf" TargetMode="External"/><Relationship Id="rId226" Type="http://schemas.openxmlformats.org/officeDocument/2006/relationships/hyperlink" Target="https://doi.org/10.1111/add.15485" TargetMode="External"/><Relationship Id="rId268" Type="http://schemas.openxmlformats.org/officeDocument/2006/relationships/hyperlink" Target="https://www.ofcom.org.uk/__data/assets/pdf_file/0024/134907/children-and-parents-media-use-and-attitudes-2018.pdf" TargetMode="External"/><Relationship Id="rId32" Type="http://schemas.openxmlformats.org/officeDocument/2006/relationships/image" Target="media/image19.png"/><Relationship Id="rId74" Type="http://schemas.openxmlformats.org/officeDocument/2006/relationships/hyperlink" Target="https://www.anrows.org.au/publication/australian-domestic-and-family-violence-death-review-network-data-report-intimate-partner-violence-homicides-2010-2018/" TargetMode="External"/><Relationship Id="rId128" Type="http://schemas.openxmlformats.org/officeDocument/2006/relationships/hyperlink" Target="https://www.anrows.org.au/publication/attitudes-matter-the-2021-national-community-attitudes-towards-violence-against-women-survey-ncas-findings-for-australia/" TargetMode="External"/><Relationship Id="rId335" Type="http://schemas.openxmlformats.org/officeDocument/2006/relationships/hyperlink" Target="https://cdn.jss.org.au/wp-content/uploads/2022/08/28111318/The-Man-Box-A-study-on-being-a-young-man-in-Australia-1.pdf" TargetMode="External"/><Relationship Id="rId5" Type="http://schemas.openxmlformats.org/officeDocument/2006/relationships/numbering" Target="numbering.xml"/><Relationship Id="rId181" Type="http://schemas.openxmlformats.org/officeDocument/2006/relationships/hyperlink" Target="https://theconversation.com/generation-z-when-it-comes-to-behaviour-not-all-digital-natives-look-alike-155694" TargetMode="External"/><Relationship Id="rId237" Type="http://schemas.openxmlformats.org/officeDocument/2006/relationships/hyperlink" Target="https://doi.org/10.1080/15388220.2016.1222499" TargetMode="External"/><Relationship Id="rId279" Type="http://schemas.openxmlformats.org/officeDocument/2006/relationships/hyperlink" Target="https://www.respectvictoria.vic.gov.au/understanding-backlash-and-resistance" TargetMode="External"/><Relationship Id="rId43" Type="http://schemas.openxmlformats.org/officeDocument/2006/relationships/image" Target="media/image30.png"/><Relationship Id="rId139" Type="http://schemas.openxmlformats.org/officeDocument/2006/relationships/hyperlink" Target="http://concept.lib.ed.ac.uk/article/view/4371" TargetMode="External"/><Relationship Id="rId290" Type="http://schemas.openxmlformats.org/officeDocument/2006/relationships/hyperlink" Target="https://journals.sagepub.com/doi/abs/10.3149/jms.2103.255" TargetMode="External"/><Relationship Id="rId304" Type="http://schemas.openxmlformats.org/officeDocument/2006/relationships/hyperlink" Target="https://www.abc.net.au/news/2022-01-24/grace-tame-legacy-as-australian-of-the-year/100774096" TargetMode="External"/><Relationship Id="rId346" Type="http://schemas.openxmlformats.org/officeDocument/2006/relationships/hyperlink" Target="https://doi.org/10.1080/13691058.2019.1670864" TargetMode="External"/><Relationship Id="rId85" Type="http://schemas.openxmlformats.org/officeDocument/2006/relationships/hyperlink" Target="https://doi.org/10.1177/0886260519875552" TargetMode="External"/><Relationship Id="rId150" Type="http://schemas.openxmlformats.org/officeDocument/2006/relationships/hyperlink" Target="https://doi.org/10.1002/9780470939406.ch13" TargetMode="External"/><Relationship Id="rId192" Type="http://schemas.openxmlformats.org/officeDocument/2006/relationships/hyperlink" Target="https://www.oecd.org/derec/49872444.pdf" TargetMode="External"/><Relationship Id="rId206" Type="http://schemas.openxmlformats.org/officeDocument/2006/relationships/hyperlink" Target="https://doi.org/10.1007/978-3-030-75319-1_5" TargetMode="External"/><Relationship Id="rId248" Type="http://schemas.openxmlformats.org/officeDocument/2006/relationships/hyperlink" Target="https://doi.org/10.1080/16549716.2020.1775061" TargetMode="External"/><Relationship Id="rId12" Type="http://schemas.openxmlformats.org/officeDocument/2006/relationships/image" Target="media/image2.png"/><Relationship Id="rId108" Type="http://schemas.openxmlformats.org/officeDocument/2006/relationships/hyperlink" Target="https://doi.org/10.1007/s42380-020-00075-2" TargetMode="External"/><Relationship Id="rId315" Type="http://schemas.openxmlformats.org/officeDocument/2006/relationships/hyperlink" Target="https://www.legislation.gov.au/Details/C2021C00420" TargetMode="External"/><Relationship Id="rId357" Type="http://schemas.openxmlformats.org/officeDocument/2006/relationships/hyperlink" Target="https://doi.org/10.1007/978-3-030-12633-9_7" TargetMode="External"/><Relationship Id="rId54" Type="http://schemas.openxmlformats.org/officeDocument/2006/relationships/image" Target="media/image41.png"/><Relationship Id="rId96" Type="http://schemas.openxmlformats.org/officeDocument/2006/relationships/hyperlink" Target="https://www.anrows.org.au/publication/intimate-partner-violence-during-the-covid-19-pandemic-a-survey-of-women-inaustralia/" TargetMode="External"/><Relationship Id="rId161" Type="http://schemas.openxmlformats.org/officeDocument/2006/relationships/hyperlink" Target="https://fra.europa.eu/sites/default/files/fra_uploads/fra-2014-vaw-survey-main-results-apr14_en.pdf" TargetMode="External"/><Relationship Id="rId217" Type="http://schemas.openxmlformats.org/officeDocument/2006/relationships/hyperlink" Target="https://disability.royalcommission.gov.au/publications/rapid-evidence-review-violence-abuse-neglect-and-exploitation-people-disability" TargetMode="External"/><Relationship Id="rId259" Type="http://schemas.openxmlformats.org/officeDocument/2006/relationships/hyperlink" Target="https://doi.org/10.1080/0966369X.2018.1553862" TargetMode="External"/><Relationship Id="rId23" Type="http://schemas.openxmlformats.org/officeDocument/2006/relationships/image" Target="media/image10.png"/><Relationship Id="rId119" Type="http://schemas.openxmlformats.org/officeDocument/2006/relationships/hyperlink" Target="https://doi.org/10.1016/j.dr.2021.100979" TargetMode="External"/><Relationship Id="rId270" Type="http://schemas.openxmlformats.org/officeDocument/2006/relationships/hyperlink" Target="https://doi.org/10.1093/socrel/srz001" TargetMode="External"/><Relationship Id="rId326" Type="http://schemas.openxmlformats.org/officeDocument/2006/relationships/hyperlink" Target="https://www.anrows.org.au/publication/young-people-as-agents-of-change-inpreventing-violence-against-women/" TargetMode="External"/><Relationship Id="rId65" Type="http://schemas.openxmlformats.org/officeDocument/2006/relationships/hyperlink" Target="https://www.ag.gov.au/families-and-marriage/publications/national-principles-address-coercive-control-family-and-domestic-violence" TargetMode="External"/><Relationship Id="rId130" Type="http://schemas.openxmlformats.org/officeDocument/2006/relationships/hyperlink" Target="https://www.dss.gov.au/women/programs-services/reducing-violence/the-national-plan-to-reduce-violence-against-women-and-their-children-2010-2022" TargetMode="External"/><Relationship Id="rId368" Type="http://schemas.openxmlformats.org/officeDocument/2006/relationships/hyperlink" Target="https://doi.org/10.1353/sof.2006.0151" TargetMode="External"/><Relationship Id="rId172" Type="http://schemas.openxmlformats.org/officeDocument/2006/relationships/hyperlink" Target="https://eprints.qut.edu.au/103828/1/__qut.edu.au_Documents_StaffHome_staffgroupB%24_bozzetto_Documents_2017001017.pdf" TargetMode="External"/><Relationship Id="rId228" Type="http://schemas.openxmlformats.org/officeDocument/2006/relationships/hyperlink" Target="https://doi.org/10.1016/B978-0-12-811797-2.00012-8" TargetMode="External"/><Relationship Id="rId281" Type="http://schemas.openxmlformats.org/officeDocument/2006/relationships/hyperlink" Target="https://workplace.ourwatch.org.au/" TargetMode="External"/><Relationship Id="rId337" Type="http://schemas.openxmlformats.org/officeDocument/2006/relationships/hyperlink" Target="https://doi.org/10.3390/ijerph18041980" TargetMode="External"/><Relationship Id="rId34" Type="http://schemas.openxmlformats.org/officeDocument/2006/relationships/image" Target="media/image21.png"/><Relationship Id="rId76" Type="http://schemas.openxmlformats.org/officeDocument/2006/relationships/hyperlink" Target="https://aifs.gov.au/research/facts-and-figures/young-people-living-parents" TargetMode="External"/><Relationship Id="rId141" Type="http://schemas.openxmlformats.org/officeDocument/2006/relationships/hyperlink" Target="https://doi.org/10.1080/00224499.2017.1417350" TargetMode="External"/><Relationship Id="rId7" Type="http://schemas.openxmlformats.org/officeDocument/2006/relationships/settings" Target="settings.xml"/><Relationship Id="rId183" Type="http://schemas.openxmlformats.org/officeDocument/2006/relationships/hyperlink" Target="https://doi.org/10.1027/1016-9040/a000392" TargetMode="External"/><Relationship Id="rId239" Type="http://schemas.openxmlformats.org/officeDocument/2006/relationships/hyperlink" Target="https://doi.org/10.1186/s12889-021-11172-2" TargetMode="External"/><Relationship Id="rId250" Type="http://schemas.openxmlformats.org/officeDocument/2006/relationships/hyperlink" Target="https://www.anrows.org.au/publication/chuck-her-on-a-lie-detector-investigating-australians-mistrust" TargetMode="External"/><Relationship Id="rId292" Type="http://schemas.openxmlformats.org/officeDocument/2006/relationships/hyperlink" Target="https://apo.org.au/sites/default/files/resource-files/2022-09/apo-nid319544.pdf" TargetMode="External"/><Relationship Id="rId306" Type="http://schemas.openxmlformats.org/officeDocument/2006/relationships/hyperlink" Target="https://www.unicef-irc.org/publications/pdf/Interventions-to-Reduce-Violence-Against-Children-in-LMICs-Evidence-and-Gap-Map-Overview-Ph1-and-2-findings.pdf" TargetMode="External"/><Relationship Id="rId45" Type="http://schemas.openxmlformats.org/officeDocument/2006/relationships/image" Target="media/image32.png"/><Relationship Id="rId87" Type="http://schemas.openxmlformats.org/officeDocument/2006/relationships/hyperlink" Target="http://dx.doi.org/10.1177/0886260512441078" TargetMode="External"/><Relationship Id="rId110" Type="http://schemas.openxmlformats.org/officeDocument/2006/relationships/hyperlink" Target="https://doi.org/10.1177/0886260520975834" TargetMode="External"/><Relationship Id="rId348" Type="http://schemas.openxmlformats.org/officeDocument/2006/relationships/hyperlink" Target="https://www.vichealth.vic.gov.au/-/media/ResourceCentre/PublicationsandResources/PVAW/Violence-Against-Women-Research-Overview.pdf" TargetMode="External"/><Relationship Id="rId152" Type="http://schemas.openxmlformats.org/officeDocument/2006/relationships/hyperlink" Target="https://doi.org/10.1007/s10896-022-00372-y" TargetMode="External"/><Relationship Id="rId194" Type="http://schemas.openxmlformats.org/officeDocument/2006/relationships/hyperlink" Target="https://doi.org/10.1007/s11199-020-01147-9" TargetMode="External"/><Relationship Id="rId208" Type="http://schemas.openxmlformats.org/officeDocument/2006/relationships/hyperlink" Target="https://doi.org/10.1037/a0037921" TargetMode="External"/><Relationship Id="rId261" Type="http://schemas.openxmlformats.org/officeDocument/2006/relationships/hyperlink" Target="https://dfvbenchbook.aija.org.au/understanding-domestic-and-family-violence/emotional-and-psychological-abuse/" TargetMode="External"/><Relationship Id="rId14" Type="http://schemas.openxmlformats.org/officeDocument/2006/relationships/hyperlink" Target="http://www.anrows.org.au/" TargetMode="External"/><Relationship Id="rId56" Type="http://schemas.openxmlformats.org/officeDocument/2006/relationships/hyperlink" Target="https://doi.org/10.1186/s12889-016-3018-9" TargetMode="External"/><Relationship Id="rId317" Type="http://schemas.openxmlformats.org/officeDocument/2006/relationships/hyperlink" Target="https://yougov.co.uk/topics/politics/articles-reports/2018/02/16/four-ten-female-millennials-been-sent-dick-pic" TargetMode="External"/><Relationship Id="rId359" Type="http://schemas.openxmlformats.org/officeDocument/2006/relationships/hyperlink" Target="https://doi.org/10.1002/ajcp.12224" TargetMode="External"/><Relationship Id="rId98" Type="http://schemas.openxmlformats.org/officeDocument/2006/relationships/hyperlink" Target="https://assets.publishing.service.gov.uk/government/uploads/system/uploads/attachment_data/file/474228/BIS-15-89-the-effect-of-higher-education-on-attitudes.pdf" TargetMode="External"/><Relationship Id="rId121" Type="http://schemas.openxmlformats.org/officeDocument/2006/relationships/hyperlink" Target="https://doi.org/10.15288/jsas.2002.s14.101" TargetMode="External"/><Relationship Id="rId163" Type="http://schemas.openxmlformats.org/officeDocument/2006/relationships/hyperlink" Target="https://doi.org/10.1080/13557858.2018.1447652" TargetMode="External"/><Relationship Id="rId219" Type="http://schemas.openxmlformats.org/officeDocument/2006/relationships/hyperlink" Target="https://www.dss.gov.au/sites/default/files/documents/08_2016/the_cost_of_violence_against_women_and_their_children_in_australia_-_summary_report_may_2016.pdf" TargetMode="External"/><Relationship Id="rId370" Type="http://schemas.openxmlformats.org/officeDocument/2006/relationships/footer" Target="footer4.xml"/><Relationship Id="rId230" Type="http://schemas.openxmlformats.org/officeDocument/2006/relationships/hyperlink" Target="https://doi.org/10.1080/13548506.2017.1282616" TargetMode="External"/><Relationship Id="rId25" Type="http://schemas.openxmlformats.org/officeDocument/2006/relationships/image" Target="media/image12.png"/><Relationship Id="rId67" Type="http://schemas.openxmlformats.org/officeDocument/2006/relationships/hyperlink" Target="https://www.abs.gov.au/ausstats/abs@.nsf/Lookup/by%20Subject/2071.0~2016~Main%20Features~Socio-Economic%20Advantage%20and%20Disadvantage~123" TargetMode="External"/><Relationship Id="rId272" Type="http://schemas.openxmlformats.org/officeDocument/2006/relationships/hyperlink" Target="https://issuu.com/oecd.publishing/docs/future-at-five-gendered-aspirations-five-year-olds" TargetMode="External"/><Relationship Id="rId328" Type="http://schemas.openxmlformats.org/officeDocument/2006/relationships/hyperlink" Target="https://doi.org/10.1177/0886260519900298" TargetMode="External"/><Relationship Id="rId132" Type="http://schemas.openxmlformats.org/officeDocument/2006/relationships/hyperlink" Target="https://www.anrows.org.au/publication/violence-against-women-in-australia-additional-analysis-of-the-australian-bureau-of-statistics-personal-safety-survey-2012/" TargetMode="External"/><Relationship Id="rId174" Type="http://schemas.openxmlformats.org/officeDocument/2006/relationships/hyperlink" Target="https://doi.org/10.1016/j.jadohealth.2010.07.030" TargetMode="External"/><Relationship Id="rId241" Type="http://schemas.openxmlformats.org/officeDocument/2006/relationships/hyperlink" Target="https://doi.org/10.1007/s12119-020-09771-z" TargetMode="External"/><Relationship Id="rId36" Type="http://schemas.openxmlformats.org/officeDocument/2006/relationships/image" Target="media/image23.png"/><Relationship Id="rId283" Type="http://schemas.openxmlformats.org/officeDocument/2006/relationships/hyperlink" Target="https://www.conorpall.com/about" TargetMode="External"/><Relationship Id="rId339" Type="http://schemas.openxmlformats.org/officeDocument/2006/relationships/hyperlink" Target="https://www.anrows.org.au/publication/a-life-course-approach-to-determining-the-prevalence-and-impact-of-sexual-violence-in-australia-findings-from-the-australian-longitudinal-study-on-womens-health/" TargetMode="External"/><Relationship Id="rId78" Type="http://schemas.openxmlformats.org/officeDocument/2006/relationships/hyperlink" Target="https://www.aihw.gov.au/reports/burden-of-disease/burden-disease-study-illness-death-2015/summary" TargetMode="External"/><Relationship Id="rId99" Type="http://schemas.openxmlformats.org/officeDocument/2006/relationships/hyperlink" Target="https://doi.org/10.1177/00031224211041094" TargetMode="External"/><Relationship Id="rId101" Type="http://schemas.openxmlformats.org/officeDocument/2006/relationships/hyperlink" Target="https://doi.org/10.3389/feduc.2020.00052" TargetMode="External"/><Relationship Id="rId122" Type="http://schemas.openxmlformats.org/officeDocument/2006/relationships/hyperlink" Target="https://doi.org/10.1080/13548506.2016.1271952" TargetMode="External"/><Relationship Id="rId143" Type="http://schemas.openxmlformats.org/officeDocument/2006/relationships/hyperlink" Target="https://doi.org/10.1177/1077801216648795" TargetMode="External"/><Relationship Id="rId164" Type="http://schemas.openxmlformats.org/officeDocument/2006/relationships/hyperlink" Target="https://www.mamamia.com.au/dhanya-mani-letter-to-scott-morrison/" TargetMode="External"/><Relationship Id="rId185" Type="http://schemas.openxmlformats.org/officeDocument/2006/relationships/hyperlink" Target="https://doi.org/10.1037/dev0000630" TargetMode="External"/><Relationship Id="rId350" Type="http://schemas.openxmlformats.org/officeDocument/2006/relationships/hyperlink" Target="https://www.smh.com.au/politics/federal/consent-and-coercion-in-sexual-relationships-to-be-part-of-national-curriculum-20220218-p59xmx.html" TargetMode="External"/><Relationship Id="rId371" Type="http://schemas.openxmlformats.org/officeDocument/2006/relationships/image" Target="media/image42.png"/><Relationship Id="rId9" Type="http://schemas.openxmlformats.org/officeDocument/2006/relationships/footnotes" Target="footnotes.xml"/><Relationship Id="rId210" Type="http://schemas.openxmlformats.org/officeDocument/2006/relationships/hyperlink" Target="https://healtheducationresources.unesco.org/library/documents/rigorous-global-evidence-review-interventions-prevent-violence-against-women-and" TargetMode="External"/><Relationship Id="rId26" Type="http://schemas.openxmlformats.org/officeDocument/2006/relationships/image" Target="media/image13.png"/><Relationship Id="rId231" Type="http://schemas.openxmlformats.org/officeDocument/2006/relationships/hyperlink" Target="https://www.lgbtiqhealth.org.au/lgbtiq_health_peak_body_welcomes_paid_domestic_and_family_violence_leave" TargetMode="External"/><Relationship Id="rId252" Type="http://schemas.openxmlformats.org/officeDocument/2006/relationships/hyperlink" Target="https://doi.org/10.6000/1929-4409.2021.10.61" TargetMode="External"/><Relationship Id="rId273" Type="http://schemas.openxmlformats.org/officeDocument/2006/relationships/hyperlink" Target="https://www.ourwatch.org.au/resource/changing-the-picture/" TargetMode="External"/><Relationship Id="rId294" Type="http://schemas.openxmlformats.org/officeDocument/2006/relationships/hyperlink" Target="https://apo.org.au/sites/default/files/resource-files/2014-05/apo-nid267426.pdf" TargetMode="External"/><Relationship Id="rId308" Type="http://schemas.openxmlformats.org/officeDocument/2006/relationships/hyperlink" Target="https://www.ncbi.nlm.nih.gov/pubmed/29310008" TargetMode="External"/><Relationship Id="rId329" Type="http://schemas.openxmlformats.org/officeDocument/2006/relationships/hyperlink" Target="https://doi.org/10.1136/bmjopen-2020-041339" TargetMode="External"/><Relationship Id="rId47" Type="http://schemas.openxmlformats.org/officeDocument/2006/relationships/image" Target="media/image34.png"/><Relationship Id="rId68" Type="http://schemas.openxmlformats.org/officeDocument/2006/relationships/hyperlink" Target="https://www.abs.gov.au/statistics/people/population/population-census/2021" TargetMode="External"/><Relationship Id="rId89" Type="http://schemas.openxmlformats.org/officeDocument/2006/relationships/hyperlink" Target="https://doi.org/10.1007/978-3-030-35162-5_4" TargetMode="External"/><Relationship Id="rId112" Type="http://schemas.openxmlformats.org/officeDocument/2006/relationships/hyperlink" Target="https://www.anrows.org.au/publication/it-depends-on-what-the-definition-of-domestic-violence-is-how-" TargetMode="External"/><Relationship Id="rId133" Type="http://schemas.openxmlformats.org/officeDocument/2006/relationships/hyperlink" Target="https://doi.org/10.1080/15546128.2020.1856744" TargetMode="External"/><Relationship Id="rId154" Type="http://schemas.openxmlformats.org/officeDocument/2006/relationships/hyperlink" Target="https://www.anrows.org.au/publication/whatever-it-takes-access-for-women-with-disabilities-to-domestic-and-family-violence-services-final-report/" TargetMode="External"/><Relationship Id="rId175" Type="http://schemas.openxmlformats.org/officeDocument/2006/relationships/hyperlink" Target="https://doi.org/10.1111/desc.12666" TargetMode="External"/><Relationship Id="rId340" Type="http://schemas.openxmlformats.org/officeDocument/2006/relationships/hyperlink" Target="https://www.transhub.org.au/language" TargetMode="External"/><Relationship Id="rId361" Type="http://schemas.openxmlformats.org/officeDocument/2006/relationships/hyperlink" Target="https://wesnet.org.au/wp-content/uploads/sites/3/2020/11/Wesnet-2020-2nd-National-Survey-Report-72pp-A4-FINAL.pdf" TargetMode="External"/><Relationship Id="rId196" Type="http://schemas.openxmlformats.org/officeDocument/2006/relationships/hyperlink" Target="https://doi.org/10.1177/1548051819849006" TargetMode="External"/><Relationship Id="rId200" Type="http://schemas.openxmlformats.org/officeDocument/2006/relationships/hyperlink" Target="https://doi.org/10.1177/15248380211050590" TargetMode="External"/><Relationship Id="rId16" Type="http://schemas.openxmlformats.org/officeDocument/2006/relationships/image" Target="media/image5.png"/><Relationship Id="rId221" Type="http://schemas.openxmlformats.org/officeDocument/2006/relationships/hyperlink" Target="https://static1.squarespace.com/static/596d8907b3db2b5b22158a4e/t/64f66257ae069407cbd0aa0c/1693868635099/WEAVERS+Australian+Framework+ethical+coproduction+LAUNCH.pdf" TargetMode="External"/><Relationship Id="rId242" Type="http://schemas.openxmlformats.org/officeDocument/2006/relationships/hyperlink" Target="https://srcd.onlinelibrary.wiley.com/doi/10.1111/1467-8624.00488" TargetMode="External"/><Relationship Id="rId263" Type="http://schemas.openxmlformats.org/officeDocument/2006/relationships/hyperlink" Target="https://doi.org/10.1023/A:1025108103617" TargetMode="External"/><Relationship Id="rId284" Type="http://schemas.openxmlformats.org/officeDocument/2006/relationships/hyperlink" Target="https://doi.org/10.1177/1077801220905663" TargetMode="External"/><Relationship Id="rId319" Type="http://schemas.openxmlformats.org/officeDocument/2006/relationships/hyperlink" Target="https://doi.org/10.1007/s10896-020-00198-6" TargetMode="External"/><Relationship Id="rId37" Type="http://schemas.openxmlformats.org/officeDocument/2006/relationships/image" Target="media/image24.png"/><Relationship Id="rId58" Type="http://schemas.openxmlformats.org/officeDocument/2006/relationships/hyperlink" Target="https://doi.org/10.1177/08862605221132784" TargetMode="External"/><Relationship Id="rId79" Type="http://schemas.openxmlformats.org/officeDocument/2006/relationships/hyperlink" Target="https://www.aihw.gov.au/getmedia/77dbea6e-f071-495c-b71e-3a632237269d/aihw-phe-270.pdf.aspx?inline=t" TargetMode="External"/><Relationship Id="rId102" Type="http://schemas.openxmlformats.org/officeDocument/2006/relationships/hyperlink" Target="https://www.anrows.org.au/publication/respectful-relationships-research-report/" TargetMode="External"/><Relationship Id="rId123" Type="http://schemas.openxmlformats.org/officeDocument/2006/relationships/hyperlink" Target="https://doi.org/10.1111/socf.12516" TargetMode="External"/><Relationship Id="rId144" Type="http://schemas.openxmlformats.org/officeDocument/2006/relationships/hyperlink" Target="https://doi.org/10.1177/1077801217724920" TargetMode="External"/><Relationship Id="rId330" Type="http://schemas.openxmlformats.org/officeDocument/2006/relationships/hyperlink" Target="https://doi.org/10.1177/1077801220971352" TargetMode="External"/><Relationship Id="rId90" Type="http://schemas.openxmlformats.org/officeDocument/2006/relationships/hyperlink" Target="https://doi.org/10.3390/bs5020154" TargetMode="External"/><Relationship Id="rId165" Type="http://schemas.openxmlformats.org/officeDocument/2006/relationships/hyperlink" Target="https://doi.org/10.1177/1097184X06287761" TargetMode="External"/><Relationship Id="rId186" Type="http://schemas.openxmlformats.org/officeDocument/2006/relationships/hyperlink" Target="https://doi.org/10.1007/978-3-319-89999-2_305" TargetMode="External"/><Relationship Id="rId351" Type="http://schemas.openxmlformats.org/officeDocument/2006/relationships/hyperlink" Target="https://doi.org/10.3390/ijerph18042141" TargetMode="External"/><Relationship Id="rId372" Type="http://schemas.openxmlformats.org/officeDocument/2006/relationships/footer" Target="footer5.xml"/><Relationship Id="rId211" Type="http://schemas.openxmlformats.org/officeDocument/2006/relationships/hyperlink" Target="https://psycnet.apa.org/doi/10.1108/eb022908" TargetMode="External"/><Relationship Id="rId232" Type="http://schemas.openxmlformats.org/officeDocument/2006/relationships/hyperlink" Target="https://doi.org/10.1111/1753-6405.12678" TargetMode="External"/><Relationship Id="rId253" Type="http://schemas.openxmlformats.org/officeDocument/2006/relationships/hyperlink" Target="https://doi.org/doi:10.1098/rspb.2022.0045" TargetMode="External"/><Relationship Id="rId274" Type="http://schemas.openxmlformats.org/officeDocument/2006/relationships/hyperlink" Target="https://www.ourwatch.org.au/resource/men-in-focus-practice-guide-addressing-masculinities-and-working-with-men-in-the-prevention-of-mens-violence-against-women/" TargetMode="External"/><Relationship Id="rId295" Type="http://schemas.openxmlformats.org/officeDocument/2006/relationships/hyperlink" Target="https://www.anrows.org.au/publication/technology-facilitated-abuse-national-survey-ofaustralian-adults-experiences/" TargetMode="External"/><Relationship Id="rId309" Type="http://schemas.openxmlformats.org/officeDocument/2006/relationships/hyperlink" Target="https://doi.org/10.1007/s10964-007-9226-y" TargetMode="Externa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hyperlink" Target="https://www.abs.gov.au/statistics/people/crime-and-justice/personal-safety-australia/latest-release" TargetMode="External"/><Relationship Id="rId113" Type="http://schemas.openxmlformats.org/officeDocument/2006/relationships/hyperlink" Target="https://www.latrobe.edu.au/__data/assets/pdf_file/0003/1141833/Pride-in-Prevention-Evidence-Guide.pdf" TargetMode="External"/><Relationship Id="rId134" Type="http://schemas.openxmlformats.org/officeDocument/2006/relationships/hyperlink" Target="https://doi.org/10.2307/1229039" TargetMode="External"/><Relationship Id="rId320" Type="http://schemas.openxmlformats.org/officeDocument/2006/relationships/hyperlink" Target="https://doi.org/10.1037/vio0000156" TargetMode="External"/><Relationship Id="rId80" Type="http://schemas.openxmlformats.org/officeDocument/2006/relationships/hyperlink" Target="https://apo.org.au/sites/default/files/resource-files/2021-12/apo-nid315733.pdf" TargetMode="External"/><Relationship Id="rId155" Type="http://schemas.openxmlformats.org/officeDocument/2006/relationships/hyperlink" Target="https://doi.org/10.1037/a0038656" TargetMode="External"/><Relationship Id="rId176" Type="http://schemas.openxmlformats.org/officeDocument/2006/relationships/hyperlink" Target="https://doi.org/10.1177/0886260515570747" TargetMode="External"/><Relationship Id="rId197" Type="http://schemas.openxmlformats.org/officeDocument/2006/relationships/hyperlink" Target="https://doi.org/10.1007/s10995-013-1389-4" TargetMode="External"/><Relationship Id="rId341" Type="http://schemas.openxmlformats.org/officeDocument/2006/relationships/hyperlink" Target="https://www.unicef.org/media/134441/file/Gender_Transformative_Parenting_Resource_Modules.pdf" TargetMode="External"/><Relationship Id="rId362" Type="http://schemas.openxmlformats.org/officeDocument/2006/relationships/hyperlink" Target="https://www.wgea.gov.au/tools/gender-strategy-toolkit" TargetMode="External"/><Relationship Id="rId201" Type="http://schemas.openxmlformats.org/officeDocument/2006/relationships/hyperlink" Target="https://doi.org/10.52922/ti04077" TargetMode="External"/><Relationship Id="rId222" Type="http://schemas.openxmlformats.org/officeDocument/2006/relationships/hyperlink" Target="https://safeandequal.org.au/wp-content/uploads/DVV_EBE-Framework-Report.pdf" TargetMode="External"/><Relationship Id="rId243" Type="http://schemas.openxmlformats.org/officeDocument/2006/relationships/hyperlink" Target="https://doi.org/10.1177/1097184X06294008" TargetMode="External"/><Relationship Id="rId264" Type="http://schemas.openxmlformats.org/officeDocument/2006/relationships/hyperlink" Target="https://doi.org/10.1080/09589236.2016.1202815" TargetMode="External"/><Relationship Id="rId285" Type="http://schemas.openxmlformats.org/officeDocument/2006/relationships/hyperlink" Target="https://doi.org/10.1016/S0140-6736(16)00579-1" TargetMode="External"/><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hyperlink" Target="https://doi.org/10.1016/j.childyouth.2020.105134" TargetMode="External"/><Relationship Id="rId103" Type="http://schemas.openxmlformats.org/officeDocument/2006/relationships/hyperlink" Target="https://www.kirby.unsw.edu.au/research/reports/2018-australian-trans-and-gender-diverse-sexual-health-survey-report-findings" TargetMode="External"/><Relationship Id="rId124" Type="http://schemas.openxmlformats.org/officeDocument/2006/relationships/hyperlink" Target="https://doi.org/10.1177/1077801215602343" TargetMode="External"/><Relationship Id="rId310" Type="http://schemas.openxmlformats.org/officeDocument/2006/relationships/hyperlink" Target="https://doi.org/10.1037/vio0000198" TargetMode="External"/><Relationship Id="rId70" Type="http://schemas.openxmlformats.org/officeDocument/2006/relationships/hyperlink" Target="https://www.abs.gov.au/statistics/people/crime-and-justice/sexual-harassment/2021-22" TargetMode="External"/><Relationship Id="rId91" Type="http://schemas.openxmlformats.org/officeDocument/2006/relationships/hyperlink" Target="https://doi.org/10.1177/2374623816680622" TargetMode="External"/><Relationship Id="rId145" Type="http://schemas.openxmlformats.org/officeDocument/2006/relationships/hyperlink" Target="https://books.google.com.au/books?id=AWYCAQAAQBAJ" TargetMode="External"/><Relationship Id="rId166" Type="http://schemas.openxmlformats.org/officeDocument/2006/relationships/hyperlink" Target="https://doi.org/10.1002/car.1092" TargetMode="External"/><Relationship Id="rId187" Type="http://schemas.openxmlformats.org/officeDocument/2006/relationships/hyperlink" Target="https://doi.org/10.1111/jomf.12652" TargetMode="External"/><Relationship Id="rId331" Type="http://schemas.openxmlformats.org/officeDocument/2006/relationships/hyperlink" Target="https://doi.org/10.1123/wspaj.2017-0038" TargetMode="External"/><Relationship Id="rId352" Type="http://schemas.openxmlformats.org/officeDocument/2006/relationships/hyperlink" Target="https://theconversation.com/carceral-feminism-and-coercive-control-when-indigenous-women-arent-seen-as-ideal-victims-witnesses-or-women-161091"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doi.org/10.1371/journal.pone.0230085" TargetMode="External"/><Relationship Id="rId233" Type="http://schemas.openxmlformats.org/officeDocument/2006/relationships/hyperlink" Target="https://doi.org/https://doi.org/10.2307/j.ctvtv93zk" TargetMode="External"/><Relationship Id="rId254" Type="http://schemas.openxmlformats.org/officeDocument/2006/relationships/hyperlink" Target="https://doi.org/10.1177/0886260518777555" TargetMode="Externa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yperlink" Target="https://rainbowhealthaustralia.org.au/research-resources" TargetMode="External"/><Relationship Id="rId275" Type="http://schemas.openxmlformats.org/officeDocument/2006/relationships/hyperlink" Target="https://www.ourwatch.org.au/resource/change-the-story-a-shared-framework-for-the-primary-prevention-of-violence-against-women-in-australia" TargetMode="External"/><Relationship Id="rId296" Type="http://schemas.openxmlformats.org/officeDocument/2006/relationships/hyperlink" Target="https://doi.org/10.1177/0886260516672055" TargetMode="External"/><Relationship Id="rId300" Type="http://schemas.openxmlformats.org/officeDocument/2006/relationships/hyperlink" Target="https://doi.org/10.1080/15213269.2016.1267648" TargetMode="External"/><Relationship Id="rId60" Type="http://schemas.openxmlformats.org/officeDocument/2006/relationships/hyperlink" Target="https://dictionary.apa.org/heteronormativity" TargetMode="External"/><Relationship Id="rId81" Type="http://schemas.openxmlformats.org/officeDocument/2006/relationships/hyperlink" Target="https://www.aihw.gov.au/reports/domestic-violence/family-domestic-and-sexual-violence" TargetMode="External"/><Relationship Id="rId135" Type="http://schemas.openxmlformats.org/officeDocument/2006/relationships/hyperlink" Target="https://doi.org/10.1080/10345329.2020.1867039" TargetMode="External"/><Relationship Id="rId156" Type="http://schemas.openxmlformats.org/officeDocument/2006/relationships/hyperlink" Target="https://psycnet.apa.org/doi/10.1016/j.avb.2017.06.004" TargetMode="External"/><Relationship Id="rId177" Type="http://schemas.openxmlformats.org/officeDocument/2006/relationships/hyperlink" Target="https://doi.org/10.1007/s11195-016-9460-x" TargetMode="External"/><Relationship Id="rId198" Type="http://schemas.openxmlformats.org/officeDocument/2006/relationships/hyperlink" Target="https://doi.org/10.1177/0891243214526468" TargetMode="External"/><Relationship Id="rId321" Type="http://schemas.openxmlformats.org/officeDocument/2006/relationships/hyperlink" Target="https://doi.org/10.1177/0886260516633204" TargetMode="External"/><Relationship Id="rId342" Type="http://schemas.openxmlformats.org/officeDocument/2006/relationships/hyperlink" Target="https://www.bbc.com/news/world-australia-61714818" TargetMode="External"/><Relationship Id="rId363" Type="http://schemas.openxmlformats.org/officeDocument/2006/relationships/hyperlink" Target="https://apo.org.au/sites/default/files/resource-files/2022-02/apo-nid316412.pdf" TargetMode="External"/><Relationship Id="rId202" Type="http://schemas.openxmlformats.org/officeDocument/2006/relationships/hyperlink" Target="https://doi.org/10.1016/j.abrep.2020.100311" TargetMode="External"/><Relationship Id="rId223" Type="http://schemas.openxmlformats.org/officeDocument/2006/relationships/hyperlink" Target="https://doi.org/10.1111/soc4.12933" TargetMode="External"/><Relationship Id="rId244" Type="http://schemas.openxmlformats.org/officeDocument/2006/relationships/hyperlink" Target="https://doi.org/10.1371/journal.pone.0207091" TargetMode="External"/><Relationship Id="rId18" Type="http://schemas.openxmlformats.org/officeDocument/2006/relationships/image" Target="media/image7.png"/><Relationship Id="rId39" Type="http://schemas.openxmlformats.org/officeDocument/2006/relationships/image" Target="media/image26.png"/><Relationship Id="rId265" Type="http://schemas.openxmlformats.org/officeDocument/2006/relationships/hyperlink" Target="https://www.unicef.org/media/129821/file/Tackling%20Gender%20Equality%20From%20the%20Early%20Years%253" TargetMode="External"/><Relationship Id="rId286" Type="http://schemas.openxmlformats.org/officeDocument/2006/relationships/hyperlink" Target="https://doi.org/10.1177/0361684313501999" TargetMode="External"/><Relationship Id="rId50" Type="http://schemas.openxmlformats.org/officeDocument/2006/relationships/image" Target="media/image37.png"/><Relationship Id="rId104" Type="http://schemas.openxmlformats.org/officeDocument/2006/relationships/hyperlink" Target="https://doi.org/10.1177/1524838015585318" TargetMode="External"/><Relationship Id="rId125" Type="http://schemas.openxmlformats.org/officeDocument/2006/relationships/hyperlink" Target="https://doi.org/10.1007/s12144-020-01159-4" TargetMode="External"/><Relationship Id="rId146" Type="http://schemas.openxmlformats.org/officeDocument/2006/relationships/hyperlink" Target="https://doi.org/10.1016/j.dhjo.2018.01.006" TargetMode="External"/><Relationship Id="rId167" Type="http://schemas.openxmlformats.org/officeDocument/2006/relationships/hyperlink" Target="https://doi.org/10.13128/ccselap-25826" TargetMode="External"/><Relationship Id="rId188" Type="http://schemas.openxmlformats.org/officeDocument/2006/relationships/hyperlink" Target="https://doi.org/10.1080/1369118X.2020.1770832" TargetMode="External"/><Relationship Id="rId311" Type="http://schemas.openxmlformats.org/officeDocument/2006/relationships/hyperlink" Target="https://doi.org/10.1177/1077801218820196" TargetMode="External"/><Relationship Id="rId332" Type="http://schemas.openxmlformats.org/officeDocument/2006/relationships/hyperlink" Target="https://doi.org/10.1177/0886260517726969" TargetMode="External"/><Relationship Id="rId353" Type="http://schemas.openxmlformats.org/officeDocument/2006/relationships/hyperlink" Target="https://doi.org/10.1016/j.chiabu.2018.03.022" TargetMode="External"/><Relationship Id="rId374" Type="http://schemas.openxmlformats.org/officeDocument/2006/relationships/theme" Target="theme/theme1.xml"/><Relationship Id="rId71" Type="http://schemas.openxmlformats.org/officeDocument/2006/relationships/hyperlink" Target="https://www.abs.gov.au/statistics/people/crime-and-justice/sexual-violence/2021-22" TargetMode="External"/><Relationship Id="rId92" Type="http://schemas.openxmlformats.org/officeDocument/2006/relationships/hyperlink" Target="https://doi.org/10.3390/sexes3010007" TargetMode="External"/><Relationship Id="rId213" Type="http://schemas.openxmlformats.org/officeDocument/2006/relationships/hyperlink" Target="https://doi.org/10.1007/s00127-0141002-1" TargetMode="External"/><Relationship Id="rId234" Type="http://schemas.openxmlformats.org/officeDocument/2006/relationships/hyperlink" Target="https://www.anrows.org.au/publication/australian-national-research-agenda-to-end-violence-against-women-and-children/" TargetMode="External"/><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hyperlink" Target="https://doi.org/10.1016/j.avb.2016.09.001" TargetMode="External"/><Relationship Id="rId276" Type="http://schemas.openxmlformats.org/officeDocument/2006/relationships/hyperlink" Target="https://media-cdn.ourwatch.org.au/wp-content/uploads/sites/2/2021/11/18101910/Change-the-story-exec-summary-AA.pdf" TargetMode="External"/><Relationship Id="rId297" Type="http://schemas.openxmlformats.org/officeDocument/2006/relationships/hyperlink" Target="https://doi.org/10.1111/fare.12182" TargetMode="External"/><Relationship Id="rId40" Type="http://schemas.openxmlformats.org/officeDocument/2006/relationships/image" Target="media/image27.png"/><Relationship Id="rId115" Type="http://schemas.openxmlformats.org/officeDocument/2006/relationships/hyperlink" Target="https://www.cdc.gov/violenceprevention/about/social-ecologicalmodel.html" TargetMode="External"/><Relationship Id="rId136" Type="http://schemas.openxmlformats.org/officeDocument/2006/relationships/hyperlink" Target="https://doi.org/10.1007/s12119-019-09632-4" TargetMode="External"/><Relationship Id="rId157" Type="http://schemas.openxmlformats.org/officeDocument/2006/relationships/hyperlink" Target="https://www.esafety.gov.au/key-issues/domestic-family-violence" TargetMode="External"/><Relationship Id="rId178" Type="http://schemas.openxmlformats.org/officeDocument/2006/relationships/hyperlink" Target="https://doi.org/10.1177/026975800301000201" TargetMode="External"/><Relationship Id="rId301" Type="http://schemas.openxmlformats.org/officeDocument/2006/relationships/hyperlink" Target="https://www.australiansuper.com/campaigns/future-face-of-poverty" TargetMode="External"/><Relationship Id="rId322" Type="http://schemas.openxmlformats.org/officeDocument/2006/relationships/hyperlink" Target="https://doi.org/10.1007/s11195-017-9513-9" TargetMode="External"/><Relationship Id="rId343" Type="http://schemas.openxmlformats.org/officeDocument/2006/relationships/hyperlink" Target="https://doi.org/10.1016/j.wsif.2014.11.014" TargetMode="External"/><Relationship Id="rId364" Type="http://schemas.openxmlformats.org/officeDocument/2006/relationships/hyperlink" Target="https://apps.who.int/iris/bitstream/handle/10665/341337/9789240022256-eng.pdf?sequence=1" TargetMode="External"/><Relationship Id="rId61" Type="http://schemas.openxmlformats.org/officeDocument/2006/relationships/hyperlink" Target="https://doi.org/10.1177/1077801216687875" TargetMode="External"/><Relationship Id="rId82" Type="http://schemas.openxmlformats.org/officeDocument/2006/relationships/hyperlink" Target="https://www.anrows.org.au/publication/research-summary-the-impacts-of-domestic-and-family-violence-o" TargetMode="External"/><Relationship Id="rId199" Type="http://schemas.openxmlformats.org/officeDocument/2006/relationships/hyperlink" Target="https://doi.org/10.3389/fhumd.2021.769611" TargetMode="External"/><Relationship Id="rId203" Type="http://schemas.openxmlformats.org/officeDocument/2006/relationships/hyperlink" Target="https://doi.org/10.1080/09540253.2018.1501006" TargetMode="External"/><Relationship Id="rId19" Type="http://schemas.openxmlformats.org/officeDocument/2006/relationships/image" Target="media/image8.png"/><Relationship Id="rId224" Type="http://schemas.openxmlformats.org/officeDocument/2006/relationships/hyperlink" Target="https://doi.org/10.1080/02673843.2019.1590852" TargetMode="External"/><Relationship Id="rId245" Type="http://schemas.openxmlformats.org/officeDocument/2006/relationships/hyperlink" Target="https://doi.org/10.4119/ijcv-2922" TargetMode="External"/><Relationship Id="rId266" Type="http://schemas.openxmlformats.org/officeDocument/2006/relationships/hyperlink" Target="https://doi.org/10.1177/14614448221125417" TargetMode="External"/><Relationship Id="rId287" Type="http://schemas.openxmlformats.org/officeDocument/2006/relationships/hyperlink" Target="https://doi.org/10.1177/21582440211066917" TargetMode="External"/><Relationship Id="rId30" Type="http://schemas.openxmlformats.org/officeDocument/2006/relationships/image" Target="media/image17.png"/><Relationship Id="rId105" Type="http://schemas.openxmlformats.org/officeDocument/2006/relationships/hyperlink" Target="https://www.anrows.org.au/publication/wrap-around-families-experiencing-avith-towards-a-collaborative-service-response/" TargetMode="External"/><Relationship Id="rId126" Type="http://schemas.openxmlformats.org/officeDocument/2006/relationships/hyperlink" Target="https://www.anrows.org.au/publication/attitudes-matter-the-2021-national-community-attitudes-towards-violence-against-women-survey-ncas-technical-report/" TargetMode="External"/><Relationship Id="rId147" Type="http://schemas.openxmlformats.org/officeDocument/2006/relationships/hyperlink" Target="https://www.education.gov.au/about-department/corporate-reporting/budget/budget-october-2022-23" TargetMode="External"/><Relationship Id="rId168" Type="http://schemas.openxmlformats.org/officeDocument/2006/relationships/hyperlink" Target="https://doi.org/10.1016/S0140-6736(19)31295-4" TargetMode="External"/><Relationship Id="rId312" Type="http://schemas.openxmlformats.org/officeDocument/2006/relationships/hyperlink" Target="https://doi.org/10.1177/00812463221119302" TargetMode="External"/><Relationship Id="rId333" Type="http://schemas.openxmlformats.org/officeDocument/2006/relationships/hyperlink" Target="https://www.teachusconsent.com/" TargetMode="External"/><Relationship Id="rId354" Type="http://schemas.openxmlformats.org/officeDocument/2006/relationships/hyperlink" Target="https://search.informit.org/documentSummary;dn=344244162621697;res=IELAPA" TargetMode="External"/><Relationship Id="rId51" Type="http://schemas.openxmlformats.org/officeDocument/2006/relationships/image" Target="media/image38.png"/><Relationship Id="rId72" Type="http://schemas.openxmlformats.org/officeDocument/2006/relationships/hyperlink" Target="https://www.acma.gov.au/sites/default/files/2021-05/The%20digital%20lives%20of%20younger%20Australians.pdf" TargetMode="External"/><Relationship Id="rId93" Type="http://schemas.openxmlformats.org/officeDocument/2006/relationships/hyperlink" Target="https://doi.org/10.1007/s10508-021-01924-x" TargetMode="External"/><Relationship Id="rId189" Type="http://schemas.openxmlformats.org/officeDocument/2006/relationships/hyperlink" Target="http://www.acms.au/wp-content/uploads/2023/04/3846.1_ACMS_A4Report_C1_Digital-Near-final.pdf" TargetMode="External"/><Relationship Id="rId3" Type="http://schemas.openxmlformats.org/officeDocument/2006/relationships/customXml" Target="../customXml/item3.xml"/><Relationship Id="rId214" Type="http://schemas.openxmlformats.org/officeDocument/2006/relationships/hyperlink" Target="https://doi.org/10.1037/0022-006X.71.2.339" TargetMode="External"/><Relationship Id="rId235" Type="http://schemas.openxmlformats.org/officeDocument/2006/relationships/hyperlink" Target="https://doi.org/10.1016/j.socscimed.2022.115064" TargetMode="External"/><Relationship Id="rId256" Type="http://schemas.openxmlformats.org/officeDocument/2006/relationships/hyperlink" Target="https://doi.org/10.1177/0886260518778258" TargetMode="External"/><Relationship Id="rId277" Type="http://schemas.openxmlformats.org/officeDocument/2006/relationships/hyperlink" Target="https://media-cdn.ourwatch.org.au/wp-content/uploads/sites/2/2021/03/29130252/RRE-Evidence-paper-accessible-100321.pdf" TargetMode="External"/><Relationship Id="rId298" Type="http://schemas.openxmlformats.org/officeDocument/2006/relationships/hyperlink" Target="https://doi.org/10.1891/0886-6708.VV-D-13-00123" TargetMode="External"/><Relationship Id="rId116" Type="http://schemas.openxmlformats.org/officeDocument/2006/relationships/hyperlink" Target="https://doi.org/10.1016/j.jadohealth.2017.07.012" TargetMode="External"/><Relationship Id="rId137" Type="http://schemas.openxmlformats.org/officeDocument/2006/relationships/hyperlink" Target="https://doi.org/10.14658/pupj-ijse-2018-2-6" TargetMode="External"/><Relationship Id="rId158" Type="http://schemas.openxmlformats.org/officeDocument/2006/relationships/hyperlink" Target="https://www.esafety.gov.au/research/mind-gap" TargetMode="External"/><Relationship Id="rId302" Type="http://schemas.openxmlformats.org/officeDocument/2006/relationships/hyperlink" Target="https://doi.org/10.1007/s10896-020-00187-9" TargetMode="External"/><Relationship Id="rId323" Type="http://schemas.openxmlformats.org/officeDocument/2006/relationships/hyperlink" Target="https://time.com/5786710/kimberle-crenshaw-intersectionality/" TargetMode="External"/><Relationship Id="rId344"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0" Type="http://schemas.openxmlformats.org/officeDocument/2006/relationships/footer" Target="footer1.xml"/><Relationship Id="rId41" Type="http://schemas.openxmlformats.org/officeDocument/2006/relationships/image" Target="media/image28.png"/><Relationship Id="rId62" Type="http://schemas.openxmlformats.org/officeDocument/2006/relationships/hyperlink" Target="https://doi.org/10.1177/0886260503260247" TargetMode="External"/><Relationship Id="rId83" Type="http://schemas.openxmlformats.org/officeDocument/2006/relationships/hyperlink" Target="https://evidenceportal.au/" TargetMode="External"/><Relationship Id="rId179" Type="http://schemas.openxmlformats.org/officeDocument/2006/relationships/hyperlink" Target="https://doi.org/10.1177/1077801211407296" TargetMode="External"/><Relationship Id="rId365" Type="http://schemas.openxmlformats.org/officeDocument/2006/relationships/hyperlink" Target="https://www.who.int/news-room/fact-sheets/detail/violence-againstwomen" TargetMode="External"/><Relationship Id="rId190" Type="http://schemas.openxmlformats.org/officeDocument/2006/relationships/hyperlink" Target="https://www.anrows.org.au/publication/i-just-felt-like-i-was-running-around-in-a-circle-listening-to-the-voices-of-victims-and-perpetrators-to-transform-responses-to-intimate-partnerviolence/" TargetMode="External"/><Relationship Id="rId204" Type="http://schemas.openxmlformats.org/officeDocument/2006/relationships/hyperlink" Target="https://doi.org/10.1007/s11121-018-0909-2" TargetMode="External"/><Relationship Id="rId225" Type="http://schemas.openxmlformats.org/officeDocument/2006/relationships/hyperlink" Target="https://www.anrows.org.au/publication/improving-family-violence-legal-and-support-services-for-aboriginal-and-torres-strait-islander-women/" TargetMode="External"/><Relationship Id="rId246" Type="http://schemas.openxmlformats.org/officeDocument/2006/relationships/hyperlink" Target="https://doi.org/10.4324/9780429281167" TargetMode="External"/><Relationship Id="rId267" Type="http://schemas.openxmlformats.org/officeDocument/2006/relationships/hyperlink" Target="https://doi.org/10.1177/1060826520934771" TargetMode="External"/><Relationship Id="rId288" Type="http://schemas.openxmlformats.org/officeDocument/2006/relationships/hyperlink" Target="https://apo.org.au/node/1802" TargetMode="External"/><Relationship Id="rId106" Type="http://schemas.openxmlformats.org/officeDocument/2006/relationships/hyperlink" Target="https://www.anrows.org.au/publication/the-pipa-project-positive-interventions-for-perpetrators-of-adolescent-violence-in-the-home-avith/" TargetMode="External"/><Relationship Id="rId127" Type="http://schemas.openxmlformats.org/officeDocument/2006/relationships/hyperlink" Target="https://www.anrows.org.au/publication/attitudes-matter-the-2021-national-community-attitudes-towards-violence-against-women-survey-ncas-findings-for-australian-states-and-territories/" TargetMode="External"/><Relationship Id="rId313" Type="http://schemas.openxmlformats.org/officeDocument/2006/relationships/hyperlink" Target="https://www.aic.gov.au/publications/sr/sr39" TargetMode="External"/><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hyperlink" Target="https://www.australiancurriculum.edu.au/resources/curriculum-connections/portfolios/respect-matters/" TargetMode="External"/><Relationship Id="rId94" Type="http://schemas.openxmlformats.org/officeDocument/2006/relationships/hyperlink" Target="https://www.bodysafetyaustralia.com.au/naked-truths-consent-respectful-relationships-and-esafety" TargetMode="External"/><Relationship Id="rId148" Type="http://schemas.openxmlformats.org/officeDocument/2006/relationships/hyperlink" Target="https://www.dss.gov.au/the-national-plan-to-end-violence-against-women-and-children/the-national-plan-to-end-violence-against-women-and-children-2022-2032" TargetMode="External"/><Relationship Id="rId169" Type="http://schemas.openxmlformats.org/officeDocument/2006/relationships/hyperlink" Target="https://www.vichealth.vic.gov.au/sites/default/files/VicHealth-Attitudes-to-men-and-masculinity-report-July-2020.pdf" TargetMode="External"/><Relationship Id="rId334" Type="http://schemas.openxmlformats.org/officeDocument/2006/relationships/hyperlink" Target="https://doi.org/10.1177/1524838018781104" TargetMode="External"/><Relationship Id="rId355" Type="http://schemas.openxmlformats.org/officeDocument/2006/relationships/hyperlink" Target="https://doi.org/10.1177/10778012211024266" TargetMode="External"/><Relationship Id="rId4" Type="http://schemas.openxmlformats.org/officeDocument/2006/relationships/customXml" Target="../customXml/item4.xml"/><Relationship Id="rId180" Type="http://schemas.openxmlformats.org/officeDocument/2006/relationships/hyperlink" Target="https://doi.org/10.1016/S0140-6736(14)61830-4" TargetMode="External"/><Relationship Id="rId215" Type="http://schemas.openxmlformats.org/officeDocument/2006/relationships/hyperlink" Target="https://doi.org/10.17226/26631" TargetMode="External"/><Relationship Id="rId236" Type="http://schemas.openxmlformats.org/officeDocument/2006/relationships/hyperlink" Target="https://www.anrows.org.au/publication/examination-of-the-health-outcomes-of-intimate-partner-violence-against-women-state-of-knowledge-paper/" TargetMode="External"/><Relationship Id="rId257" Type="http://schemas.openxmlformats.org/officeDocument/2006/relationships/hyperlink" Target="https://kinder.ces.uc.pt/wp-content/uploads/2023/07/manual_kinder_eu_01d.pdf" TargetMode="External"/><Relationship Id="rId278" Type="http://schemas.openxmlformats.org/officeDocument/2006/relationships/hyperlink" Target="https://apo.org.au/sites/default/files/resource-files/2021-05/apo-nid312142.pdf" TargetMode="External"/><Relationship Id="rId303" Type="http://schemas.openxmlformats.org/officeDocument/2006/relationships/hyperlink" Target="https://doi.org/10.1016/j.ssresearch.2018.12.003" TargetMode="External"/><Relationship Id="rId42" Type="http://schemas.openxmlformats.org/officeDocument/2006/relationships/image" Target="media/image29.png"/><Relationship Id="rId84" Type="http://schemas.openxmlformats.org/officeDocument/2006/relationships/hyperlink" Target="https://doi.org/10.3390/ijerph19031077" TargetMode="External"/><Relationship Id="rId138" Type="http://schemas.openxmlformats.org/officeDocument/2006/relationships/hyperlink" Target="https://doi.org/10.1027/1864-9335/a000248" TargetMode="External"/><Relationship Id="rId345" Type="http://schemas.openxmlformats.org/officeDocument/2006/relationships/hyperlink" Target="https://plan-international.org/uploads/2021/12/state_of_the_worlds_fathers_2019_full_2.pdf" TargetMode="External"/><Relationship Id="rId191" Type="http://schemas.openxmlformats.org/officeDocument/2006/relationships/hyperlink" Target="https://doi.org/10.1177/1077801298004003002" TargetMode="External"/><Relationship Id="rId205" Type="http://schemas.openxmlformats.org/officeDocument/2006/relationships/hyperlink" Target="https://doi.org/10.1080/09540253.2019.1594706" TargetMode="External"/><Relationship Id="rId247" Type="http://schemas.openxmlformats.org/officeDocument/2006/relationships/hyperlink" Target="https://doi.org/10.1080/10615806.2015.1028030" TargetMode="External"/><Relationship Id="rId107" Type="http://schemas.openxmlformats.org/officeDocument/2006/relationships/hyperlink" Target="https://www.wlsnsw.org.au/wp-content/uploads/Campbell-H.DV-and-tech.-PROOFv2.-LSJ-Feb-2019-copy.pdf" TargetMode="External"/><Relationship Id="rId289" Type="http://schemas.openxmlformats.org/officeDocument/2006/relationships/hyperlink" Target="https://doi.org/10.1007/978-3-030-56930-3_4" TargetMode="External"/><Relationship Id="rId11" Type="http://schemas.openxmlformats.org/officeDocument/2006/relationships/image" Target="media/image1.png"/><Relationship Id="rId53" Type="http://schemas.openxmlformats.org/officeDocument/2006/relationships/image" Target="media/image40.png"/><Relationship Id="rId149" Type="http://schemas.openxmlformats.org/officeDocument/2006/relationships/hyperlink" Target="https://prevention-collaborative.org/wp-content/uploads/2019/11/Evidence-Review-Parenting-programmes-lowres-23112019.pdf" TargetMode="External"/><Relationship Id="rId314" Type="http://schemas.openxmlformats.org/officeDocument/2006/relationships/hyperlink" Target="https://doi.org/10.1007/s13178-020-00488-0" TargetMode="External"/><Relationship Id="rId356" Type="http://schemas.openxmlformats.org/officeDocument/2006/relationships/hyperlink" Target="https://doi.org/10.1007/978-3-319-89999-2_303" TargetMode="External"/><Relationship Id="rId95" Type="http://schemas.openxmlformats.org/officeDocument/2006/relationships/hyperlink" Target="https://doi.org/10.1177/07916035211034355" TargetMode="External"/><Relationship Id="rId160" Type="http://schemas.openxmlformats.org/officeDocument/2006/relationships/hyperlink" Target="https://www.esafety.gov.au/young-people/unwanted-contact-signs" TargetMode="External"/><Relationship Id="rId216" Type="http://schemas.openxmlformats.org/officeDocument/2006/relationships/hyperlink" Target="https://doi.org/10.1089/cyber.2018.0291" TargetMode="External"/><Relationship Id="rId258" Type="http://schemas.openxmlformats.org/officeDocument/2006/relationships/hyperlink" Target="https://doi.org/10.1037/a0039693" TargetMode="External"/><Relationship Id="rId22" Type="http://schemas.openxmlformats.org/officeDocument/2006/relationships/image" Target="media/image9.png"/><Relationship Id="rId64" Type="http://schemas.openxmlformats.org/officeDocument/2006/relationships/hyperlink" Target="https://www.ag.gov.au/system/files/2022-08/MAG-work-plan-strengthen-criminal-justice-responses-to-sexual-assault-2022-2027.pdf" TargetMode="External"/><Relationship Id="rId118" Type="http://schemas.openxmlformats.org/officeDocument/2006/relationships/hyperlink" Target="https://aifs.gov.au/sites/default/files/publication-documents/2006_mandatory_reporting_of_child_abuse_and_neglect_0.pdf" TargetMode="External"/><Relationship Id="rId325" Type="http://schemas.openxmlformats.org/officeDocument/2006/relationships/hyperlink" Target="https://doi.org/10.1016/j.jsxm.2019.03.012" TargetMode="External"/><Relationship Id="rId367" Type="http://schemas.openxmlformats.org/officeDocument/2006/relationships/hyperlink" Target="https://doi.org/10.1177/08862605211050097" TargetMode="External"/><Relationship Id="rId171" Type="http://schemas.openxmlformats.org/officeDocument/2006/relationships/hyperlink" Target="https://doi.org/10.1002/ajs4.137" TargetMode="External"/><Relationship Id="rId227" Type="http://schemas.openxmlformats.org/officeDocument/2006/relationships/hyperlink" Target="https://www.drugsandalcohol.ie/25251/1/Hidden_harm_alcohol-impact.pdf" TargetMode="External"/><Relationship Id="rId269" Type="http://schemas.openxmlformats.org/officeDocument/2006/relationships/hyperlink" Target="https://www.anrows.org.au/publication/adverse-childhood-experiences-among-youth-who-offend-examining" TargetMode="External"/><Relationship Id="rId33" Type="http://schemas.openxmlformats.org/officeDocument/2006/relationships/image" Target="media/image20.png"/><Relationship Id="rId129" Type="http://schemas.openxmlformats.org/officeDocument/2006/relationships/hyperlink" Target="https://www.anrows.org.au/publication/attitudes-matter-the-2021-national-community-attitudes-towards-violence-against-women-survey-ncas-summary-for-australia/" TargetMode="External"/><Relationship Id="rId280" Type="http://schemas.openxmlformats.org/officeDocument/2006/relationships/hyperlink" Target="https://education.ourwatch.org.au/the-evidence-for-respectful-relationships-education/" TargetMode="External"/><Relationship Id="rId336" Type="http://schemas.openxmlformats.org/officeDocument/2006/relationships/hyperlink" Target="https://doi.org/10.1080/09687599.2011.602867" TargetMode="External"/><Relationship Id="rId75" Type="http://schemas.openxmlformats.org/officeDocument/2006/relationships/hyperlink" Target="https://www.respect.gov.au/" TargetMode="External"/><Relationship Id="rId140" Type="http://schemas.openxmlformats.org/officeDocument/2006/relationships/hyperlink" Target="https://doi.org/10.51952/9781447362692.ch004" TargetMode="External"/><Relationship Id="rId182" Type="http://schemas.openxmlformats.org/officeDocument/2006/relationships/hyperlink" Target="https://doi.org/10.1148/radiol.2020202866" TargetMode="External"/><Relationship Id="rId6" Type="http://schemas.openxmlformats.org/officeDocument/2006/relationships/styles" Target="styles.xml"/><Relationship Id="rId238" Type="http://schemas.openxmlformats.org/officeDocument/2006/relationships/hyperlink" Target="https://doi.org/10.1177/1524838021995975" TargetMode="External"/><Relationship Id="rId291" Type="http://schemas.openxmlformats.org/officeDocument/2006/relationships/hyperlink" Target="https://doi.org/10.1080/15546128.2022.2096163" TargetMode="External"/><Relationship Id="rId305" Type="http://schemas.openxmlformats.org/officeDocument/2006/relationships/hyperlink" Target="https://doi.org/10.1016/j.adolescence.2020.07.005" TargetMode="External"/><Relationship Id="rId347" Type="http://schemas.openxmlformats.org/officeDocument/2006/relationships/hyperlink" Target="https://doi.org/10.1093/bjc/azab035" TargetMode="External"/><Relationship Id="rId44" Type="http://schemas.openxmlformats.org/officeDocument/2006/relationships/image" Target="media/image31.png"/><Relationship Id="rId86" Type="http://schemas.openxmlformats.org/officeDocument/2006/relationships/hyperlink" Target="https://doi.org/https://doi.org/10.1002/jcop.22201" TargetMode="External"/><Relationship Id="rId151" Type="http://schemas.openxmlformats.org/officeDocument/2006/relationships/hyperlink" Target="https://doi.org/10.1037/0012-1649.39.2.349" TargetMode="External"/><Relationship Id="rId193" Type="http://schemas.openxmlformats.org/officeDocument/2006/relationships/hyperlink" Target="https://doi.org/10.1177/1059840519873380" TargetMode="External"/><Relationship Id="rId207" Type="http://schemas.openxmlformats.org/officeDocument/2006/relationships/hyperlink" Target="https://doi.org/10.1177/0886260520967909" TargetMode="External"/><Relationship Id="rId249" Type="http://schemas.openxmlformats.org/officeDocument/2006/relationships/hyperlink" Target="https://ministers.education.gov.au/clare/expert-group-boost-respectful-relationships-education-schools" TargetMode="External"/><Relationship Id="rId13" Type="http://schemas.openxmlformats.org/officeDocument/2006/relationships/image" Target="media/image3.png"/><Relationship Id="rId109" Type="http://schemas.openxmlformats.org/officeDocument/2006/relationships/hyperlink" Target="https://aifs.gov.au/resources/policy-and-practice-papers/childrens-exposure-domestic-and-family-violence" TargetMode="External"/><Relationship Id="rId260" Type="http://schemas.openxmlformats.org/officeDocument/2006/relationships/hyperlink" Target="https://www.anrows.org.au/publication/accurately-identifying-the-person-most-in-need-of-protection-in-domestic-and-family-violence-law/" TargetMode="External"/><Relationship Id="rId316" Type="http://schemas.openxmlformats.org/officeDocument/2006/relationships/hyperlink" Target="https://doi.org/10.1016/B978-0-12-809287-3.00016-X" TargetMode="External"/><Relationship Id="rId55" Type="http://schemas.openxmlformats.org/officeDocument/2006/relationships/hyperlink" Target="https://doi.org/10.1080/14681811.2020.1801407" TargetMode="External"/><Relationship Id="rId97" Type="http://schemas.openxmlformats.org/officeDocument/2006/relationships/hyperlink" Target="https://doi.org/10.1177/0886260518812806" TargetMode="External"/><Relationship Id="rId120" Type="http://schemas.openxmlformats.org/officeDocument/2006/relationships/hyperlink" Target="https://doi.org/10.1177/2046147x211005358" TargetMode="External"/><Relationship Id="rId358" Type="http://schemas.openxmlformats.org/officeDocument/2006/relationships/hyperlink" Target="https://doi.org/10.1093/cs/cdy012" TargetMode="External"/><Relationship Id="rId162" Type="http://schemas.openxmlformats.org/officeDocument/2006/relationships/hyperlink" Target="https://www.canberratimes.com.au/story/7859426/survivors-are-silenced-ex-nsw-lib-staffer/" TargetMode="External"/><Relationship Id="rId218" Type="http://schemas.openxmlformats.org/officeDocument/2006/relationships/hyperlink" Target="https://doi.org/10.1177/15248380211038690" TargetMode="External"/><Relationship Id="rId271" Type="http://schemas.openxmlformats.org/officeDocument/2006/relationships/hyperlink" Target="https://doi.org/10.1177/1524838018789153" TargetMode="External"/><Relationship Id="rId24" Type="http://schemas.openxmlformats.org/officeDocument/2006/relationships/image" Target="media/image11.png"/><Relationship Id="rId66" Type="http://schemas.openxmlformats.org/officeDocument/2006/relationships/hyperlink" Target="https://www.abs.gov.au/statistics/people/crime-and-justice/personal-safety-australia/2016" TargetMode="External"/><Relationship Id="rId131" Type="http://schemas.openxmlformats.org/officeDocument/2006/relationships/hyperlink" Target="https://www.anrows.org.au/publication/sexual-assault-and-domestic-violence-in-the-context-of-co-occurrence-and-re-victimisation-state-of-knowledge-paper/" TargetMode="External"/><Relationship Id="rId327" Type="http://schemas.openxmlformats.org/officeDocument/2006/relationships/hyperlink" Target="https://doi.org/10.1186/s13643-018-0862-y" TargetMode="External"/><Relationship Id="rId369" Type="http://schemas.openxmlformats.org/officeDocument/2006/relationships/footer" Target="footer3.xml"/><Relationship Id="rId173" Type="http://schemas.openxmlformats.org/officeDocument/2006/relationships/hyperlink" Target="https://doi.org/10.1007%2Fs10964-013-9915-7" TargetMode="External"/><Relationship Id="rId229" Type="http://schemas.openxmlformats.org/officeDocument/2006/relationships/hyperlink" Target="https://doi.org/10.1016/j.avb.2012.11.015" TargetMode="External"/><Relationship Id="rId240" Type="http://schemas.openxmlformats.org/officeDocument/2006/relationships/hyperlink" Target="https://doi.org/10.6084/m9.figshare.3382393" TargetMode="External"/><Relationship Id="rId35" Type="http://schemas.openxmlformats.org/officeDocument/2006/relationships/image" Target="media/image22.png"/><Relationship Id="rId77" Type="http://schemas.openxmlformats.org/officeDocument/2006/relationships/hyperlink" Target="https://www.aihw.gov.au/reports/domestic-violence/domestic-family-violence-homelessness-2011-12-to/contents/summary" TargetMode="External"/><Relationship Id="rId100" Type="http://schemas.openxmlformats.org/officeDocument/2006/relationships/hyperlink" Target="https://www.journalofglobalindigeneity.com/article/29716.pdf" TargetMode="External"/><Relationship Id="rId282" Type="http://schemas.openxmlformats.org/officeDocument/2006/relationships/hyperlink" Target="https://doi.org/10.1007/s10896-019-00120-9" TargetMode="External"/><Relationship Id="rId338" Type="http://schemas.openxmlformats.org/officeDocument/2006/relationships/hyperlink" Target="https://doi.org/10.5204/ijcjsd.v8i2.1117" TargetMode="External"/><Relationship Id="rId8" Type="http://schemas.openxmlformats.org/officeDocument/2006/relationships/webSettings" Target="webSettings.xml"/><Relationship Id="rId142" Type="http://schemas.openxmlformats.org/officeDocument/2006/relationships/hyperlink" Target="https://doi.org/10.1080/13229400.2019.1657929" TargetMode="External"/><Relationship Id="rId184" Type="http://schemas.openxmlformats.org/officeDocument/2006/relationships/hyperlink" Target="https://doi.org/10.1177/0886260518804182" TargetMode="External"/><Relationship Id="rId251" Type="http://schemas.openxmlformats.org/officeDocument/2006/relationships/hyperlink" Target="https://doi.org/10.1177/0044118x211058226" TargetMode="External"/><Relationship Id="rId46" Type="http://schemas.openxmlformats.org/officeDocument/2006/relationships/image" Target="media/image33.png"/><Relationship Id="rId293" Type="http://schemas.openxmlformats.org/officeDocument/2006/relationships/hyperlink" Target="https://www.anrows.org.au/publication/young-australians-attitudes-to-violence-against-women-and-gender-equality-findings-from-the-2017-national-community-attitudes-towards-violence-against-women-survey-ncas/" TargetMode="External"/><Relationship Id="rId307" Type="http://schemas.openxmlformats.org/officeDocument/2006/relationships/hyperlink" Target="https://doi.org/10.1371/journal.pone.0206101" TargetMode="External"/><Relationship Id="rId349" Type="http://schemas.openxmlformats.org/officeDocument/2006/relationships/hyperlink" Target="https://www.lawreform.vic.gov.au/publication/stalking-2/5-criminal-law-responses-to-stalking/" TargetMode="External"/><Relationship Id="rId88" Type="http://schemas.openxmlformats.org/officeDocument/2006/relationships/hyperlink" Target="https://scholarship.law.wm.edu/wmjowl/vol21/iss3/2" TargetMode="External"/><Relationship Id="rId111" Type="http://schemas.openxmlformats.org/officeDocument/2006/relationships/hyperlink" Target="https://doi.org/10.4324/9781003164722-3" TargetMode="External"/><Relationship Id="rId153" Type="http://schemas.openxmlformats.org/officeDocument/2006/relationships/hyperlink" Target="https://doi.org/10.5964/ijpr.v14i1.3923" TargetMode="External"/><Relationship Id="rId195" Type="http://schemas.openxmlformats.org/officeDocument/2006/relationships/hyperlink" Target="https://assets.website-files.com/61c2583e4730c0d5b054b8ab/623a86e60a6118c69da92d37_2021%20NSSS%20National%20Report.pdf" TargetMode="External"/><Relationship Id="rId209" Type="http://schemas.openxmlformats.org/officeDocument/2006/relationships/hyperlink" Target="https://doi.org/10.1080/08838151.2011.566085" TargetMode="External"/><Relationship Id="rId360" Type="http://schemas.openxmlformats.org/officeDocument/2006/relationships/hyperlink" Target="https://doi.org/10.1080/10538712.2020.1801935" TargetMode="External"/><Relationship Id="rId220" Type="http://schemas.openxmlformats.org/officeDocument/2006/relationships/hyperlink" Target="https://doi.org/10.1007/s10896-018-0001-5" TargetMode="External"/><Relationship Id="rId15" Type="http://schemas.openxmlformats.org/officeDocument/2006/relationships/image" Target="media/image4.png"/><Relationship Id="rId57" Type="http://schemas.openxmlformats.org/officeDocument/2006/relationships/hyperlink" Target="https://doi.org/10.1016/j.adolescence.2020.07.012" TargetMode="External"/><Relationship Id="rId262" Type="http://schemas.openxmlformats.org/officeDocument/2006/relationships/hyperlink" Target="https://www.nationalskillscommission.gov.au/sites/default/files/2021-12/NSC21-0025_Australian%20Jobs%202021_ACC-FA2_0.pdf" TargetMode="External"/><Relationship Id="rId318" Type="http://schemas.openxmlformats.org/officeDocument/2006/relationships/hyperlink" Target="https://doi.org/10.1177/107780120427147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411DB17B-C5C0-4A07-AD59-81D6B7C2D2A1}">
  <ds:schemaRefs>
    <ds:schemaRef ds:uri="http://schemas.microsoft.com/sharepoint/v3/contenttype/forms"/>
  </ds:schemaRefs>
</ds:datastoreItem>
</file>

<file path=customXml/itemProps2.xml><?xml version="1.0" encoding="utf-8"?>
<ds:datastoreItem xmlns:ds="http://schemas.openxmlformats.org/officeDocument/2006/customXml" ds:itemID="{EBC20D44-9F7C-394C-BF0E-EF7A9E9386B4}">
  <ds:schemaRefs>
    <ds:schemaRef ds:uri="http://schemas.openxmlformats.org/officeDocument/2006/bibliography"/>
  </ds:schemaRefs>
</ds:datastoreItem>
</file>

<file path=customXml/itemProps3.xml><?xml version="1.0" encoding="utf-8"?>
<ds:datastoreItem xmlns:ds="http://schemas.openxmlformats.org/officeDocument/2006/customXml" ds:itemID="{BEF17336-53DA-4EBF-A58F-32F428221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6AE5ED-9C45-45A5-976A-87EF3C6036C3}">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208</Pages>
  <Words>82940</Words>
  <Characters>472763</Characters>
  <Application>Microsoft Office Word</Application>
  <DocSecurity>0</DocSecurity>
  <Lines>3939</Lines>
  <Paragraphs>1109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Rita Stocovaz</dc:creator>
  <cp:keywords/>
  <dc:description/>
  <cp:lastModifiedBy>Viv McGregor</cp:lastModifiedBy>
  <cp:revision>2</cp:revision>
  <dcterms:created xsi:type="dcterms:W3CDTF">2025-09-19T05:54:00Z</dcterms:created>
  <dcterms:modified xsi:type="dcterms:W3CDTF">2025-09-19T05:54:00Z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