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A0552" w14:textId="322A969F" w:rsidR="005736BE" w:rsidRPr="00EF5437" w:rsidRDefault="003C2BD8" w:rsidP="005736BE">
      <w:pPr>
        <w:pBdr>
          <w:bottom w:val="single" w:sz="4" w:space="1" w:color="auto"/>
        </w:pBdr>
        <w:rPr>
          <w:rFonts w:ascii="Minion Pro" w:hAnsi="Minion Pro"/>
          <w:b/>
        </w:rPr>
      </w:pPr>
      <w:bookmarkStart w:id="0" w:name="_GoBack"/>
      <w:bookmarkEnd w:id="0"/>
      <w:r>
        <w:rPr>
          <w:rFonts w:ascii="Minion Pro" w:hAnsi="Minion Pro"/>
          <w:b/>
        </w:rPr>
        <w:t xml:space="preserve">Factsheet #1: </w:t>
      </w:r>
      <w:r w:rsidR="00CA6A4F">
        <w:rPr>
          <w:rFonts w:ascii="Minion Pro" w:hAnsi="Minion Pro"/>
          <w:b/>
        </w:rPr>
        <w:t xml:space="preserve">FAST FACTS: </w:t>
      </w:r>
      <w:r w:rsidR="005736BE" w:rsidRPr="00EF5437">
        <w:rPr>
          <w:rFonts w:ascii="Minion Pro" w:hAnsi="Minion Pro"/>
          <w:b/>
        </w:rPr>
        <w:t>Prevalence of domestic violence among women during the COVID-19 pandemic</w:t>
      </w:r>
    </w:p>
    <w:p w14:paraId="243EE80E" w14:textId="77777777" w:rsidR="00CA6A4F" w:rsidRDefault="00CA6A4F" w:rsidP="00CA6A4F">
      <w:pPr>
        <w:rPr>
          <w:rFonts w:ascii="Minion Pro" w:hAnsi="Minion Pro"/>
        </w:rPr>
      </w:pPr>
      <w:r w:rsidRPr="00EF5437">
        <w:rPr>
          <w:rFonts w:ascii="Minion Pro" w:hAnsi="Minion Pro"/>
        </w:rPr>
        <w:t xml:space="preserve">In May 2020, the Australian Institute of Criminology surveyed 15,000 women aged 18 and over about their </w:t>
      </w:r>
      <w:r>
        <w:rPr>
          <w:rFonts w:ascii="Minion Pro" w:hAnsi="Minion Pro"/>
        </w:rPr>
        <w:t xml:space="preserve">experiences of domestic violence since February 2020, when Australia first began to feel the impacts of the COVID-19 pandemic. </w:t>
      </w:r>
    </w:p>
    <w:p w14:paraId="1C5924C0" w14:textId="77777777" w:rsidR="00CA6A4F" w:rsidRDefault="00CA6A4F" w:rsidP="00CA6A4F">
      <w:pPr>
        <w:rPr>
          <w:rFonts w:ascii="Minion Pro" w:hAnsi="Minion Pro"/>
        </w:rPr>
      </w:pPr>
      <w:r>
        <w:rPr>
          <w:rFonts w:ascii="Minion Pro" w:hAnsi="Minion Pro"/>
        </w:rPr>
        <w:t>The survey aimed to estimate the prevalence, characteristics and drivers of violence, both reported and unreported.</w:t>
      </w:r>
    </w:p>
    <w:p w14:paraId="069AF2D5" w14:textId="77777777" w:rsidR="005736BE" w:rsidRPr="003C2BD8" w:rsidRDefault="005736BE" w:rsidP="005736BE">
      <w:pPr>
        <w:rPr>
          <w:rFonts w:ascii="Minion Pro" w:hAnsi="Minion Pro"/>
          <w:i/>
        </w:rPr>
      </w:pPr>
      <w:r w:rsidRPr="003C2BD8">
        <w:rPr>
          <w:rFonts w:ascii="Minion Pro" w:hAnsi="Minion Pro"/>
          <w:i/>
        </w:rPr>
        <w:t>KEY FINDINGS</w:t>
      </w:r>
    </w:p>
    <w:p w14:paraId="01629945" w14:textId="398A0A61" w:rsidR="005736BE" w:rsidRPr="00B00136" w:rsidRDefault="005736BE" w:rsidP="005736BE">
      <w:pPr>
        <w:rPr>
          <w:rFonts w:ascii="Minion Pro" w:hAnsi="Minion Pro"/>
        </w:rPr>
      </w:pPr>
      <w:r w:rsidRPr="00B00136">
        <w:rPr>
          <w:rFonts w:ascii="Minion Pro" w:hAnsi="Minion Pro"/>
        </w:rPr>
        <w:t xml:space="preserve">Of the 15,000 women surveyed, in the three months </w:t>
      </w:r>
      <w:r w:rsidR="00331ADF">
        <w:rPr>
          <w:rFonts w:ascii="Minion Pro" w:hAnsi="Minion Pro"/>
        </w:rPr>
        <w:t>prior to the survey</w:t>
      </w:r>
      <w:r w:rsidRPr="00B00136">
        <w:rPr>
          <w:rFonts w:ascii="Minion Pro" w:hAnsi="Minion Pro"/>
        </w:rPr>
        <w:t>:</w:t>
      </w:r>
    </w:p>
    <w:p w14:paraId="3E9E8EE9" w14:textId="77777777" w:rsidR="005736BE" w:rsidRDefault="005736BE" w:rsidP="005736BE">
      <w:pPr>
        <w:pStyle w:val="ListParagraph"/>
        <w:numPr>
          <w:ilvl w:val="0"/>
          <w:numId w:val="2"/>
        </w:numPr>
        <w:rPr>
          <w:rFonts w:ascii="Minion Pro" w:hAnsi="Minion Pro"/>
        </w:rPr>
      </w:pPr>
      <w:r w:rsidRPr="00B00136">
        <w:rPr>
          <w:rFonts w:ascii="Minion Pro" w:hAnsi="Minion Pro"/>
        </w:rPr>
        <w:t>4.6 percent experienced physical or sexual violence from a current or former cohabiting partner</w:t>
      </w:r>
    </w:p>
    <w:p w14:paraId="63DD45E1" w14:textId="79C65E1E" w:rsidR="000E1B03" w:rsidRPr="008B746A" w:rsidRDefault="000E1B03" w:rsidP="008B746A">
      <w:pPr>
        <w:pStyle w:val="ListParagraph"/>
        <w:numPr>
          <w:ilvl w:val="1"/>
          <w:numId w:val="2"/>
        </w:numPr>
        <w:rPr>
          <w:rFonts w:ascii="Minion Pro" w:hAnsi="Minion Pro"/>
        </w:rPr>
      </w:pPr>
      <w:r>
        <w:rPr>
          <w:rFonts w:ascii="Minion Pro" w:hAnsi="Minion Pro"/>
        </w:rPr>
        <w:t>t</w:t>
      </w:r>
      <w:r w:rsidRPr="00B00136">
        <w:rPr>
          <w:rFonts w:ascii="Minion Pro" w:hAnsi="Minion Pro"/>
        </w:rPr>
        <w:t>his</w:t>
      </w:r>
      <w:r w:rsidR="002E3F79">
        <w:rPr>
          <w:rFonts w:ascii="Minion Pro" w:hAnsi="Minion Pro"/>
        </w:rPr>
        <w:t xml:space="preserve"> figure </w:t>
      </w:r>
      <w:r w:rsidRPr="00B00136">
        <w:rPr>
          <w:rFonts w:ascii="Minion Pro" w:hAnsi="Minion Pro"/>
        </w:rPr>
        <w:t xml:space="preserve">rises to </w:t>
      </w:r>
      <w:r>
        <w:rPr>
          <w:rFonts w:ascii="Minion Pro" w:hAnsi="Minion Pro"/>
        </w:rPr>
        <w:t>8.2</w:t>
      </w:r>
      <w:r w:rsidRPr="00B00136">
        <w:rPr>
          <w:rFonts w:ascii="Minion Pro" w:hAnsi="Minion Pro"/>
        </w:rPr>
        <w:t xml:space="preserve"> percent </w:t>
      </w:r>
      <w:r>
        <w:rPr>
          <w:rFonts w:ascii="Minion Pro" w:hAnsi="Minion Pro"/>
        </w:rPr>
        <w:t xml:space="preserve">for women </w:t>
      </w:r>
      <w:r w:rsidRPr="00B00136">
        <w:rPr>
          <w:rFonts w:ascii="Minion Pro" w:hAnsi="Minion Pro"/>
        </w:rPr>
        <w:t>in cohabiting relationships</w:t>
      </w:r>
    </w:p>
    <w:p w14:paraId="3ACEA7BF" w14:textId="77777777" w:rsidR="005736BE" w:rsidRPr="00B00136" w:rsidRDefault="005736BE" w:rsidP="005736BE">
      <w:pPr>
        <w:pStyle w:val="ListParagraph"/>
        <w:numPr>
          <w:ilvl w:val="0"/>
          <w:numId w:val="2"/>
        </w:numPr>
        <w:rPr>
          <w:rFonts w:ascii="Minion Pro" w:hAnsi="Minion Pro"/>
        </w:rPr>
      </w:pPr>
      <w:r w:rsidRPr="00B00136">
        <w:rPr>
          <w:rFonts w:ascii="Minion Pro" w:hAnsi="Minion Pro"/>
        </w:rPr>
        <w:t>5.8 percent experienced coercive control</w:t>
      </w:r>
    </w:p>
    <w:p w14:paraId="25063084" w14:textId="2D439360" w:rsidR="005736BE" w:rsidRPr="00B00136" w:rsidRDefault="005736BE" w:rsidP="005736BE">
      <w:pPr>
        <w:pStyle w:val="ListParagraph"/>
        <w:numPr>
          <w:ilvl w:val="1"/>
          <w:numId w:val="2"/>
        </w:numPr>
        <w:rPr>
          <w:rFonts w:ascii="Minion Pro" w:hAnsi="Minion Pro"/>
        </w:rPr>
      </w:pPr>
      <w:r>
        <w:rPr>
          <w:rFonts w:ascii="Minion Pro" w:hAnsi="Minion Pro"/>
        </w:rPr>
        <w:t>t</w:t>
      </w:r>
      <w:r w:rsidRPr="00B00136">
        <w:rPr>
          <w:rFonts w:ascii="Minion Pro" w:hAnsi="Minion Pro"/>
        </w:rPr>
        <w:t>his</w:t>
      </w:r>
      <w:r w:rsidR="00A76C24">
        <w:rPr>
          <w:rFonts w:ascii="Minion Pro" w:hAnsi="Minion Pro"/>
        </w:rPr>
        <w:t xml:space="preserve"> figure</w:t>
      </w:r>
      <w:r w:rsidRPr="00B00136">
        <w:rPr>
          <w:rFonts w:ascii="Minion Pro" w:hAnsi="Minion Pro"/>
        </w:rPr>
        <w:t xml:space="preserve"> rises to 11.1 percent </w:t>
      </w:r>
      <w:r>
        <w:rPr>
          <w:rFonts w:ascii="Minion Pro" w:hAnsi="Minion Pro"/>
        </w:rPr>
        <w:t xml:space="preserve">for women </w:t>
      </w:r>
      <w:r w:rsidRPr="00B00136">
        <w:rPr>
          <w:rFonts w:ascii="Minion Pro" w:hAnsi="Minion Pro"/>
        </w:rPr>
        <w:t>in cohabiting relationships</w:t>
      </w:r>
    </w:p>
    <w:p w14:paraId="79800188" w14:textId="77777777" w:rsidR="005736BE" w:rsidRPr="00B00136" w:rsidRDefault="005736BE" w:rsidP="005736BE">
      <w:pPr>
        <w:pStyle w:val="ListParagraph"/>
        <w:numPr>
          <w:ilvl w:val="0"/>
          <w:numId w:val="2"/>
        </w:numPr>
        <w:rPr>
          <w:rFonts w:ascii="Minion Pro" w:hAnsi="Minion Pro"/>
        </w:rPr>
      </w:pPr>
      <w:r w:rsidRPr="00B00136">
        <w:rPr>
          <w:rFonts w:ascii="Minion Pro" w:hAnsi="Minion Pro"/>
        </w:rPr>
        <w:t>11.6 percent reported experiencing at least one form of emotionally abusive, harassing or controlling behaviour</w:t>
      </w:r>
    </w:p>
    <w:p w14:paraId="3EC7A67B" w14:textId="7FBCF676" w:rsidR="005736BE" w:rsidRPr="00B00136" w:rsidRDefault="005736BE" w:rsidP="005736BE">
      <w:pPr>
        <w:pStyle w:val="ListParagraph"/>
        <w:numPr>
          <w:ilvl w:val="1"/>
          <w:numId w:val="2"/>
        </w:numPr>
        <w:rPr>
          <w:rFonts w:ascii="Minion Pro" w:hAnsi="Minion Pro"/>
        </w:rPr>
      </w:pPr>
      <w:r>
        <w:rPr>
          <w:rFonts w:ascii="Minion Pro" w:hAnsi="Minion Pro"/>
        </w:rPr>
        <w:t>t</w:t>
      </w:r>
      <w:r w:rsidRPr="00B00136">
        <w:rPr>
          <w:rFonts w:ascii="Minion Pro" w:hAnsi="Minion Pro"/>
        </w:rPr>
        <w:t xml:space="preserve">his </w:t>
      </w:r>
      <w:r w:rsidR="00A76C24">
        <w:rPr>
          <w:rFonts w:ascii="Minion Pro" w:hAnsi="Minion Pro"/>
        </w:rPr>
        <w:t xml:space="preserve">figure </w:t>
      </w:r>
      <w:r w:rsidRPr="00B00136">
        <w:rPr>
          <w:rFonts w:ascii="Minion Pro" w:hAnsi="Minion Pro"/>
        </w:rPr>
        <w:t xml:space="preserve">rises to 22.4 percent </w:t>
      </w:r>
      <w:r>
        <w:rPr>
          <w:rFonts w:ascii="Minion Pro" w:hAnsi="Minion Pro"/>
        </w:rPr>
        <w:t xml:space="preserve">for </w:t>
      </w:r>
      <w:r w:rsidRPr="00B00136">
        <w:rPr>
          <w:rFonts w:ascii="Minion Pro" w:hAnsi="Minion Pro"/>
        </w:rPr>
        <w:t>women in cohabiting relationships</w:t>
      </w:r>
    </w:p>
    <w:p w14:paraId="03DDFEDE" w14:textId="77777777" w:rsidR="0068771C" w:rsidRDefault="0068771C" w:rsidP="0068771C">
      <w:pPr>
        <w:rPr>
          <w:rFonts w:ascii="Minion Pro" w:hAnsi="Minion Pro"/>
        </w:rPr>
      </w:pPr>
      <w:r>
        <w:rPr>
          <w:rFonts w:ascii="Minion Pro" w:hAnsi="Minion Pro"/>
        </w:rPr>
        <w:t xml:space="preserve">Women commonly reported experiencing </w:t>
      </w:r>
      <w:r>
        <w:rPr>
          <w:rFonts w:ascii="Minion Pro" w:hAnsi="Minion Pro"/>
          <w:b/>
        </w:rPr>
        <w:t>both</w:t>
      </w:r>
      <w:r>
        <w:rPr>
          <w:rFonts w:ascii="Minion Pro" w:hAnsi="Minion Pro"/>
        </w:rPr>
        <w:t xml:space="preserve"> coercive control </w:t>
      </w:r>
      <w:r>
        <w:rPr>
          <w:rFonts w:ascii="Minion Pro" w:hAnsi="Minion Pro"/>
          <w:b/>
        </w:rPr>
        <w:t xml:space="preserve">and </w:t>
      </w:r>
      <w:r>
        <w:rPr>
          <w:rFonts w:ascii="Minion Pro" w:hAnsi="Minion Pro"/>
        </w:rPr>
        <w:t>physical or sexual violence.</w:t>
      </w:r>
    </w:p>
    <w:p w14:paraId="7687410B" w14:textId="77777777" w:rsidR="0068771C" w:rsidRDefault="0068771C" w:rsidP="0068771C">
      <w:pPr>
        <w:pStyle w:val="ListParagraph"/>
        <w:numPr>
          <w:ilvl w:val="0"/>
          <w:numId w:val="2"/>
        </w:numPr>
        <w:rPr>
          <w:rFonts w:ascii="Minion Pro" w:hAnsi="Minion Pro"/>
        </w:rPr>
      </w:pPr>
      <w:r>
        <w:rPr>
          <w:rFonts w:ascii="Minion Pro" w:hAnsi="Minion Pro"/>
        </w:rPr>
        <w:t xml:space="preserve">Half (51.6%) of the women who reported experiencing </w:t>
      </w:r>
      <w:r>
        <w:rPr>
          <w:rFonts w:ascii="Minion Pro" w:hAnsi="Minion Pro"/>
          <w:b/>
        </w:rPr>
        <w:t>either</w:t>
      </w:r>
      <w:r>
        <w:rPr>
          <w:rFonts w:ascii="Minion Pro" w:hAnsi="Minion Pro"/>
        </w:rPr>
        <w:t xml:space="preserve"> coercive control </w:t>
      </w:r>
      <w:r>
        <w:rPr>
          <w:rFonts w:ascii="Minion Pro" w:hAnsi="Minion Pro"/>
          <w:b/>
        </w:rPr>
        <w:t>or</w:t>
      </w:r>
      <w:r>
        <w:rPr>
          <w:rFonts w:ascii="Minion Pro" w:hAnsi="Minion Pro"/>
        </w:rPr>
        <w:t xml:space="preserve"> physical or sexual violence reported experiencing both forms of abuse.</w:t>
      </w:r>
    </w:p>
    <w:p w14:paraId="3DD73E41" w14:textId="77777777" w:rsidR="0068771C" w:rsidRDefault="0068771C" w:rsidP="0068771C">
      <w:pPr>
        <w:pStyle w:val="ListParagraph"/>
        <w:numPr>
          <w:ilvl w:val="0"/>
          <w:numId w:val="2"/>
        </w:numPr>
        <w:rPr>
          <w:rFonts w:ascii="Minion Pro" w:hAnsi="Minion Pro"/>
        </w:rPr>
      </w:pPr>
      <w:r>
        <w:rPr>
          <w:rFonts w:ascii="Minion Pro" w:hAnsi="Minion Pro"/>
        </w:rPr>
        <w:t>It was less common to experience either of these forms of abuse in isolation:</w:t>
      </w:r>
    </w:p>
    <w:p w14:paraId="057C15D0" w14:textId="77777777" w:rsidR="0068771C" w:rsidRDefault="0068771C" w:rsidP="0068771C">
      <w:pPr>
        <w:pStyle w:val="ListParagraph"/>
        <w:numPr>
          <w:ilvl w:val="1"/>
          <w:numId w:val="2"/>
        </w:numPr>
        <w:rPr>
          <w:rFonts w:ascii="Minion Pro" w:hAnsi="Minion Pro"/>
        </w:rPr>
      </w:pPr>
      <w:r>
        <w:rPr>
          <w:rFonts w:ascii="Minion Pro" w:hAnsi="Minion Pro"/>
        </w:rPr>
        <w:t>Less than one sixth (15.5%) of women experienced physical or sexual violence in isolation.</w:t>
      </w:r>
    </w:p>
    <w:p w14:paraId="2DA3E6E7" w14:textId="0F481B29" w:rsidR="0068771C" w:rsidRPr="0068771C" w:rsidRDefault="0068771C" w:rsidP="0068771C">
      <w:pPr>
        <w:pStyle w:val="ListParagraph"/>
        <w:numPr>
          <w:ilvl w:val="1"/>
          <w:numId w:val="2"/>
        </w:numPr>
        <w:rPr>
          <w:rFonts w:ascii="Minion Pro" w:hAnsi="Minion Pro"/>
        </w:rPr>
      </w:pPr>
      <w:r>
        <w:rPr>
          <w:rFonts w:ascii="Minion Pro" w:hAnsi="Minion Pro"/>
        </w:rPr>
        <w:t>Less than one third (32.9%) of women experienced coercive control in isolation</w:t>
      </w:r>
    </w:p>
    <w:p w14:paraId="0C4AA211" w14:textId="4A159A03" w:rsidR="005736BE" w:rsidRPr="00B8550E" w:rsidRDefault="005736BE" w:rsidP="005736BE">
      <w:pPr>
        <w:rPr>
          <w:rFonts w:ascii="Minion Pro" w:hAnsi="Minion Pro"/>
          <w:i/>
        </w:rPr>
      </w:pPr>
      <w:r w:rsidRPr="00B8550E">
        <w:rPr>
          <w:rFonts w:ascii="Minion Pro" w:hAnsi="Minion Pro"/>
          <w:i/>
        </w:rPr>
        <w:t xml:space="preserve">Onset </w:t>
      </w:r>
      <w:r w:rsidR="004423B7">
        <w:rPr>
          <w:rFonts w:ascii="Minion Pro" w:hAnsi="Minion Pro"/>
          <w:i/>
        </w:rPr>
        <w:t xml:space="preserve">and escalation </w:t>
      </w:r>
      <w:r w:rsidRPr="00B8550E">
        <w:rPr>
          <w:rFonts w:ascii="Minion Pro" w:hAnsi="Minion Pro"/>
          <w:i/>
        </w:rPr>
        <w:t>of violence</w:t>
      </w:r>
    </w:p>
    <w:p w14:paraId="26381070" w14:textId="1D33BD53" w:rsidR="005736BE" w:rsidRDefault="005736BE" w:rsidP="005736BE">
      <w:pPr>
        <w:rPr>
          <w:rFonts w:ascii="Minion Pro" w:hAnsi="Minion Pro"/>
        </w:rPr>
      </w:pPr>
      <w:r>
        <w:rPr>
          <w:rFonts w:ascii="Minion Pro" w:hAnsi="Minion Pro"/>
        </w:rPr>
        <w:t>Vi</w:t>
      </w:r>
      <w:r w:rsidRPr="00B00136">
        <w:rPr>
          <w:rFonts w:ascii="Minion Pro" w:hAnsi="Minion Pro"/>
        </w:rPr>
        <w:t xml:space="preserve">olence </w:t>
      </w:r>
      <w:r w:rsidR="00A30778">
        <w:rPr>
          <w:rFonts w:ascii="Minion Pro" w:hAnsi="Minion Pro"/>
        </w:rPr>
        <w:t>started for the first time</w:t>
      </w:r>
      <w:r w:rsidR="00A30778" w:rsidRPr="00B00136">
        <w:rPr>
          <w:rFonts w:ascii="Minion Pro" w:hAnsi="Minion Pro"/>
        </w:rPr>
        <w:t xml:space="preserve"> </w:t>
      </w:r>
      <w:r w:rsidRPr="00B00136">
        <w:rPr>
          <w:rFonts w:ascii="Minion Pro" w:hAnsi="Minion Pro"/>
        </w:rPr>
        <w:t xml:space="preserve">or escalated in the three months prior to </w:t>
      </w:r>
      <w:r w:rsidR="00A30778">
        <w:rPr>
          <w:rFonts w:ascii="Minion Pro" w:hAnsi="Minion Pro"/>
        </w:rPr>
        <w:t>the survey</w:t>
      </w:r>
      <w:r>
        <w:rPr>
          <w:rFonts w:ascii="Minion Pro" w:hAnsi="Minion Pro"/>
        </w:rPr>
        <w:t xml:space="preserve"> for:</w:t>
      </w:r>
    </w:p>
    <w:p w14:paraId="4FDB5D3F" w14:textId="77777777" w:rsidR="005736BE" w:rsidRPr="00B8550E" w:rsidRDefault="005736BE" w:rsidP="005736BE">
      <w:pPr>
        <w:pStyle w:val="ListParagraph"/>
        <w:numPr>
          <w:ilvl w:val="0"/>
          <w:numId w:val="3"/>
        </w:numPr>
        <w:rPr>
          <w:rFonts w:ascii="Minion Pro" w:hAnsi="Minion Pro"/>
        </w:rPr>
      </w:pPr>
      <w:r w:rsidRPr="00B8550E">
        <w:rPr>
          <w:rFonts w:ascii="Minion Pro" w:hAnsi="Minion Pro"/>
        </w:rPr>
        <w:t>65.4 percent of women who experienced physical or sexual violence</w:t>
      </w:r>
    </w:p>
    <w:p w14:paraId="2D951B72" w14:textId="77777777" w:rsidR="005736BE" w:rsidRPr="00B8550E" w:rsidRDefault="005736BE" w:rsidP="005736BE">
      <w:pPr>
        <w:pStyle w:val="ListParagraph"/>
        <w:numPr>
          <w:ilvl w:val="0"/>
          <w:numId w:val="3"/>
        </w:numPr>
        <w:rPr>
          <w:rFonts w:ascii="Minion Pro" w:hAnsi="Minion Pro"/>
        </w:rPr>
      </w:pPr>
      <w:r w:rsidRPr="00B8550E">
        <w:rPr>
          <w:rFonts w:ascii="Minion Pro" w:hAnsi="Minion Pro"/>
        </w:rPr>
        <w:t xml:space="preserve">54.8 percent of those who experienced coercive control </w:t>
      </w:r>
    </w:p>
    <w:p w14:paraId="678BF6A6" w14:textId="77777777" w:rsidR="005736BE" w:rsidRDefault="005736BE" w:rsidP="005736BE">
      <w:pPr>
        <w:rPr>
          <w:rFonts w:ascii="Minion Pro" w:hAnsi="Minion Pro"/>
        </w:rPr>
      </w:pPr>
      <w:r w:rsidRPr="006A50B2">
        <w:rPr>
          <w:rFonts w:ascii="Minion Pro" w:hAnsi="Minion Pro"/>
        </w:rPr>
        <w:t>Among women who had experienced physical or sexual violence from their current or former cohabiting partner prior to February 2020, more than half (53.1%) said the violence had increased in frequency or severity</w:t>
      </w:r>
      <w:r w:rsidR="00A30778">
        <w:rPr>
          <w:rFonts w:ascii="Minion Pro" w:hAnsi="Minion Pro"/>
        </w:rPr>
        <w:t xml:space="preserve"> in the last three months</w:t>
      </w:r>
      <w:r w:rsidRPr="006A50B2">
        <w:rPr>
          <w:rFonts w:ascii="Minion Pro" w:hAnsi="Minion Pro"/>
        </w:rPr>
        <w:t>.</w:t>
      </w:r>
    </w:p>
    <w:p w14:paraId="171431FC" w14:textId="77777777" w:rsidR="005736BE" w:rsidRPr="006E4536" w:rsidRDefault="005736BE" w:rsidP="005736BE">
      <w:pPr>
        <w:rPr>
          <w:rFonts w:ascii="Minion Pro" w:hAnsi="Minion Pro"/>
          <w:i/>
        </w:rPr>
      </w:pPr>
      <w:r w:rsidRPr="006E4536">
        <w:rPr>
          <w:rFonts w:ascii="Minion Pro" w:hAnsi="Minion Pro"/>
          <w:i/>
        </w:rPr>
        <w:t>BARRIERS TO HELP-SEEKING</w:t>
      </w:r>
    </w:p>
    <w:p w14:paraId="7CCE5A33" w14:textId="27AA1D7E" w:rsidR="005736BE" w:rsidRPr="00B00136" w:rsidRDefault="00A30778" w:rsidP="005736BE">
      <w:pPr>
        <w:rPr>
          <w:rFonts w:ascii="Minion Pro" w:hAnsi="Minion Pro"/>
        </w:rPr>
      </w:pPr>
      <w:r>
        <w:rPr>
          <w:rFonts w:ascii="Minion Pro" w:hAnsi="Minion Pro"/>
        </w:rPr>
        <w:t>A</w:t>
      </w:r>
      <w:r w:rsidR="005736BE">
        <w:rPr>
          <w:rFonts w:ascii="Minion Pro" w:hAnsi="Minion Pro"/>
        </w:rPr>
        <w:t xml:space="preserve">vailable evidence in Australia </w:t>
      </w:r>
      <w:r>
        <w:rPr>
          <w:rFonts w:ascii="Minion Pro" w:hAnsi="Minion Pro"/>
        </w:rPr>
        <w:t>about</w:t>
      </w:r>
      <w:r w:rsidR="005736BE">
        <w:rPr>
          <w:rFonts w:ascii="Minion Pro" w:hAnsi="Minion Pro"/>
        </w:rPr>
        <w:t xml:space="preserve"> the number of </w:t>
      </w:r>
      <w:r w:rsidR="005736BE" w:rsidRPr="00B00136">
        <w:rPr>
          <w:rFonts w:ascii="Minion Pro" w:hAnsi="Minion Pro"/>
        </w:rPr>
        <w:t xml:space="preserve">domestic violence incidents reported to police </w:t>
      </w:r>
      <w:r w:rsidR="005736BE">
        <w:rPr>
          <w:rFonts w:ascii="Minion Pro" w:hAnsi="Minion Pro"/>
        </w:rPr>
        <w:t>in March and April of 2020</w:t>
      </w:r>
      <w:r>
        <w:rPr>
          <w:rFonts w:ascii="Minion Pro" w:hAnsi="Minion Pro"/>
        </w:rPr>
        <w:t xml:space="preserve"> is mixed.  Some state and territory police agencies have seen an increase in the number of reports of domestic violence, while others have seen no change</w:t>
      </w:r>
      <w:r w:rsidR="00A76C24">
        <w:rPr>
          <w:rFonts w:ascii="Minion Pro" w:hAnsi="Minion Pro"/>
        </w:rPr>
        <w:t>. These changes have also sometimes varied month by month within single jurisdictions</w:t>
      </w:r>
      <w:r>
        <w:rPr>
          <w:rFonts w:ascii="Minion Pro" w:hAnsi="Minion Pro"/>
        </w:rPr>
        <w:t>. T</w:t>
      </w:r>
      <w:r w:rsidR="005736BE" w:rsidRPr="00B00136">
        <w:rPr>
          <w:rFonts w:ascii="Minion Pro" w:hAnsi="Minion Pro"/>
        </w:rPr>
        <w:t xml:space="preserve">his could be </w:t>
      </w:r>
      <w:r w:rsidR="005736BE">
        <w:rPr>
          <w:rFonts w:ascii="Minion Pro" w:hAnsi="Minion Pro"/>
        </w:rPr>
        <w:t xml:space="preserve">partly </w:t>
      </w:r>
      <w:r w:rsidR="005736BE" w:rsidRPr="00B00136">
        <w:rPr>
          <w:rFonts w:ascii="Minion Pro" w:hAnsi="Minion Pro"/>
        </w:rPr>
        <w:t xml:space="preserve">explained by many women reporting that safety concerns were a barrier to help-seeking (consistent with concerns </w:t>
      </w:r>
      <w:r w:rsidR="005736BE" w:rsidRPr="00B00136">
        <w:rPr>
          <w:rFonts w:ascii="Minion Pro" w:hAnsi="Minion Pro"/>
        </w:rPr>
        <w:lastRenderedPageBreak/>
        <w:t>raised by many in the support services sector that they found it difficult to engage with women during this period of social distancing).</w:t>
      </w:r>
      <w:r w:rsidR="005736BE">
        <w:rPr>
          <w:rFonts w:ascii="Minion Pro" w:hAnsi="Minion Pro"/>
        </w:rPr>
        <w:t xml:space="preserve"> National and international research consistently demonstrates that many factors and barriers influence reporting rates, and that domestic and family violence is often under-reported.</w:t>
      </w:r>
    </w:p>
    <w:p w14:paraId="13674593" w14:textId="0A784BEF" w:rsidR="005736BE" w:rsidRDefault="005736BE" w:rsidP="005736BE">
      <w:pPr>
        <w:rPr>
          <w:rFonts w:ascii="Minion Pro" w:hAnsi="Minion Pro"/>
        </w:rPr>
      </w:pPr>
      <w:r>
        <w:rPr>
          <w:rFonts w:ascii="Minion Pro" w:hAnsi="Minion Pro"/>
        </w:rPr>
        <w:t xml:space="preserve">On at least one occasion, 36.9% of women who experienced </w:t>
      </w:r>
      <w:r>
        <w:rPr>
          <w:rFonts w:ascii="Minion Pro" w:hAnsi="Minion Pro"/>
          <w:b/>
        </w:rPr>
        <w:t>either</w:t>
      </w:r>
      <w:r>
        <w:rPr>
          <w:rFonts w:ascii="Minion Pro" w:hAnsi="Minion Pro"/>
        </w:rPr>
        <w:t xml:space="preserve"> coercive control </w:t>
      </w:r>
      <w:r>
        <w:rPr>
          <w:rFonts w:ascii="Minion Pro" w:hAnsi="Minion Pro"/>
          <w:b/>
        </w:rPr>
        <w:t>or</w:t>
      </w:r>
      <w:r>
        <w:rPr>
          <w:rFonts w:ascii="Minion Pro" w:hAnsi="Minion Pro"/>
        </w:rPr>
        <w:t xml:space="preserve"> physical or sexual violence </w:t>
      </w:r>
      <w:r w:rsidR="00A76C24">
        <w:rPr>
          <w:rFonts w:ascii="Minion Pro" w:hAnsi="Minion Pro"/>
        </w:rPr>
        <w:t xml:space="preserve">reported that they </w:t>
      </w:r>
      <w:r>
        <w:rPr>
          <w:rFonts w:ascii="Minion Pro" w:hAnsi="Minion Pro"/>
        </w:rPr>
        <w:t>wanted to seek advice or support</w:t>
      </w:r>
      <w:r w:rsidR="00A76C24">
        <w:rPr>
          <w:rFonts w:ascii="Minion Pro" w:hAnsi="Minion Pro"/>
        </w:rPr>
        <w:t xml:space="preserve"> in the three months prior to the survey</w:t>
      </w:r>
      <w:r>
        <w:rPr>
          <w:rFonts w:ascii="Minion Pro" w:hAnsi="Minion Pro"/>
        </w:rPr>
        <w:t xml:space="preserve"> but could not</w:t>
      </w:r>
      <w:r w:rsidR="00A76C24">
        <w:rPr>
          <w:rFonts w:ascii="Minion Pro" w:hAnsi="Minion Pro"/>
        </w:rPr>
        <w:t xml:space="preserve">. </w:t>
      </w:r>
      <w:r w:rsidR="00A30778">
        <w:rPr>
          <w:rFonts w:ascii="Minion Pro" w:hAnsi="Minion Pro"/>
        </w:rPr>
        <w:t>T</w:t>
      </w:r>
      <w:r>
        <w:rPr>
          <w:rFonts w:ascii="Minion Pro" w:hAnsi="Minion Pro"/>
        </w:rPr>
        <w:t xml:space="preserve">his </w:t>
      </w:r>
      <w:r w:rsidR="00A76C24">
        <w:rPr>
          <w:rFonts w:ascii="Minion Pro" w:hAnsi="Minion Pro"/>
        </w:rPr>
        <w:t xml:space="preserve">figure </w:t>
      </w:r>
      <w:r>
        <w:rPr>
          <w:rFonts w:ascii="Minion Pro" w:hAnsi="Minion Pro"/>
        </w:rPr>
        <w:t>rises to 58.1% among those who experienced both forms of abuse.</w:t>
      </w:r>
    </w:p>
    <w:p w14:paraId="19E233FC" w14:textId="77777777" w:rsidR="00CA6A4F" w:rsidRPr="00A13EF8" w:rsidRDefault="00CA6A4F" w:rsidP="00CA6A4F">
      <w:pPr>
        <w:rPr>
          <w:rFonts w:ascii="Minion Pro" w:hAnsi="Minion Pro"/>
          <w:b/>
        </w:rPr>
      </w:pPr>
      <w:r w:rsidRPr="00A13EF8">
        <w:rPr>
          <w:rFonts w:ascii="Minion Pro" w:hAnsi="Minion Pro"/>
          <w:b/>
        </w:rPr>
        <w:t>DEFINITIONS</w:t>
      </w:r>
    </w:p>
    <w:p w14:paraId="15F11913" w14:textId="77777777" w:rsidR="00CA6A4F" w:rsidRDefault="00CA6A4F" w:rsidP="00CA6A4F">
      <w:pPr>
        <w:rPr>
          <w:rFonts w:ascii="Minion Pro" w:hAnsi="Minion Pro"/>
        </w:rPr>
      </w:pPr>
      <w:r>
        <w:rPr>
          <w:rFonts w:ascii="Minion Pro" w:hAnsi="Minion Pro"/>
          <w:b/>
        </w:rPr>
        <w:t xml:space="preserve">Coercive control: </w:t>
      </w:r>
      <w:r w:rsidRPr="00EF5437">
        <w:rPr>
          <w:rFonts w:ascii="Minion Pro" w:hAnsi="Minion Pro"/>
        </w:rPr>
        <w:t xml:space="preserve">For the purpose of this study, women were considered to have experienced coercive control if they had experienced three or more forms of </w:t>
      </w:r>
      <w:r>
        <w:rPr>
          <w:rFonts w:ascii="Minion Pro" w:hAnsi="Minion Pro"/>
        </w:rPr>
        <w:t xml:space="preserve">non-physical forms of </w:t>
      </w:r>
      <w:r w:rsidRPr="00EF5437">
        <w:rPr>
          <w:rFonts w:ascii="Minion Pro" w:hAnsi="Minion Pro"/>
        </w:rPr>
        <w:t>emotionally abusive, harassing and controlling behaviours in the three months prior to the survey. See note in “Limitations” on the operationalisation of “coercive control” in this study and the need to exercise caution when interpreting results associated with this term.</w:t>
      </w:r>
    </w:p>
    <w:p w14:paraId="5D5BAF2A" w14:textId="77777777" w:rsidR="00CA6A4F" w:rsidRPr="009D5893" w:rsidRDefault="00CA6A4F" w:rsidP="00CA6A4F">
      <w:pPr>
        <w:rPr>
          <w:rFonts w:ascii="Minion Pro" w:hAnsi="Minion Pro"/>
        </w:rPr>
      </w:pPr>
      <w:r>
        <w:rPr>
          <w:rFonts w:ascii="Minion Pro" w:hAnsi="Minion Pro"/>
          <w:b/>
        </w:rPr>
        <w:t xml:space="preserve">Domestic violence: </w:t>
      </w:r>
      <w:r>
        <w:rPr>
          <w:rFonts w:ascii="Minion Pro" w:hAnsi="Minion Pro"/>
        </w:rPr>
        <w:t>Physical violence, sexual violence or emotionally abusive, harassing and controlling behaviour that occurs between current or former intimate partners.</w:t>
      </w:r>
    </w:p>
    <w:p w14:paraId="215BC01E" w14:textId="77777777" w:rsidR="00CA6A4F" w:rsidRPr="009D5893" w:rsidRDefault="00CA6A4F" w:rsidP="00CA6A4F">
      <w:pPr>
        <w:rPr>
          <w:rFonts w:ascii="Minion Pro" w:hAnsi="Minion Pro"/>
        </w:rPr>
      </w:pPr>
      <w:r>
        <w:rPr>
          <w:rFonts w:ascii="Minion Pro" w:hAnsi="Minion Pro"/>
          <w:b/>
        </w:rPr>
        <w:t>Partner:</w:t>
      </w:r>
      <w:r>
        <w:rPr>
          <w:rFonts w:ascii="Minion Pro" w:hAnsi="Minion Pro"/>
        </w:rPr>
        <w:t xml:space="preserve"> A person with whom the respondent lives, or lived with at some point in a married or de facto relationship during the last 12 months. This includes current and former partners, and may also be described as a cohabiting partner. </w:t>
      </w:r>
    </w:p>
    <w:p w14:paraId="57E5FAEA" w14:textId="77777777" w:rsidR="00CA6A4F" w:rsidRDefault="00CA6A4F" w:rsidP="00CA6A4F">
      <w:pPr>
        <w:rPr>
          <w:rFonts w:ascii="Minion Pro" w:hAnsi="Minion Pro"/>
        </w:rPr>
      </w:pPr>
      <w:r w:rsidRPr="00B00136">
        <w:rPr>
          <w:rFonts w:ascii="Minion Pro" w:hAnsi="Minion Pro"/>
          <w:b/>
        </w:rPr>
        <w:t>Partner violence</w:t>
      </w:r>
      <w:r w:rsidRPr="00B00136">
        <w:rPr>
          <w:rFonts w:ascii="Minion Pro" w:hAnsi="Minion Pro"/>
        </w:rPr>
        <w:t xml:space="preserve">: </w:t>
      </w:r>
      <w:r>
        <w:rPr>
          <w:rFonts w:ascii="Minion Pro" w:hAnsi="Minion Pro"/>
        </w:rPr>
        <w:t>Physical or sexual violence and emotionally abusive, harassing or controlling behaviour that occurs within current and former cohabiting relationships.</w:t>
      </w:r>
    </w:p>
    <w:p w14:paraId="2CD7CFCE" w14:textId="77777777" w:rsidR="00CA6A4F" w:rsidRDefault="00CA6A4F" w:rsidP="00CA6A4F">
      <w:pPr>
        <w:rPr>
          <w:rFonts w:ascii="Minion Pro" w:hAnsi="Minion Pro"/>
          <w:b/>
        </w:rPr>
      </w:pPr>
      <w:r w:rsidRPr="00A13EF8">
        <w:rPr>
          <w:rFonts w:ascii="Minion Pro" w:hAnsi="Minion Pro"/>
          <w:b/>
        </w:rPr>
        <w:t>LIMITATIONS</w:t>
      </w:r>
    </w:p>
    <w:p w14:paraId="6E4BE1C8" w14:textId="77777777" w:rsidR="00CA6A4F" w:rsidRPr="00A13EF8" w:rsidRDefault="00CA6A4F" w:rsidP="00CA6A4F">
      <w:pPr>
        <w:rPr>
          <w:rFonts w:ascii="Minion Pro" w:hAnsi="Minion Pro"/>
        </w:rPr>
      </w:pPr>
      <w:r w:rsidRPr="00A13EF8">
        <w:rPr>
          <w:rFonts w:ascii="Minion Pro" w:hAnsi="Minion Pro"/>
        </w:rPr>
        <w:t xml:space="preserve">The AIC report’s authors draw attention to the limitations of the study in a </w:t>
      </w:r>
      <w:hyperlink r:id="rId8" w:history="1">
        <w:r w:rsidRPr="00F27181">
          <w:rPr>
            <w:rStyle w:val="Hyperlink"/>
            <w:rFonts w:ascii="Minion Pro" w:hAnsi="Minion Pro"/>
          </w:rPr>
          <w:t>technical appendix</w:t>
        </w:r>
      </w:hyperlink>
      <w:r w:rsidRPr="00A13EF8">
        <w:rPr>
          <w:rFonts w:ascii="Minion Pro" w:hAnsi="Minion Pro"/>
        </w:rPr>
        <w:t xml:space="preserve">, including, notably, the operationalisation of “coercive control”. As noted in the ANROWS policy brief </w:t>
      </w:r>
      <w:hyperlink r:id="rId9" w:history="1">
        <w:r w:rsidRPr="00F27181">
          <w:rPr>
            <w:rStyle w:val="Hyperlink"/>
            <w:rFonts w:ascii="Minion Pro" w:hAnsi="Minion Pro"/>
            <w:i/>
          </w:rPr>
          <w:t>Defining and responding to coercive control</w:t>
        </w:r>
      </w:hyperlink>
      <w:r w:rsidRPr="00A13EF8">
        <w:rPr>
          <w:rFonts w:ascii="Minion Pro" w:hAnsi="Minion Pro"/>
        </w:rPr>
        <w:t>, coercive control is an attack on autonomy, liberty and equality (Stark, 2007). It is accomplished through a wide range of abusive tactics (which may or may not involve actual physical or sexual abuse) aimed at domination and control</w:t>
      </w:r>
      <w:r>
        <w:rPr>
          <w:rFonts w:ascii="Minion Pro" w:hAnsi="Minion Pro"/>
        </w:rPr>
        <w:t xml:space="preserve"> over the victim’s personhood. </w:t>
      </w:r>
    </w:p>
    <w:p w14:paraId="7021AE97" w14:textId="77777777" w:rsidR="00CA6A4F" w:rsidRPr="00A13EF8" w:rsidRDefault="00CA6A4F" w:rsidP="00CA6A4F">
      <w:pPr>
        <w:rPr>
          <w:rFonts w:ascii="Minion Pro" w:hAnsi="Minion Pro"/>
        </w:rPr>
      </w:pPr>
      <w:r w:rsidRPr="00A13EF8">
        <w:rPr>
          <w:rFonts w:ascii="Minion Pro" w:hAnsi="Minion Pro"/>
        </w:rPr>
        <w:t>Further limitations of the study follow:</w:t>
      </w:r>
    </w:p>
    <w:p w14:paraId="5733B749" w14:textId="77777777" w:rsidR="00CA6A4F" w:rsidRDefault="00CA6A4F" w:rsidP="00CA6A4F">
      <w:pPr>
        <w:pStyle w:val="ListParagraph"/>
        <w:numPr>
          <w:ilvl w:val="0"/>
          <w:numId w:val="1"/>
        </w:numPr>
        <w:rPr>
          <w:rFonts w:ascii="Minion Pro" w:hAnsi="Minion Pro"/>
        </w:rPr>
      </w:pPr>
      <w:r>
        <w:rPr>
          <w:rFonts w:ascii="Minion Pro" w:hAnsi="Minion Pro"/>
        </w:rPr>
        <w:t>Because it is a cross-sectional survey, cause–effect relationships cannot be established (only suggested).</w:t>
      </w:r>
    </w:p>
    <w:p w14:paraId="05A4AF35" w14:textId="355B098A" w:rsidR="00CA6A4F" w:rsidRPr="00CA6A4F" w:rsidRDefault="00CA6A4F" w:rsidP="00CA6A4F">
      <w:pPr>
        <w:pStyle w:val="ListParagraph"/>
        <w:numPr>
          <w:ilvl w:val="0"/>
          <w:numId w:val="1"/>
        </w:numPr>
        <w:rPr>
          <w:rFonts w:ascii="Minion Pro" w:hAnsi="Minion Pro"/>
        </w:rPr>
      </w:pPr>
      <w:r w:rsidRPr="00CA6A4F">
        <w:rPr>
          <w:rFonts w:ascii="Minion Pro" w:hAnsi="Minion Pro"/>
        </w:rPr>
        <w:t>Women who could not safely complete the survey were discouraged from participating (due to safety concerns), and some women who completed the survey may have chosen not to disclose the violence or abuse they had experienced given the sensitive nature of the questions, both of which mean that it is possible that the true level of violence has been under-reported.</w:t>
      </w:r>
    </w:p>
    <w:p w14:paraId="3DC8D468" w14:textId="77777777" w:rsidR="00CA6A4F" w:rsidRDefault="005736BE" w:rsidP="00CA6A4F">
      <w:pPr>
        <w:rPr>
          <w:rFonts w:ascii="Minion Pro" w:hAnsi="Minion Pro"/>
        </w:rPr>
      </w:pPr>
      <w:r>
        <w:rPr>
          <w:rFonts w:ascii="Minion Pro" w:hAnsi="Minion Pro"/>
        </w:rPr>
        <w:t xml:space="preserve">Source: Boxall, H., Morgan, A., &amp; Brown, B. </w:t>
      </w:r>
      <w:r>
        <w:rPr>
          <w:rFonts w:ascii="Minion Pro" w:hAnsi="Minion Pro"/>
          <w:i/>
        </w:rPr>
        <w:t>The prevalence of domestic violence among women during the COVID-19 pandemic</w:t>
      </w:r>
      <w:r>
        <w:rPr>
          <w:rFonts w:ascii="Minion Pro" w:hAnsi="Minion Pro"/>
        </w:rPr>
        <w:t xml:space="preserve"> (Statistical Bulletin no. 28). </w:t>
      </w:r>
      <w:hyperlink r:id="rId10" w:history="1">
        <w:r w:rsidRPr="0094031F">
          <w:rPr>
            <w:rStyle w:val="Hyperlink"/>
            <w:rFonts w:ascii="Minion Pro" w:hAnsi="Minion Pro"/>
          </w:rPr>
          <w:t>https://www.aic.gov.au/publications/sb/sb28</w:t>
        </w:r>
      </w:hyperlink>
      <w:r>
        <w:rPr>
          <w:rFonts w:ascii="Minion Pro" w:hAnsi="Minion Pro"/>
        </w:rPr>
        <w:t xml:space="preserve"> </w:t>
      </w:r>
    </w:p>
    <w:p w14:paraId="1C5E1AC1" w14:textId="5C897DE2" w:rsidR="00C3044B" w:rsidRPr="00CA6A4F" w:rsidRDefault="000606ED" w:rsidP="00CA6A4F">
      <w:pPr>
        <w:rPr>
          <w:rFonts w:ascii="Minion Pro" w:hAnsi="Minion Pro"/>
        </w:rPr>
      </w:pPr>
      <w:r>
        <w:rPr>
          <w:rFonts w:ascii="Minion Pro" w:hAnsi="Minion Pro"/>
          <w:b/>
        </w:rPr>
        <w:lastRenderedPageBreak/>
        <w:t xml:space="preserve">Factsheet #2: </w:t>
      </w:r>
      <w:r w:rsidR="00CA6A4F">
        <w:rPr>
          <w:rFonts w:ascii="Minion Pro" w:hAnsi="Minion Pro"/>
          <w:b/>
        </w:rPr>
        <w:t xml:space="preserve">FAST FACTS: </w:t>
      </w:r>
      <w:r w:rsidR="004423B7">
        <w:rPr>
          <w:rFonts w:ascii="Minion Pro" w:hAnsi="Minion Pro"/>
          <w:b/>
        </w:rPr>
        <w:t xml:space="preserve">The impact of financial stress, time at home and social isolation on the likelihood of women experiencing physical and sexual forms of domestic violence during COVID-19 </w:t>
      </w:r>
      <w:r w:rsidR="00C3044B">
        <w:rPr>
          <w:rFonts w:ascii="Minion Pro" w:hAnsi="Minion Pro"/>
          <w:b/>
        </w:rPr>
        <w:t xml:space="preserve"> </w:t>
      </w:r>
    </w:p>
    <w:p w14:paraId="770ECE35" w14:textId="77777777" w:rsidR="00CA6A4F" w:rsidRDefault="00CA6A4F" w:rsidP="00CA6A4F">
      <w:pPr>
        <w:rPr>
          <w:rFonts w:ascii="Minion Pro" w:hAnsi="Minion Pro"/>
        </w:rPr>
      </w:pPr>
      <w:r w:rsidRPr="00EF5437">
        <w:rPr>
          <w:rFonts w:ascii="Minion Pro" w:hAnsi="Minion Pro"/>
        </w:rPr>
        <w:t xml:space="preserve">In May 2020, the Australian Institute of Criminology surveyed 15,000 women aged 18 and over about their </w:t>
      </w:r>
      <w:r>
        <w:rPr>
          <w:rFonts w:ascii="Minion Pro" w:hAnsi="Minion Pro"/>
        </w:rPr>
        <w:t xml:space="preserve">experiences of domestic violence since February 2020, when Australia first began to feel the impacts of the COVID-19 pandemic. </w:t>
      </w:r>
    </w:p>
    <w:p w14:paraId="0E09BFF7" w14:textId="77777777" w:rsidR="00CA6A4F" w:rsidRDefault="00CA6A4F" w:rsidP="00CA6A4F">
      <w:pPr>
        <w:rPr>
          <w:rFonts w:ascii="Minion Pro" w:hAnsi="Minion Pro"/>
        </w:rPr>
      </w:pPr>
      <w:r>
        <w:rPr>
          <w:rFonts w:ascii="Minion Pro" w:hAnsi="Minion Pro"/>
        </w:rPr>
        <w:t>The survey aimed to estimate the prevalence, characteristics and drivers of violence, both reported and unreported.</w:t>
      </w:r>
    </w:p>
    <w:p w14:paraId="61351303" w14:textId="77777777" w:rsidR="00C3044B" w:rsidRDefault="00C3044B" w:rsidP="00C3044B">
      <w:pPr>
        <w:rPr>
          <w:rFonts w:ascii="Minion Pro" w:hAnsi="Minion Pro"/>
        </w:rPr>
      </w:pPr>
      <w:r>
        <w:rPr>
          <w:rFonts w:ascii="Minion Pro" w:hAnsi="Minion Pro"/>
        </w:rPr>
        <w:t>The Australian Institute of Criminology used the data gathered from its May 2020 survey to test whether the following factors impacted the likelihood of women experiencing violence</w:t>
      </w:r>
      <w:r w:rsidR="00A30778">
        <w:rPr>
          <w:rFonts w:ascii="Minion Pro" w:hAnsi="Minion Pro"/>
        </w:rPr>
        <w:t xml:space="preserve"> during the early stages of the COVID-19 pandemic</w:t>
      </w:r>
      <w:r>
        <w:rPr>
          <w:rFonts w:ascii="Minion Pro" w:hAnsi="Minion Pro"/>
        </w:rPr>
        <w:t>: increased time at home, social isolation and financial stress.</w:t>
      </w:r>
    </w:p>
    <w:p w14:paraId="4C273D12" w14:textId="199B1FA9" w:rsidR="00C3044B" w:rsidRDefault="00C3044B" w:rsidP="00C3044B">
      <w:pPr>
        <w:rPr>
          <w:rFonts w:ascii="Minion Pro" w:hAnsi="Minion Pro"/>
        </w:rPr>
      </w:pPr>
      <w:r>
        <w:rPr>
          <w:rFonts w:ascii="Minion Pro" w:hAnsi="Minion Pro"/>
        </w:rPr>
        <w:t>These factors were explored in relation to two cohorts of women in current cohabitating relationships: those who had experienced violence by their partner before February 2020</w:t>
      </w:r>
      <w:r w:rsidR="00985871">
        <w:rPr>
          <w:rFonts w:ascii="Minion Pro" w:hAnsi="Minion Pro"/>
        </w:rPr>
        <w:t xml:space="preserve"> (n=6,925)</w:t>
      </w:r>
      <w:r>
        <w:rPr>
          <w:rFonts w:ascii="Minion Pro" w:hAnsi="Minion Pro"/>
        </w:rPr>
        <w:t>, and those who had not</w:t>
      </w:r>
      <w:r w:rsidR="00985871">
        <w:rPr>
          <w:rFonts w:ascii="Minion Pro" w:hAnsi="Minion Pro"/>
        </w:rPr>
        <w:t xml:space="preserve"> (n=521)</w:t>
      </w:r>
      <w:r>
        <w:rPr>
          <w:rFonts w:ascii="Minion Pro" w:hAnsi="Minion Pro"/>
        </w:rPr>
        <w:t>.</w:t>
      </w:r>
    </w:p>
    <w:p w14:paraId="185EB35C" w14:textId="77777777" w:rsidR="00C3044B" w:rsidRDefault="00C3044B" w:rsidP="00C3044B">
      <w:pPr>
        <w:pStyle w:val="ListParagraph"/>
        <w:numPr>
          <w:ilvl w:val="0"/>
          <w:numId w:val="4"/>
        </w:numPr>
        <w:spacing w:line="256" w:lineRule="auto"/>
        <w:rPr>
          <w:rFonts w:ascii="Minion Pro" w:hAnsi="Minion Pro"/>
        </w:rPr>
      </w:pPr>
      <w:r>
        <w:rPr>
          <w:rFonts w:ascii="Minion Pro" w:hAnsi="Minion Pro"/>
        </w:rPr>
        <w:t>2.9% of women in a current cohabiting relationship reported having experienced physical or sexual violence by their partner for the first time in the three months prior to May 2020.</w:t>
      </w:r>
    </w:p>
    <w:p w14:paraId="04137F68" w14:textId="77777777" w:rsidR="00C3044B" w:rsidRDefault="00C3044B" w:rsidP="00C3044B">
      <w:pPr>
        <w:pStyle w:val="ListParagraph"/>
        <w:numPr>
          <w:ilvl w:val="0"/>
          <w:numId w:val="4"/>
        </w:numPr>
        <w:spacing w:line="256" w:lineRule="auto"/>
        <w:rPr>
          <w:rFonts w:ascii="Minion Pro" w:hAnsi="Minion Pro"/>
        </w:rPr>
      </w:pPr>
      <w:r>
        <w:rPr>
          <w:rFonts w:ascii="Minion Pro" w:hAnsi="Minion Pro"/>
        </w:rPr>
        <w:t>Of women who had experienced violence before February 2020, 67% reported experiencing a repeat act of violence.</w:t>
      </w:r>
    </w:p>
    <w:p w14:paraId="7B0B67FC" w14:textId="77777777" w:rsidR="00C3044B" w:rsidRDefault="00C3044B" w:rsidP="00C3044B">
      <w:pPr>
        <w:rPr>
          <w:rFonts w:ascii="Minion Pro" w:hAnsi="Minion Pro"/>
          <w:i/>
        </w:rPr>
      </w:pPr>
      <w:r>
        <w:rPr>
          <w:rFonts w:ascii="Minion Pro" w:hAnsi="Minion Pro"/>
          <w:i/>
        </w:rPr>
        <w:t>INCREASED TIME AT HOME</w:t>
      </w:r>
    </w:p>
    <w:p w14:paraId="7FA11904" w14:textId="2F67AD80" w:rsidR="00C3044B" w:rsidRDefault="00C3044B" w:rsidP="00C3044B">
      <w:pPr>
        <w:rPr>
          <w:rFonts w:ascii="Minion Pro" w:hAnsi="Minion Pro"/>
        </w:rPr>
      </w:pPr>
      <w:r>
        <w:rPr>
          <w:rFonts w:ascii="Minion Pro" w:hAnsi="Minion Pro"/>
        </w:rPr>
        <w:t xml:space="preserve">Unexpectedly, the likelihood of violence among women who had experienced partner violence prior to February 2020 and among those who had not did not rise with an increase in the amount of time spent at home. </w:t>
      </w:r>
    </w:p>
    <w:p w14:paraId="6249B300" w14:textId="77777777" w:rsidR="00C3044B" w:rsidRDefault="00C3044B" w:rsidP="00C3044B">
      <w:pPr>
        <w:rPr>
          <w:rFonts w:ascii="Minion Pro" w:hAnsi="Minion Pro"/>
          <w:i/>
        </w:rPr>
      </w:pPr>
      <w:r>
        <w:rPr>
          <w:rFonts w:ascii="Minion Pro" w:hAnsi="Minion Pro"/>
          <w:i/>
        </w:rPr>
        <w:t>SOCIAL ISOLATION</w:t>
      </w:r>
    </w:p>
    <w:p w14:paraId="4064ED47" w14:textId="77777777" w:rsidR="00C3044B" w:rsidRDefault="00C3044B" w:rsidP="00C3044B">
      <w:pPr>
        <w:tabs>
          <w:tab w:val="left" w:pos="7545"/>
        </w:tabs>
        <w:rPr>
          <w:rFonts w:ascii="Minion Pro" w:hAnsi="Minion Pro"/>
        </w:rPr>
      </w:pPr>
      <w:r>
        <w:rPr>
          <w:rFonts w:ascii="Minion Pro" w:hAnsi="Minion Pro"/>
        </w:rPr>
        <w:t xml:space="preserve">Women were more likely to experience violence if their contact with family or friends outside the home occurred weekly or less than weekly. </w:t>
      </w:r>
    </w:p>
    <w:p w14:paraId="7AEF944E" w14:textId="77777777" w:rsidR="00C3044B" w:rsidRDefault="00C3044B" w:rsidP="00C3044B">
      <w:pPr>
        <w:pStyle w:val="ListParagraph"/>
        <w:numPr>
          <w:ilvl w:val="0"/>
          <w:numId w:val="5"/>
        </w:numPr>
        <w:tabs>
          <w:tab w:val="left" w:pos="7545"/>
        </w:tabs>
        <w:spacing w:line="256" w:lineRule="auto"/>
        <w:rPr>
          <w:rFonts w:ascii="Minion Pro" w:hAnsi="Minion Pro"/>
        </w:rPr>
      </w:pPr>
      <w:r>
        <w:rPr>
          <w:rFonts w:ascii="Minion Pro" w:hAnsi="Minion Pro"/>
        </w:rPr>
        <w:t>Among women who had experienced violence before February 2020:</w:t>
      </w:r>
    </w:p>
    <w:p w14:paraId="54197A88" w14:textId="77777777" w:rsidR="00C3044B" w:rsidRDefault="00C3044B" w:rsidP="00C3044B">
      <w:pPr>
        <w:pStyle w:val="ListParagraph"/>
        <w:numPr>
          <w:ilvl w:val="1"/>
          <w:numId w:val="5"/>
        </w:numPr>
        <w:tabs>
          <w:tab w:val="left" w:pos="7545"/>
        </w:tabs>
        <w:spacing w:line="256" w:lineRule="auto"/>
        <w:rPr>
          <w:rFonts w:ascii="Minion Pro" w:hAnsi="Minion Pro"/>
        </w:rPr>
      </w:pPr>
      <w:r>
        <w:rPr>
          <w:rFonts w:ascii="Minion Pro" w:hAnsi="Minion Pro"/>
        </w:rPr>
        <w:t>Women with less than weekly contact with friends and family outside the home were 1.3 times more likely to experience violence compared with those who had more than weekly contact.</w:t>
      </w:r>
    </w:p>
    <w:p w14:paraId="707E9988" w14:textId="77777777" w:rsidR="00C3044B" w:rsidRDefault="00C3044B" w:rsidP="00C3044B">
      <w:pPr>
        <w:pStyle w:val="ListParagraph"/>
        <w:numPr>
          <w:ilvl w:val="0"/>
          <w:numId w:val="5"/>
        </w:numPr>
        <w:tabs>
          <w:tab w:val="left" w:pos="7545"/>
        </w:tabs>
        <w:spacing w:line="256" w:lineRule="auto"/>
        <w:rPr>
          <w:rFonts w:ascii="Minion Pro" w:hAnsi="Minion Pro"/>
        </w:rPr>
      </w:pPr>
      <w:r>
        <w:rPr>
          <w:rFonts w:ascii="Minion Pro" w:hAnsi="Minion Pro"/>
        </w:rPr>
        <w:t>Among women who had not experienced violence before February 2020:</w:t>
      </w:r>
    </w:p>
    <w:p w14:paraId="43D4E659" w14:textId="77777777" w:rsidR="00C3044B" w:rsidRDefault="00C3044B" w:rsidP="00C3044B">
      <w:pPr>
        <w:pStyle w:val="ListParagraph"/>
        <w:numPr>
          <w:ilvl w:val="1"/>
          <w:numId w:val="5"/>
        </w:numPr>
        <w:tabs>
          <w:tab w:val="left" w:pos="7545"/>
        </w:tabs>
        <w:spacing w:line="256" w:lineRule="auto"/>
        <w:rPr>
          <w:rFonts w:ascii="Minion Pro" w:hAnsi="Minion Pro"/>
        </w:rPr>
      </w:pPr>
      <w:r>
        <w:rPr>
          <w:rFonts w:ascii="Minion Pro" w:hAnsi="Minion Pro"/>
        </w:rPr>
        <w:t>Women with both weekly and less than weekly contact were 1.4 times more likely to experience first-time violence was than women who had more than weekly contact with friends and family.</w:t>
      </w:r>
    </w:p>
    <w:p w14:paraId="1BE756DF" w14:textId="0DF02945" w:rsidR="00644A72" w:rsidRPr="00644A72" w:rsidRDefault="00644A72" w:rsidP="00C3044B">
      <w:pPr>
        <w:rPr>
          <w:rFonts w:ascii="Minion Pro" w:hAnsi="Minion Pro"/>
        </w:rPr>
      </w:pPr>
      <w:r w:rsidRPr="00644A72">
        <w:rPr>
          <w:rFonts w:ascii="Minion Pro" w:hAnsi="Minion Pro"/>
        </w:rPr>
        <w:t>These results suggest that access to social support outside of the family home, rather than the amount of time spent with their partner, influenced women’s experiences of violence during the pandemic</w:t>
      </w:r>
      <w:r>
        <w:rPr>
          <w:rFonts w:ascii="Minion Pro" w:hAnsi="Minion Pro"/>
        </w:rPr>
        <w:t>.</w:t>
      </w:r>
    </w:p>
    <w:p w14:paraId="23E9714A" w14:textId="77777777" w:rsidR="00CA6A4F" w:rsidRDefault="00CA6A4F" w:rsidP="00C3044B">
      <w:pPr>
        <w:rPr>
          <w:rFonts w:ascii="Minion Pro" w:hAnsi="Minion Pro"/>
          <w:i/>
        </w:rPr>
      </w:pPr>
    </w:p>
    <w:p w14:paraId="4DABFBC6" w14:textId="77777777" w:rsidR="00CA6A4F" w:rsidRDefault="00CA6A4F" w:rsidP="00C3044B">
      <w:pPr>
        <w:rPr>
          <w:rFonts w:ascii="Minion Pro" w:hAnsi="Minion Pro"/>
          <w:i/>
        </w:rPr>
      </w:pPr>
    </w:p>
    <w:p w14:paraId="5995CC8E" w14:textId="77777777" w:rsidR="00C3044B" w:rsidRDefault="00C3044B" w:rsidP="00C3044B">
      <w:pPr>
        <w:rPr>
          <w:rFonts w:ascii="Minion Pro" w:hAnsi="Minion Pro"/>
          <w:i/>
        </w:rPr>
      </w:pPr>
      <w:r>
        <w:rPr>
          <w:rFonts w:ascii="Minion Pro" w:hAnsi="Minion Pro"/>
          <w:i/>
        </w:rPr>
        <w:lastRenderedPageBreak/>
        <w:t>FINANCIAL STRESS</w:t>
      </w:r>
    </w:p>
    <w:p w14:paraId="62D556D3" w14:textId="77777777" w:rsidR="00C3044B" w:rsidRDefault="00C3044B" w:rsidP="00C3044B">
      <w:pPr>
        <w:rPr>
          <w:rFonts w:ascii="Minion Pro" w:hAnsi="Minion Pro"/>
        </w:rPr>
      </w:pPr>
      <w:r>
        <w:rPr>
          <w:rFonts w:ascii="Minion Pro" w:hAnsi="Minion Pro"/>
        </w:rPr>
        <w:t xml:space="preserve">Higher levels of financial stress prior to the COVID-19 pandemic were associated with a higher prevalence of violence. </w:t>
      </w:r>
    </w:p>
    <w:p w14:paraId="2D70C46E" w14:textId="77777777" w:rsidR="00C3044B" w:rsidRDefault="00C3044B" w:rsidP="00C3044B">
      <w:pPr>
        <w:rPr>
          <w:rFonts w:ascii="Minion Pro" w:hAnsi="Minion Pro"/>
        </w:rPr>
      </w:pPr>
      <w:r>
        <w:rPr>
          <w:rFonts w:ascii="Minion Pro" w:hAnsi="Minion Pro"/>
        </w:rPr>
        <w:t>Australian Bureau of Statistics data show that one in three Australian households reported being financially worse off by March 2020.</w:t>
      </w:r>
      <w:r>
        <w:rPr>
          <w:rStyle w:val="FootnoteReference"/>
          <w:rFonts w:ascii="Minion Pro" w:hAnsi="Minion Pro"/>
        </w:rPr>
        <w:footnoteReference w:id="1"/>
      </w:r>
      <w:r>
        <w:rPr>
          <w:rFonts w:ascii="Minion Pro" w:hAnsi="Minion Pro"/>
        </w:rPr>
        <w:t xml:space="preserve"> In the month of April alone, the number of people employed in Australia fell by 600,000.</w:t>
      </w:r>
      <w:r>
        <w:rPr>
          <w:rStyle w:val="FootnoteReference"/>
          <w:rFonts w:ascii="Minion Pro" w:hAnsi="Minion Pro"/>
        </w:rPr>
        <w:footnoteReference w:id="2"/>
      </w:r>
      <w:r>
        <w:rPr>
          <w:rFonts w:ascii="Minion Pro" w:hAnsi="Minion Pro"/>
        </w:rPr>
        <w:t xml:space="preserve"> </w:t>
      </w:r>
    </w:p>
    <w:p w14:paraId="5A2C7964" w14:textId="77777777" w:rsidR="00C3044B" w:rsidRDefault="00C3044B" w:rsidP="00C3044B">
      <w:pPr>
        <w:rPr>
          <w:rFonts w:ascii="Minion Pro" w:hAnsi="Minion Pro"/>
        </w:rPr>
      </w:pPr>
      <w:r>
        <w:rPr>
          <w:rFonts w:ascii="Minion Pro" w:hAnsi="Minion Pro"/>
        </w:rPr>
        <w:t>Among women who were experiencing a high level of stress before the pandemic:</w:t>
      </w:r>
    </w:p>
    <w:p w14:paraId="7739CB77" w14:textId="725E30C1" w:rsidR="00C3044B" w:rsidRDefault="00C3044B" w:rsidP="00C3044B">
      <w:pPr>
        <w:pStyle w:val="ListParagraph"/>
        <w:numPr>
          <w:ilvl w:val="0"/>
          <w:numId w:val="5"/>
        </w:numPr>
        <w:spacing w:line="256" w:lineRule="auto"/>
        <w:rPr>
          <w:rFonts w:ascii="Minion Pro" w:hAnsi="Minion Pro"/>
        </w:rPr>
      </w:pPr>
      <w:r>
        <w:rPr>
          <w:rFonts w:ascii="Minion Pro" w:hAnsi="Minion Pro"/>
        </w:rPr>
        <w:t>For those whose financial stress did not increase during the pandemic</w:t>
      </w:r>
      <w:r w:rsidR="0059255C">
        <w:rPr>
          <w:rFonts w:ascii="Minion Pro" w:hAnsi="Minion Pro"/>
        </w:rPr>
        <w:t xml:space="preserve"> </w:t>
      </w:r>
      <w:r>
        <w:rPr>
          <w:rFonts w:ascii="Minion Pro" w:hAnsi="Minion Pro"/>
        </w:rPr>
        <w:t xml:space="preserve">there was a 4.6% probability of first-time violence. </w:t>
      </w:r>
    </w:p>
    <w:p w14:paraId="06DA64B8" w14:textId="77777777" w:rsidR="004423B7" w:rsidRDefault="00C3044B" w:rsidP="004423B7">
      <w:pPr>
        <w:pStyle w:val="ListParagraph"/>
        <w:numPr>
          <w:ilvl w:val="0"/>
          <w:numId w:val="5"/>
        </w:numPr>
        <w:spacing w:line="256" w:lineRule="auto"/>
        <w:rPr>
          <w:rFonts w:ascii="Minion Pro" w:hAnsi="Minion Pro"/>
        </w:rPr>
      </w:pPr>
      <w:r>
        <w:rPr>
          <w:rFonts w:ascii="Minion Pro" w:hAnsi="Minion Pro"/>
        </w:rPr>
        <w:t xml:space="preserve">For those whose financial stress </w:t>
      </w:r>
      <w:r w:rsidR="0059255C">
        <w:rPr>
          <w:rFonts w:ascii="Minion Pro" w:hAnsi="Minion Pro"/>
        </w:rPr>
        <w:t xml:space="preserve">levels </w:t>
      </w:r>
      <w:r>
        <w:rPr>
          <w:rFonts w:ascii="Minion Pro" w:hAnsi="Minion Pro"/>
        </w:rPr>
        <w:t>increased during the pandemic, there was an 8.2% probability of first-time violence.</w:t>
      </w:r>
    </w:p>
    <w:p w14:paraId="47C2B5BC" w14:textId="5516A3F6" w:rsidR="00041B9C" w:rsidRPr="00476D35" w:rsidRDefault="004423B7" w:rsidP="00476D35">
      <w:pPr>
        <w:pStyle w:val="CommentText"/>
        <w:rPr>
          <w:rFonts w:ascii="Minion Pro" w:hAnsi="Minion Pro"/>
        </w:rPr>
      </w:pPr>
      <w:r w:rsidRPr="004423B7">
        <w:rPr>
          <w:rStyle w:val="CommentReference"/>
          <w:rFonts w:ascii="Minion Pro" w:hAnsi="Minion Pro"/>
          <w:sz w:val="22"/>
          <w:szCs w:val="22"/>
        </w:rPr>
        <w:t>For women who reported</w:t>
      </w:r>
      <w:r>
        <w:rPr>
          <w:rStyle w:val="CommentReference"/>
          <w:rFonts w:ascii="Minion Pro" w:hAnsi="Minion Pro"/>
          <w:sz w:val="22"/>
          <w:szCs w:val="22"/>
        </w:rPr>
        <w:t xml:space="preserve"> an increase in financial stress during the pandemic, the predicted probability of first-time violence was 4.1%, a figure 1.8 times higher than for women who did not report an increase in financial stress (2.3%). </w:t>
      </w:r>
    </w:p>
    <w:p w14:paraId="13C2CF02" w14:textId="77777777" w:rsidR="00C3044B" w:rsidRDefault="00041B9C" w:rsidP="00041B9C">
      <w:pPr>
        <w:spacing w:line="256" w:lineRule="auto"/>
        <w:rPr>
          <w:rFonts w:ascii="Minion Pro" w:hAnsi="Minion Pro"/>
        </w:rPr>
      </w:pPr>
      <w:r>
        <w:rPr>
          <w:rFonts w:ascii="Minion Pro" w:hAnsi="Minion Pro"/>
        </w:rPr>
        <w:t xml:space="preserve">Overall, the </w:t>
      </w:r>
      <w:r w:rsidR="0008668A">
        <w:rPr>
          <w:rFonts w:ascii="Minion Pro" w:hAnsi="Minion Pro"/>
        </w:rPr>
        <w:t>results from this study suggest that the early stages of the</w:t>
      </w:r>
      <w:r w:rsidR="0008668A" w:rsidRPr="0008668A">
        <w:rPr>
          <w:rFonts w:ascii="Minion Pro" w:hAnsi="Minion Pro"/>
        </w:rPr>
        <w:t xml:space="preserve"> pandemic </w:t>
      </w:r>
      <w:r w:rsidR="0008668A">
        <w:rPr>
          <w:rFonts w:ascii="Minion Pro" w:hAnsi="Minion Pro"/>
        </w:rPr>
        <w:t>were</w:t>
      </w:r>
      <w:r w:rsidR="0008668A" w:rsidRPr="0008668A">
        <w:rPr>
          <w:rFonts w:ascii="Minion Pro" w:hAnsi="Minion Pro"/>
        </w:rPr>
        <w:t xml:space="preserve"> associated with an increased risk of violence against women in current cohabiting relationships, most likely from a combination of economic stress and social isolation</w:t>
      </w:r>
      <w:r w:rsidR="0008668A">
        <w:rPr>
          <w:rFonts w:ascii="Minion Pro" w:hAnsi="Minion Pro"/>
        </w:rPr>
        <w:t>, particularly for first-time victims of violence.</w:t>
      </w:r>
    </w:p>
    <w:p w14:paraId="5A6C62BC" w14:textId="77777777" w:rsidR="00CA6A4F" w:rsidRPr="00A13EF8" w:rsidRDefault="00CA6A4F" w:rsidP="00CA6A4F">
      <w:pPr>
        <w:rPr>
          <w:rFonts w:ascii="Minion Pro" w:hAnsi="Minion Pro"/>
          <w:b/>
        </w:rPr>
      </w:pPr>
      <w:r w:rsidRPr="00A13EF8">
        <w:rPr>
          <w:rFonts w:ascii="Minion Pro" w:hAnsi="Minion Pro"/>
          <w:b/>
        </w:rPr>
        <w:t>DEFINITIONS</w:t>
      </w:r>
    </w:p>
    <w:p w14:paraId="0B14A17D" w14:textId="77777777" w:rsidR="00CA6A4F" w:rsidRDefault="00CA6A4F" w:rsidP="00CA6A4F">
      <w:pPr>
        <w:rPr>
          <w:rFonts w:ascii="Minion Pro" w:hAnsi="Minion Pro"/>
        </w:rPr>
      </w:pPr>
      <w:r>
        <w:rPr>
          <w:rFonts w:ascii="Minion Pro" w:hAnsi="Minion Pro"/>
          <w:b/>
        </w:rPr>
        <w:t xml:space="preserve">Coercive control: </w:t>
      </w:r>
      <w:r w:rsidRPr="00EF5437">
        <w:rPr>
          <w:rFonts w:ascii="Minion Pro" w:hAnsi="Minion Pro"/>
        </w:rPr>
        <w:t xml:space="preserve">For the purpose of this study, women were considered to have experienced coercive control if they had experienced three or more forms of </w:t>
      </w:r>
      <w:r>
        <w:rPr>
          <w:rFonts w:ascii="Minion Pro" w:hAnsi="Minion Pro"/>
        </w:rPr>
        <w:t xml:space="preserve">non-physical forms of </w:t>
      </w:r>
      <w:r w:rsidRPr="00EF5437">
        <w:rPr>
          <w:rFonts w:ascii="Minion Pro" w:hAnsi="Minion Pro"/>
        </w:rPr>
        <w:t>emotionally abusive, harassing and controlling behaviours in the three months prior to the survey. See note in “Limitations” on the operationalisation of “coercive control” in this study and the need to exercise caution when interpreting results associated with this term.</w:t>
      </w:r>
    </w:p>
    <w:p w14:paraId="3183EE0F" w14:textId="77777777" w:rsidR="00CA6A4F" w:rsidRPr="009D5893" w:rsidRDefault="00CA6A4F" w:rsidP="00CA6A4F">
      <w:pPr>
        <w:rPr>
          <w:rFonts w:ascii="Minion Pro" w:hAnsi="Minion Pro"/>
        </w:rPr>
      </w:pPr>
      <w:r>
        <w:rPr>
          <w:rFonts w:ascii="Minion Pro" w:hAnsi="Minion Pro"/>
          <w:b/>
        </w:rPr>
        <w:t xml:space="preserve">Domestic violence: </w:t>
      </w:r>
      <w:r>
        <w:rPr>
          <w:rFonts w:ascii="Minion Pro" w:hAnsi="Minion Pro"/>
        </w:rPr>
        <w:t>Physical violence, sexual violence or emotionally abusive, harassing and controlling behaviour that occurs between current or former intimate partners.</w:t>
      </w:r>
    </w:p>
    <w:p w14:paraId="2D509163" w14:textId="77777777" w:rsidR="00CA6A4F" w:rsidRPr="009D5893" w:rsidRDefault="00CA6A4F" w:rsidP="00CA6A4F">
      <w:pPr>
        <w:rPr>
          <w:rFonts w:ascii="Minion Pro" w:hAnsi="Minion Pro"/>
        </w:rPr>
      </w:pPr>
      <w:r>
        <w:rPr>
          <w:rFonts w:ascii="Minion Pro" w:hAnsi="Minion Pro"/>
          <w:b/>
        </w:rPr>
        <w:t>Partner:</w:t>
      </w:r>
      <w:r>
        <w:rPr>
          <w:rFonts w:ascii="Minion Pro" w:hAnsi="Minion Pro"/>
        </w:rPr>
        <w:t xml:space="preserve"> A person with whom the respondent lives, or lived with at some point in a married or de facto relationship during the last 12 months. This includes current and former partners, and may also be described as a cohabiting partner. </w:t>
      </w:r>
    </w:p>
    <w:p w14:paraId="06E657F0" w14:textId="77777777" w:rsidR="00CA6A4F" w:rsidRDefault="00CA6A4F" w:rsidP="00CA6A4F">
      <w:pPr>
        <w:rPr>
          <w:rFonts w:ascii="Minion Pro" w:hAnsi="Minion Pro"/>
        </w:rPr>
      </w:pPr>
      <w:r w:rsidRPr="00B00136">
        <w:rPr>
          <w:rFonts w:ascii="Minion Pro" w:hAnsi="Minion Pro"/>
          <w:b/>
        </w:rPr>
        <w:t>Partner violence</w:t>
      </w:r>
      <w:r w:rsidRPr="00B00136">
        <w:rPr>
          <w:rFonts w:ascii="Minion Pro" w:hAnsi="Minion Pro"/>
        </w:rPr>
        <w:t xml:space="preserve">: </w:t>
      </w:r>
      <w:r>
        <w:rPr>
          <w:rFonts w:ascii="Minion Pro" w:hAnsi="Minion Pro"/>
        </w:rPr>
        <w:t>Physical or sexual violence and emotionally abusive, harassing or controlling behaviour that occurs within current and former cohabiting relationships.</w:t>
      </w:r>
    </w:p>
    <w:p w14:paraId="4DC844EA" w14:textId="77777777" w:rsidR="00CA6A4F" w:rsidRDefault="00CA6A4F" w:rsidP="00CA6A4F">
      <w:pPr>
        <w:rPr>
          <w:rFonts w:ascii="Minion Pro" w:hAnsi="Minion Pro"/>
          <w:b/>
        </w:rPr>
      </w:pPr>
      <w:r w:rsidRPr="00A13EF8">
        <w:rPr>
          <w:rFonts w:ascii="Minion Pro" w:hAnsi="Minion Pro"/>
          <w:b/>
        </w:rPr>
        <w:t>LIMITATIONS</w:t>
      </w:r>
    </w:p>
    <w:p w14:paraId="17089DBA" w14:textId="77777777" w:rsidR="00CA6A4F" w:rsidRPr="00A13EF8" w:rsidRDefault="00CA6A4F" w:rsidP="00CA6A4F">
      <w:pPr>
        <w:rPr>
          <w:rFonts w:ascii="Minion Pro" w:hAnsi="Minion Pro"/>
        </w:rPr>
      </w:pPr>
      <w:r w:rsidRPr="00A13EF8">
        <w:rPr>
          <w:rFonts w:ascii="Minion Pro" w:hAnsi="Minion Pro"/>
        </w:rPr>
        <w:t xml:space="preserve">The AIC report’s authors draw attention to the limitations of the study in a </w:t>
      </w:r>
      <w:hyperlink r:id="rId11" w:history="1">
        <w:r w:rsidRPr="00F27181">
          <w:rPr>
            <w:rStyle w:val="Hyperlink"/>
            <w:rFonts w:ascii="Minion Pro" w:hAnsi="Minion Pro"/>
          </w:rPr>
          <w:t>technical appendix</w:t>
        </w:r>
      </w:hyperlink>
      <w:r w:rsidRPr="00A13EF8">
        <w:rPr>
          <w:rFonts w:ascii="Minion Pro" w:hAnsi="Minion Pro"/>
        </w:rPr>
        <w:t xml:space="preserve">, including, notably, the operationalisation of “coercive control”. As noted in the ANROWS policy brief </w:t>
      </w:r>
      <w:hyperlink r:id="rId12" w:history="1">
        <w:r w:rsidRPr="00F27181">
          <w:rPr>
            <w:rStyle w:val="Hyperlink"/>
            <w:rFonts w:ascii="Minion Pro" w:hAnsi="Minion Pro"/>
            <w:i/>
          </w:rPr>
          <w:t>Defining and responding to coercive control</w:t>
        </w:r>
      </w:hyperlink>
      <w:r w:rsidRPr="00A13EF8">
        <w:rPr>
          <w:rFonts w:ascii="Minion Pro" w:hAnsi="Minion Pro"/>
        </w:rPr>
        <w:t>, coercive control is an attack on autonomy, liberty and equality (Stark, 2007). It is accomplished through a wide range of abusive tactics (which may or may not involve actual physical or sexual abuse) aimed at domination and control</w:t>
      </w:r>
      <w:r>
        <w:rPr>
          <w:rFonts w:ascii="Minion Pro" w:hAnsi="Minion Pro"/>
        </w:rPr>
        <w:t xml:space="preserve"> over the victim’s personhood. </w:t>
      </w:r>
    </w:p>
    <w:p w14:paraId="40979E72" w14:textId="77777777" w:rsidR="00CA6A4F" w:rsidRPr="00A13EF8" w:rsidRDefault="00CA6A4F" w:rsidP="00CA6A4F">
      <w:pPr>
        <w:rPr>
          <w:rFonts w:ascii="Minion Pro" w:hAnsi="Minion Pro"/>
        </w:rPr>
      </w:pPr>
      <w:r w:rsidRPr="00A13EF8">
        <w:rPr>
          <w:rFonts w:ascii="Minion Pro" w:hAnsi="Minion Pro"/>
        </w:rPr>
        <w:t>Further limitations of the study follow:</w:t>
      </w:r>
    </w:p>
    <w:p w14:paraId="13A645E5" w14:textId="77777777" w:rsidR="00CA6A4F" w:rsidRDefault="00CA6A4F" w:rsidP="00CA6A4F">
      <w:pPr>
        <w:pStyle w:val="ListParagraph"/>
        <w:numPr>
          <w:ilvl w:val="0"/>
          <w:numId w:val="1"/>
        </w:numPr>
        <w:rPr>
          <w:rFonts w:ascii="Minion Pro" w:hAnsi="Minion Pro"/>
        </w:rPr>
      </w:pPr>
      <w:r>
        <w:rPr>
          <w:rFonts w:ascii="Minion Pro" w:hAnsi="Minion Pro"/>
        </w:rPr>
        <w:t>Because it is a cross-sectional survey, cause–effect relationships cannot be established (only suggested).</w:t>
      </w:r>
    </w:p>
    <w:p w14:paraId="21AF3AB8" w14:textId="2940991F" w:rsidR="00CA6A4F" w:rsidRPr="00CA6A4F" w:rsidRDefault="00CA6A4F" w:rsidP="00CA6A4F">
      <w:pPr>
        <w:pStyle w:val="ListParagraph"/>
        <w:numPr>
          <w:ilvl w:val="0"/>
          <w:numId w:val="1"/>
        </w:numPr>
        <w:spacing w:line="256" w:lineRule="auto"/>
        <w:rPr>
          <w:rFonts w:ascii="Minion Pro" w:hAnsi="Minion Pro"/>
        </w:rPr>
      </w:pPr>
      <w:r w:rsidRPr="00CA6A4F">
        <w:rPr>
          <w:rFonts w:ascii="Minion Pro" w:hAnsi="Minion Pro"/>
        </w:rPr>
        <w:t>Women who could not safely complete the survey were discouraged from participating (due to safety concerns), and some women who completed the survey may have chosen not to disclose the violence or abuse they had experienced given the sensitive nature of the questions, both of which mean that it is possible that the true level of violence has been under-reported.</w:t>
      </w:r>
    </w:p>
    <w:p w14:paraId="338C2DCF" w14:textId="77777777" w:rsidR="00C3044B" w:rsidRDefault="00C3044B" w:rsidP="00C3044B">
      <w:pPr>
        <w:rPr>
          <w:rStyle w:val="Hyperlink"/>
          <w:rFonts w:ascii="Minion Pro" w:hAnsi="Minion Pro"/>
        </w:rPr>
      </w:pPr>
      <w:r>
        <w:rPr>
          <w:rFonts w:ascii="Minion Pro" w:hAnsi="Minion Pro"/>
        </w:rPr>
        <w:t xml:space="preserve">Source: Morgan, A., &amp; Boxall, H. (2020). </w:t>
      </w:r>
      <w:r>
        <w:rPr>
          <w:rFonts w:ascii="Minion Pro" w:hAnsi="Minion Pro"/>
          <w:i/>
        </w:rPr>
        <w:t>Social isolation, time spent at home, financial stress and domestic violence during the COVID-19 pandemic</w:t>
      </w:r>
      <w:r>
        <w:rPr>
          <w:rFonts w:ascii="Minion Pro" w:hAnsi="Minion Pro"/>
        </w:rPr>
        <w:t xml:space="preserve"> (Trends &amp; issues in crime and criminal justice no. 609). </w:t>
      </w:r>
      <w:hyperlink r:id="rId13" w:history="1">
        <w:r>
          <w:rPr>
            <w:rStyle w:val="Hyperlink"/>
            <w:rFonts w:ascii="Minion Pro" w:hAnsi="Minion Pro"/>
          </w:rPr>
          <w:t>https://www.aic.gov.au/sites/default/files/2020-10/ti609_social_isolation_DV_during_covid-19_pandemic.pdf</w:t>
        </w:r>
      </w:hyperlink>
    </w:p>
    <w:p w14:paraId="23C62CE0" w14:textId="77777777" w:rsidR="001B6041" w:rsidRDefault="001B6041">
      <w:pPr>
        <w:rPr>
          <w:rStyle w:val="Hyperlink"/>
          <w:rFonts w:ascii="Minion Pro" w:hAnsi="Minion Pro"/>
        </w:rPr>
      </w:pPr>
      <w:r>
        <w:rPr>
          <w:rStyle w:val="Hyperlink"/>
          <w:rFonts w:ascii="Minion Pro" w:hAnsi="Minion Pro"/>
        </w:rPr>
        <w:br w:type="page"/>
      </w:r>
    </w:p>
    <w:p w14:paraId="04B45C94" w14:textId="2716322F" w:rsidR="001B6041" w:rsidRPr="00711C49" w:rsidRDefault="000606ED" w:rsidP="001B6041">
      <w:pPr>
        <w:pBdr>
          <w:bottom w:val="single" w:sz="4" w:space="1" w:color="auto"/>
        </w:pBdr>
        <w:rPr>
          <w:rFonts w:ascii="Minion Pro" w:hAnsi="Minion Pro"/>
          <w:b/>
        </w:rPr>
      </w:pPr>
      <w:r>
        <w:rPr>
          <w:rFonts w:ascii="Minion Pro" w:hAnsi="Minion Pro"/>
          <w:b/>
        </w:rPr>
        <w:lastRenderedPageBreak/>
        <w:t xml:space="preserve">Factsheet #3: </w:t>
      </w:r>
      <w:r w:rsidR="00CA6A4F">
        <w:rPr>
          <w:rFonts w:ascii="Minion Pro" w:hAnsi="Minion Pro"/>
          <w:b/>
        </w:rPr>
        <w:t xml:space="preserve">FAST FACTS: </w:t>
      </w:r>
      <w:r w:rsidR="001B6041" w:rsidRPr="00711C49">
        <w:rPr>
          <w:rFonts w:ascii="Minion Pro" w:hAnsi="Minion Pro"/>
          <w:b/>
        </w:rPr>
        <w:t xml:space="preserve">Domestic violence among women from priority populations during the COVID-19 pandemic </w:t>
      </w:r>
    </w:p>
    <w:p w14:paraId="46179E80" w14:textId="77777777" w:rsidR="00CA6A4F" w:rsidRDefault="00CA6A4F" w:rsidP="00CA6A4F">
      <w:pPr>
        <w:rPr>
          <w:rFonts w:ascii="Minion Pro" w:hAnsi="Minion Pro"/>
        </w:rPr>
      </w:pPr>
      <w:r w:rsidRPr="00EF5437">
        <w:rPr>
          <w:rFonts w:ascii="Minion Pro" w:hAnsi="Minion Pro"/>
        </w:rPr>
        <w:t xml:space="preserve">In May 2020, the Australian Institute of Criminology surveyed 15,000 women aged 18 and over about their </w:t>
      </w:r>
      <w:r>
        <w:rPr>
          <w:rFonts w:ascii="Minion Pro" w:hAnsi="Minion Pro"/>
        </w:rPr>
        <w:t xml:space="preserve">experiences of domestic violence since February 2020, when Australia first began to feel the impacts of the COVID-19 pandemic. </w:t>
      </w:r>
    </w:p>
    <w:p w14:paraId="13286786" w14:textId="77777777" w:rsidR="00CA6A4F" w:rsidRDefault="00CA6A4F" w:rsidP="00CA6A4F">
      <w:pPr>
        <w:rPr>
          <w:rFonts w:ascii="Minion Pro" w:hAnsi="Minion Pro"/>
        </w:rPr>
      </w:pPr>
      <w:r>
        <w:rPr>
          <w:rFonts w:ascii="Minion Pro" w:hAnsi="Minion Pro"/>
        </w:rPr>
        <w:t>The survey aimed to estimate the prevalence, characteristics and drivers of violence, both reported and unreported.</w:t>
      </w:r>
    </w:p>
    <w:p w14:paraId="16504D05" w14:textId="77777777" w:rsidR="001B6041" w:rsidRPr="00BD0FF8" w:rsidRDefault="001B6041" w:rsidP="001B6041">
      <w:pPr>
        <w:rPr>
          <w:rFonts w:ascii="Minion Pro" w:hAnsi="Minion Pro"/>
          <w:i/>
        </w:rPr>
      </w:pPr>
      <w:r w:rsidRPr="00BD0FF8">
        <w:rPr>
          <w:rFonts w:ascii="Minion Pro" w:hAnsi="Minion Pro"/>
          <w:i/>
        </w:rPr>
        <w:t>WHO IS MOST AT RISK OF PHYSICAL AND SEXUAL VIOLENCE AND COERCIVE CONTROL DURING THE COVID-19 PANDEMIC?</w:t>
      </w:r>
    </w:p>
    <w:p w14:paraId="21A77596" w14:textId="110F9B78" w:rsidR="001B6041" w:rsidRDefault="001B6041" w:rsidP="001B6041">
      <w:pPr>
        <w:rPr>
          <w:rFonts w:ascii="Minion Pro" w:hAnsi="Minion Pro"/>
        </w:rPr>
      </w:pPr>
      <w:r>
        <w:rPr>
          <w:rFonts w:ascii="Minion Pro" w:hAnsi="Minion Pro"/>
        </w:rPr>
        <w:t xml:space="preserve">Australian and international research consistently demonstrates that domestic violence disproportionately affects particular communities, rather than being evenly distributed across </w:t>
      </w:r>
      <w:r w:rsidR="00374AFF">
        <w:rPr>
          <w:rFonts w:ascii="Minion Pro" w:hAnsi="Minion Pro"/>
        </w:rPr>
        <w:t>the</w:t>
      </w:r>
      <w:r>
        <w:rPr>
          <w:rFonts w:ascii="Minion Pro" w:hAnsi="Minion Pro"/>
        </w:rPr>
        <w:t xml:space="preserve"> general population. This held true in the </w:t>
      </w:r>
      <w:r w:rsidRPr="003F2B52">
        <w:rPr>
          <w:rFonts w:ascii="Minion Pro" w:hAnsi="Minion Pro"/>
        </w:rPr>
        <w:t>early stages</w:t>
      </w:r>
      <w:r>
        <w:rPr>
          <w:rFonts w:ascii="Minion Pro" w:hAnsi="Minion Pro"/>
        </w:rPr>
        <w:t xml:space="preserve"> of the COVID-19 pandemic</w:t>
      </w:r>
      <w:r w:rsidR="00374AFF">
        <w:rPr>
          <w:rFonts w:ascii="Minion Pro" w:hAnsi="Minion Pro"/>
        </w:rPr>
        <w:t>. T</w:t>
      </w:r>
      <w:r>
        <w:rPr>
          <w:rFonts w:ascii="Minion Pro" w:hAnsi="Minion Pro"/>
        </w:rPr>
        <w:t xml:space="preserve">he following specific populations were more likely to experience domestic violence in the three months prior </w:t>
      </w:r>
      <w:r w:rsidR="00374AFF">
        <w:rPr>
          <w:rFonts w:ascii="Minion Pro" w:hAnsi="Minion Pro"/>
        </w:rPr>
        <w:t>to the survey</w:t>
      </w:r>
      <w:r>
        <w:rPr>
          <w:rFonts w:ascii="Minion Pro" w:hAnsi="Minion Pro"/>
        </w:rPr>
        <w:t>:</w:t>
      </w:r>
    </w:p>
    <w:p w14:paraId="3056BAE2" w14:textId="609CE703" w:rsidR="001B6041" w:rsidRDefault="001B6041" w:rsidP="001B6041">
      <w:pPr>
        <w:pStyle w:val="ListParagraph"/>
        <w:numPr>
          <w:ilvl w:val="0"/>
          <w:numId w:val="1"/>
        </w:numPr>
        <w:rPr>
          <w:rFonts w:ascii="Minion Pro" w:hAnsi="Minion Pro"/>
        </w:rPr>
      </w:pPr>
      <w:r w:rsidRPr="00C9069D">
        <w:rPr>
          <w:rFonts w:ascii="Minion Pro" w:hAnsi="Minion Pro"/>
        </w:rPr>
        <w:t>Aboriginal an</w:t>
      </w:r>
      <w:r>
        <w:rPr>
          <w:rFonts w:ascii="Minion Pro" w:hAnsi="Minion Pro"/>
        </w:rPr>
        <w:t>d Torres Strait Islander women</w:t>
      </w:r>
      <w:r w:rsidR="00476D35">
        <w:rPr>
          <w:rFonts w:ascii="Minion Pro" w:hAnsi="Minion Pro"/>
        </w:rPr>
        <w:t>*</w:t>
      </w:r>
    </w:p>
    <w:p w14:paraId="0A4C3D35" w14:textId="77777777" w:rsidR="001B6041" w:rsidRDefault="001B6041" w:rsidP="001B6041">
      <w:pPr>
        <w:pStyle w:val="ListParagraph"/>
        <w:numPr>
          <w:ilvl w:val="0"/>
          <w:numId w:val="1"/>
        </w:numPr>
        <w:rPr>
          <w:rFonts w:ascii="Minion Pro" w:hAnsi="Minion Pro"/>
        </w:rPr>
      </w:pPr>
      <w:r w:rsidRPr="00C9069D">
        <w:rPr>
          <w:rFonts w:ascii="Minion Pro" w:hAnsi="Minion Pro"/>
        </w:rPr>
        <w:t>women wit</w:t>
      </w:r>
      <w:r>
        <w:rPr>
          <w:rFonts w:ascii="Minion Pro" w:hAnsi="Minion Pro"/>
        </w:rPr>
        <w:t>h a long-term health condition</w:t>
      </w:r>
    </w:p>
    <w:p w14:paraId="29D4CA36" w14:textId="77777777" w:rsidR="001B6041" w:rsidRDefault="001B6041" w:rsidP="001B6041">
      <w:pPr>
        <w:pStyle w:val="ListParagraph"/>
        <w:numPr>
          <w:ilvl w:val="0"/>
          <w:numId w:val="1"/>
        </w:numPr>
        <w:rPr>
          <w:rFonts w:ascii="Minion Pro" w:hAnsi="Minion Pro"/>
        </w:rPr>
      </w:pPr>
      <w:r>
        <w:rPr>
          <w:rFonts w:ascii="Minion Pro" w:hAnsi="Minion Pro"/>
        </w:rPr>
        <w:t>pregnant women</w:t>
      </w:r>
    </w:p>
    <w:p w14:paraId="635E36AF" w14:textId="77777777" w:rsidR="001B6041" w:rsidRDefault="001B6041" w:rsidP="001B6041">
      <w:pPr>
        <w:pStyle w:val="ListParagraph"/>
        <w:numPr>
          <w:ilvl w:val="0"/>
          <w:numId w:val="1"/>
        </w:numPr>
        <w:rPr>
          <w:rFonts w:ascii="Minion Pro" w:hAnsi="Minion Pro"/>
        </w:rPr>
      </w:pPr>
      <w:r w:rsidRPr="00C9069D">
        <w:rPr>
          <w:rFonts w:ascii="Minion Pro" w:hAnsi="Minion Pro"/>
        </w:rPr>
        <w:t xml:space="preserve">those experiencing high </w:t>
      </w:r>
      <w:r>
        <w:rPr>
          <w:rFonts w:ascii="Minion Pro" w:hAnsi="Minion Pro"/>
        </w:rPr>
        <w:t>levels of financial stress</w:t>
      </w:r>
    </w:p>
    <w:p w14:paraId="3064B2D7" w14:textId="77777777" w:rsidR="001B6041" w:rsidRDefault="001B6041" w:rsidP="001B6041">
      <w:pPr>
        <w:pStyle w:val="ListParagraph"/>
        <w:numPr>
          <w:ilvl w:val="0"/>
          <w:numId w:val="1"/>
        </w:numPr>
        <w:rPr>
          <w:rFonts w:ascii="Minion Pro" w:hAnsi="Minion Pro"/>
        </w:rPr>
      </w:pPr>
      <w:r w:rsidRPr="004D5980">
        <w:rPr>
          <w:rFonts w:ascii="Minion Pro" w:hAnsi="Minion Pro"/>
        </w:rPr>
        <w:t>younger women—in particular, those between 18 and 24 years of age.</w:t>
      </w:r>
    </w:p>
    <w:p w14:paraId="5E3CCACC" w14:textId="3B5B70A4" w:rsidR="00476D35" w:rsidRPr="00476D35" w:rsidRDefault="00476D35" w:rsidP="00476D35">
      <w:pPr>
        <w:rPr>
          <w:rFonts w:ascii="Minion Pro" w:hAnsi="Minion Pro"/>
        </w:rPr>
      </w:pPr>
      <w:r w:rsidRPr="00476D35">
        <w:rPr>
          <w:rFonts w:ascii="Minion Pro" w:hAnsi="Minion Pro"/>
        </w:rPr>
        <w:t>*</w:t>
      </w:r>
      <w:r>
        <w:rPr>
          <w:rFonts w:ascii="Minion Pro" w:hAnsi="Minion Pro"/>
        </w:rPr>
        <w:t xml:space="preserve"> </w:t>
      </w:r>
      <w:r>
        <w:rPr>
          <w:rFonts w:ascii="Minion Pro" w:hAnsi="Minion Pro"/>
          <w:color w:val="000000"/>
        </w:rPr>
        <w:t xml:space="preserve">Exact figures capturing risk for this population are not included. This is to avoid direct comparisons between Aboriginal and Torres Strait Islander women and non-Indigenous women, in line with the </w:t>
      </w:r>
      <w:hyperlink r:id="rId14" w:history="1">
        <w:r>
          <w:rPr>
            <w:rStyle w:val="Hyperlink"/>
            <w:rFonts w:ascii="Minion Pro" w:hAnsi="Minion Pro"/>
          </w:rPr>
          <w:t>Warawarni-gu Guma statement</w:t>
        </w:r>
      </w:hyperlink>
      <w:r>
        <w:rPr>
          <w:rFonts w:ascii="Minion Pro" w:hAnsi="Minion Pro"/>
          <w:color w:val="000000"/>
        </w:rPr>
        <w:t>.</w:t>
      </w:r>
    </w:p>
    <w:p w14:paraId="222D9EB9" w14:textId="77777777" w:rsidR="001B6041" w:rsidRDefault="001B6041" w:rsidP="001B6041">
      <w:pPr>
        <w:rPr>
          <w:rFonts w:ascii="Minion Pro" w:hAnsi="Minion Pro"/>
        </w:rPr>
      </w:pPr>
      <w:r w:rsidRPr="00BD0FF8">
        <w:rPr>
          <w:rFonts w:ascii="Minion Pro" w:hAnsi="Minion Pro"/>
        </w:rPr>
        <w:t>The sample for this study was 9,284 respondents. Women who had not been involved in an intimate relationship in the 12 months before the survey were removed from the sample. Unweight</w:t>
      </w:r>
      <w:r>
        <w:rPr>
          <w:rFonts w:ascii="Minion Pro" w:hAnsi="Minion Pro"/>
        </w:rPr>
        <w:t xml:space="preserve">ed data (see </w:t>
      </w:r>
      <w:hyperlink r:id="rId15" w:history="1">
        <w:r w:rsidRPr="00BD0FF8">
          <w:rPr>
            <w:rStyle w:val="Hyperlink"/>
            <w:rFonts w:ascii="Minion Pro" w:hAnsi="Minion Pro"/>
          </w:rPr>
          <w:t>technical appendix</w:t>
        </w:r>
      </w:hyperlink>
      <w:r>
        <w:rPr>
          <w:rFonts w:ascii="Minion Pro" w:hAnsi="Minion Pro"/>
        </w:rPr>
        <w:t xml:space="preserve">) </w:t>
      </w:r>
      <w:r w:rsidRPr="00BD0FF8">
        <w:rPr>
          <w:rFonts w:ascii="Minion Pro" w:hAnsi="Minion Pro"/>
        </w:rPr>
        <w:t>was used to explore the relationship between variables</w:t>
      </w:r>
      <w:r>
        <w:rPr>
          <w:rFonts w:ascii="Minion Pro" w:hAnsi="Minion Pro"/>
        </w:rPr>
        <w:t>.</w:t>
      </w:r>
    </w:p>
    <w:tbl>
      <w:tblPr>
        <w:tblStyle w:val="TableGrid"/>
        <w:tblW w:w="0" w:type="auto"/>
        <w:tblLook w:val="04A0" w:firstRow="1" w:lastRow="0" w:firstColumn="1" w:lastColumn="0" w:noHBand="0" w:noVBand="1"/>
      </w:tblPr>
      <w:tblGrid>
        <w:gridCol w:w="2254"/>
        <w:gridCol w:w="2254"/>
        <w:gridCol w:w="2254"/>
        <w:gridCol w:w="2254"/>
      </w:tblGrid>
      <w:tr w:rsidR="001B6041" w:rsidRPr="00F05D59" w14:paraId="7C6ABE9A" w14:textId="77777777" w:rsidTr="003824EB">
        <w:tc>
          <w:tcPr>
            <w:tcW w:w="2254" w:type="dxa"/>
          </w:tcPr>
          <w:p w14:paraId="4B2EF706" w14:textId="77777777" w:rsidR="001B6041" w:rsidRPr="00F05D59" w:rsidRDefault="001B6041" w:rsidP="003824EB">
            <w:pPr>
              <w:rPr>
                <w:rFonts w:ascii="Minion Pro" w:hAnsi="Minion Pro"/>
                <w:i/>
              </w:rPr>
            </w:pPr>
            <w:r w:rsidRPr="00F05D59">
              <w:rPr>
                <w:rFonts w:ascii="Minion Pro" w:hAnsi="Minion Pro"/>
                <w:i/>
              </w:rPr>
              <w:t>Population</w:t>
            </w:r>
          </w:p>
        </w:tc>
        <w:tc>
          <w:tcPr>
            <w:tcW w:w="2254" w:type="dxa"/>
          </w:tcPr>
          <w:p w14:paraId="63C77685" w14:textId="77777777" w:rsidR="001B6041" w:rsidRPr="00F05D59" w:rsidRDefault="001B6041" w:rsidP="003824EB">
            <w:pPr>
              <w:rPr>
                <w:rFonts w:ascii="Minion Pro" w:hAnsi="Minion Pro"/>
                <w:i/>
              </w:rPr>
            </w:pPr>
            <w:r w:rsidRPr="00F05D59">
              <w:rPr>
                <w:rFonts w:ascii="Minion Pro" w:hAnsi="Minion Pro"/>
                <w:i/>
              </w:rPr>
              <w:t>Odds of experiencing physical/sexual violence</w:t>
            </w:r>
          </w:p>
        </w:tc>
        <w:tc>
          <w:tcPr>
            <w:tcW w:w="2254" w:type="dxa"/>
          </w:tcPr>
          <w:p w14:paraId="761AC83F" w14:textId="77777777" w:rsidR="001B6041" w:rsidRPr="00F05D59" w:rsidRDefault="001B6041" w:rsidP="003824EB">
            <w:pPr>
              <w:rPr>
                <w:rFonts w:ascii="Minion Pro" w:hAnsi="Minion Pro"/>
                <w:i/>
              </w:rPr>
            </w:pPr>
            <w:r w:rsidRPr="00F05D59">
              <w:rPr>
                <w:rFonts w:ascii="Minion Pro" w:hAnsi="Minion Pro"/>
                <w:i/>
              </w:rPr>
              <w:t>Odds of experiencing coercive control</w:t>
            </w:r>
          </w:p>
        </w:tc>
        <w:tc>
          <w:tcPr>
            <w:tcW w:w="2254" w:type="dxa"/>
          </w:tcPr>
          <w:p w14:paraId="7C81035B" w14:textId="77777777" w:rsidR="001B6041" w:rsidRPr="00F05D59" w:rsidRDefault="001B6041" w:rsidP="003824EB">
            <w:pPr>
              <w:rPr>
                <w:rFonts w:ascii="Minion Pro" w:hAnsi="Minion Pro"/>
                <w:i/>
              </w:rPr>
            </w:pPr>
            <w:r w:rsidRPr="00F05D59">
              <w:rPr>
                <w:rFonts w:ascii="Minion Pro" w:hAnsi="Minion Pro"/>
                <w:i/>
              </w:rPr>
              <w:t>Odds of experiencing both physical/sexual violence and coercive control when women had reported experiencing any form of domestic violence in the three months prior to the survey</w:t>
            </w:r>
          </w:p>
        </w:tc>
      </w:tr>
      <w:tr w:rsidR="001B6041" w14:paraId="7A95E940" w14:textId="77777777" w:rsidTr="003824EB">
        <w:tc>
          <w:tcPr>
            <w:tcW w:w="2254" w:type="dxa"/>
          </w:tcPr>
          <w:p w14:paraId="261F2696" w14:textId="77777777" w:rsidR="001B6041" w:rsidRPr="00F05D59" w:rsidRDefault="001B6041" w:rsidP="003824EB">
            <w:pPr>
              <w:rPr>
                <w:rFonts w:ascii="Minion Pro" w:hAnsi="Minion Pro"/>
                <w:i/>
              </w:rPr>
            </w:pPr>
            <w:r w:rsidRPr="00F05D59">
              <w:rPr>
                <w:rFonts w:ascii="Minion Pro" w:hAnsi="Minion Pro"/>
                <w:i/>
              </w:rPr>
              <w:t xml:space="preserve">Women with a restrictive long-term health condition, compared to those without a restrictive </w:t>
            </w:r>
            <w:r w:rsidRPr="00F05D59">
              <w:rPr>
                <w:rFonts w:ascii="Minion Pro" w:hAnsi="Minion Pro"/>
                <w:i/>
              </w:rPr>
              <w:lastRenderedPageBreak/>
              <w:t>long-term health condition</w:t>
            </w:r>
          </w:p>
        </w:tc>
        <w:tc>
          <w:tcPr>
            <w:tcW w:w="2254" w:type="dxa"/>
          </w:tcPr>
          <w:p w14:paraId="14182016" w14:textId="77777777" w:rsidR="001B6041" w:rsidRDefault="001B6041" w:rsidP="003824EB">
            <w:pPr>
              <w:rPr>
                <w:rFonts w:ascii="Minion Pro" w:hAnsi="Minion Pro"/>
              </w:rPr>
            </w:pPr>
            <w:r>
              <w:rPr>
                <w:rFonts w:ascii="Minion Pro" w:hAnsi="Minion Pro"/>
              </w:rPr>
              <w:lastRenderedPageBreak/>
              <w:t>3x higher</w:t>
            </w:r>
          </w:p>
        </w:tc>
        <w:tc>
          <w:tcPr>
            <w:tcW w:w="2254" w:type="dxa"/>
          </w:tcPr>
          <w:p w14:paraId="7C93AC6D" w14:textId="77777777" w:rsidR="001B6041" w:rsidRDefault="001B6041" w:rsidP="003824EB">
            <w:pPr>
              <w:rPr>
                <w:rFonts w:ascii="Minion Pro" w:hAnsi="Minion Pro"/>
              </w:rPr>
            </w:pPr>
            <w:r>
              <w:rPr>
                <w:rFonts w:ascii="Minion Pro" w:hAnsi="Minion Pro"/>
              </w:rPr>
              <w:t>3x higher</w:t>
            </w:r>
          </w:p>
        </w:tc>
        <w:tc>
          <w:tcPr>
            <w:tcW w:w="2254" w:type="dxa"/>
          </w:tcPr>
          <w:p w14:paraId="484AD9E4" w14:textId="77777777" w:rsidR="001B6041" w:rsidRDefault="001B6041" w:rsidP="003824EB">
            <w:pPr>
              <w:rPr>
                <w:rFonts w:ascii="Minion Pro" w:hAnsi="Minion Pro"/>
              </w:rPr>
            </w:pPr>
            <w:r>
              <w:rPr>
                <w:rFonts w:ascii="Minion Pro" w:hAnsi="Minion Pro"/>
              </w:rPr>
              <w:t>2.2x higher</w:t>
            </w:r>
          </w:p>
        </w:tc>
      </w:tr>
      <w:tr w:rsidR="001B6041" w14:paraId="1CD90943" w14:textId="77777777" w:rsidTr="003824EB">
        <w:tc>
          <w:tcPr>
            <w:tcW w:w="2254" w:type="dxa"/>
          </w:tcPr>
          <w:p w14:paraId="64222BE4" w14:textId="77777777" w:rsidR="001B6041" w:rsidRPr="00F05D59" w:rsidRDefault="001B6041" w:rsidP="003824EB">
            <w:pPr>
              <w:rPr>
                <w:rFonts w:ascii="Minion Pro" w:hAnsi="Minion Pro"/>
                <w:i/>
              </w:rPr>
            </w:pPr>
            <w:r w:rsidRPr="00F05D59">
              <w:rPr>
                <w:rFonts w:ascii="Minion Pro" w:hAnsi="Minion Pro"/>
                <w:i/>
              </w:rPr>
              <w:t>Pregnant women, compared to those who are not pregnant</w:t>
            </w:r>
          </w:p>
        </w:tc>
        <w:tc>
          <w:tcPr>
            <w:tcW w:w="2254" w:type="dxa"/>
          </w:tcPr>
          <w:p w14:paraId="0DFABC8C" w14:textId="77777777" w:rsidR="001B6041" w:rsidRDefault="001B6041" w:rsidP="003824EB">
            <w:pPr>
              <w:rPr>
                <w:rFonts w:ascii="Minion Pro" w:hAnsi="Minion Pro"/>
              </w:rPr>
            </w:pPr>
            <w:r>
              <w:rPr>
                <w:rFonts w:ascii="Minion Pro" w:hAnsi="Minion Pro"/>
              </w:rPr>
              <w:t>3x higher</w:t>
            </w:r>
          </w:p>
        </w:tc>
        <w:tc>
          <w:tcPr>
            <w:tcW w:w="2254" w:type="dxa"/>
          </w:tcPr>
          <w:p w14:paraId="671FFDDB" w14:textId="77777777" w:rsidR="001B6041" w:rsidRDefault="001B6041" w:rsidP="003824EB">
            <w:pPr>
              <w:rPr>
                <w:rFonts w:ascii="Minion Pro" w:hAnsi="Minion Pro"/>
              </w:rPr>
            </w:pPr>
            <w:r>
              <w:rPr>
                <w:rFonts w:ascii="Minion Pro" w:hAnsi="Minion Pro"/>
              </w:rPr>
              <w:t>2.5x higher</w:t>
            </w:r>
          </w:p>
        </w:tc>
        <w:tc>
          <w:tcPr>
            <w:tcW w:w="2254" w:type="dxa"/>
          </w:tcPr>
          <w:p w14:paraId="515AA0D6" w14:textId="77777777" w:rsidR="001B6041" w:rsidRDefault="001B6041" w:rsidP="003824EB">
            <w:pPr>
              <w:rPr>
                <w:rFonts w:ascii="Minion Pro" w:hAnsi="Minion Pro"/>
              </w:rPr>
            </w:pPr>
            <w:r>
              <w:rPr>
                <w:rFonts w:ascii="Minion Pro" w:hAnsi="Minion Pro"/>
              </w:rPr>
              <w:t>4x higher</w:t>
            </w:r>
          </w:p>
        </w:tc>
      </w:tr>
      <w:tr w:rsidR="001B6041" w14:paraId="66B3DFB7" w14:textId="77777777" w:rsidTr="003824EB">
        <w:tc>
          <w:tcPr>
            <w:tcW w:w="2254" w:type="dxa"/>
          </w:tcPr>
          <w:p w14:paraId="4D4508CF" w14:textId="77777777" w:rsidR="001B6041" w:rsidRPr="00F05D59" w:rsidRDefault="001B6041" w:rsidP="003824EB">
            <w:pPr>
              <w:rPr>
                <w:rFonts w:ascii="Minion Pro" w:hAnsi="Minion Pro"/>
                <w:i/>
              </w:rPr>
            </w:pPr>
            <w:r w:rsidRPr="00F05D59">
              <w:rPr>
                <w:rFonts w:ascii="Minion Pro" w:hAnsi="Minion Pro"/>
                <w:i/>
              </w:rPr>
              <w:t>Women experiencing extreme financial stress, compared to those experiencing no financial stress</w:t>
            </w:r>
          </w:p>
        </w:tc>
        <w:tc>
          <w:tcPr>
            <w:tcW w:w="2254" w:type="dxa"/>
          </w:tcPr>
          <w:p w14:paraId="6C6FD340" w14:textId="77777777" w:rsidR="001B6041" w:rsidRDefault="001B6041" w:rsidP="003824EB">
            <w:pPr>
              <w:rPr>
                <w:rFonts w:ascii="Minion Pro" w:hAnsi="Minion Pro"/>
              </w:rPr>
            </w:pPr>
            <w:r>
              <w:rPr>
                <w:rFonts w:ascii="Minion Pro" w:hAnsi="Minion Pro"/>
              </w:rPr>
              <w:t>10x higher</w:t>
            </w:r>
          </w:p>
        </w:tc>
        <w:tc>
          <w:tcPr>
            <w:tcW w:w="2254" w:type="dxa"/>
          </w:tcPr>
          <w:p w14:paraId="1908273A" w14:textId="77777777" w:rsidR="001B6041" w:rsidRDefault="001B6041" w:rsidP="003824EB">
            <w:pPr>
              <w:rPr>
                <w:rFonts w:ascii="Minion Pro" w:hAnsi="Minion Pro"/>
              </w:rPr>
            </w:pPr>
            <w:r>
              <w:rPr>
                <w:rFonts w:ascii="Minion Pro" w:hAnsi="Minion Pro"/>
              </w:rPr>
              <w:t>9x higher</w:t>
            </w:r>
          </w:p>
        </w:tc>
        <w:tc>
          <w:tcPr>
            <w:tcW w:w="2254" w:type="dxa"/>
          </w:tcPr>
          <w:p w14:paraId="68D5A1FA" w14:textId="77777777" w:rsidR="001B6041" w:rsidRDefault="001B6041" w:rsidP="003824EB">
            <w:pPr>
              <w:rPr>
                <w:rFonts w:ascii="Minion Pro" w:hAnsi="Minion Pro"/>
              </w:rPr>
            </w:pPr>
            <w:r>
              <w:rPr>
                <w:rFonts w:ascii="Minion Pro" w:hAnsi="Minion Pro"/>
              </w:rPr>
              <w:t>3.5x higher</w:t>
            </w:r>
          </w:p>
        </w:tc>
      </w:tr>
      <w:tr w:rsidR="001B6041" w14:paraId="56FC72EA" w14:textId="77777777" w:rsidTr="003824EB">
        <w:tc>
          <w:tcPr>
            <w:tcW w:w="2254" w:type="dxa"/>
          </w:tcPr>
          <w:p w14:paraId="1D9A5EE7" w14:textId="77777777" w:rsidR="001B6041" w:rsidRPr="00F05D59" w:rsidRDefault="001B6041" w:rsidP="003824EB">
            <w:pPr>
              <w:rPr>
                <w:rFonts w:ascii="Minion Pro" w:hAnsi="Minion Pro"/>
                <w:i/>
              </w:rPr>
            </w:pPr>
            <w:r w:rsidRPr="00F05D59">
              <w:rPr>
                <w:rFonts w:ascii="Minion Pro" w:hAnsi="Minion Pro"/>
                <w:i/>
              </w:rPr>
              <w:t>Younger women (particularly 18–24 years), compared to those 55 years and over</w:t>
            </w:r>
          </w:p>
        </w:tc>
        <w:tc>
          <w:tcPr>
            <w:tcW w:w="2254" w:type="dxa"/>
          </w:tcPr>
          <w:p w14:paraId="46377B37" w14:textId="77777777" w:rsidR="001B6041" w:rsidRDefault="001B6041" w:rsidP="003824EB">
            <w:pPr>
              <w:rPr>
                <w:rFonts w:ascii="Minion Pro" w:hAnsi="Minion Pro"/>
              </w:rPr>
            </w:pPr>
            <w:r>
              <w:rPr>
                <w:rFonts w:ascii="Minion Pro" w:hAnsi="Minion Pro"/>
              </w:rPr>
              <w:t>8x higher</w:t>
            </w:r>
          </w:p>
        </w:tc>
        <w:tc>
          <w:tcPr>
            <w:tcW w:w="2254" w:type="dxa"/>
          </w:tcPr>
          <w:p w14:paraId="597EC8C4" w14:textId="77777777" w:rsidR="001B6041" w:rsidRDefault="001B6041" w:rsidP="003824EB">
            <w:pPr>
              <w:rPr>
                <w:rFonts w:ascii="Minion Pro" w:hAnsi="Minion Pro"/>
              </w:rPr>
            </w:pPr>
            <w:r>
              <w:rPr>
                <w:rFonts w:ascii="Minion Pro" w:hAnsi="Minion Pro"/>
              </w:rPr>
              <w:t>6x higher</w:t>
            </w:r>
          </w:p>
        </w:tc>
        <w:tc>
          <w:tcPr>
            <w:tcW w:w="2254" w:type="dxa"/>
          </w:tcPr>
          <w:p w14:paraId="6FE8F499" w14:textId="77777777" w:rsidR="001B6041" w:rsidRDefault="001B6041" w:rsidP="003824EB">
            <w:pPr>
              <w:rPr>
                <w:rFonts w:ascii="Minion Pro" w:hAnsi="Minion Pro"/>
              </w:rPr>
            </w:pPr>
            <w:r>
              <w:rPr>
                <w:rFonts w:ascii="Minion Pro" w:hAnsi="Minion Pro"/>
              </w:rPr>
              <w:t>4x higher</w:t>
            </w:r>
          </w:p>
        </w:tc>
      </w:tr>
    </w:tbl>
    <w:p w14:paraId="2DD1530D" w14:textId="77777777" w:rsidR="001B6041" w:rsidRDefault="001B6041" w:rsidP="001B6041">
      <w:pPr>
        <w:rPr>
          <w:rFonts w:ascii="Minion Pro" w:hAnsi="Minion Pro"/>
        </w:rPr>
      </w:pPr>
    </w:p>
    <w:p w14:paraId="031096F9" w14:textId="77777777" w:rsidR="00CA6A4F" w:rsidRPr="00A13EF8" w:rsidRDefault="00CA6A4F" w:rsidP="00CA6A4F">
      <w:pPr>
        <w:rPr>
          <w:rFonts w:ascii="Minion Pro" w:hAnsi="Minion Pro"/>
          <w:b/>
        </w:rPr>
      </w:pPr>
      <w:r w:rsidRPr="00A13EF8">
        <w:rPr>
          <w:rFonts w:ascii="Minion Pro" w:hAnsi="Minion Pro"/>
          <w:b/>
        </w:rPr>
        <w:t>DEFINITIONS</w:t>
      </w:r>
    </w:p>
    <w:p w14:paraId="2E7C92F1" w14:textId="77777777" w:rsidR="00CA6A4F" w:rsidRDefault="00CA6A4F" w:rsidP="00CA6A4F">
      <w:pPr>
        <w:rPr>
          <w:rFonts w:ascii="Minion Pro" w:hAnsi="Minion Pro"/>
        </w:rPr>
      </w:pPr>
      <w:r>
        <w:rPr>
          <w:rFonts w:ascii="Minion Pro" w:hAnsi="Minion Pro"/>
          <w:b/>
        </w:rPr>
        <w:t xml:space="preserve">Coercive control: </w:t>
      </w:r>
      <w:r w:rsidRPr="00EF5437">
        <w:rPr>
          <w:rFonts w:ascii="Minion Pro" w:hAnsi="Minion Pro"/>
        </w:rPr>
        <w:t xml:space="preserve">For the purpose of this study, women were considered to have experienced coercive control if they had experienced three or more forms of </w:t>
      </w:r>
      <w:r>
        <w:rPr>
          <w:rFonts w:ascii="Minion Pro" w:hAnsi="Minion Pro"/>
        </w:rPr>
        <w:t xml:space="preserve">non-physical forms of </w:t>
      </w:r>
      <w:r w:rsidRPr="00EF5437">
        <w:rPr>
          <w:rFonts w:ascii="Minion Pro" w:hAnsi="Minion Pro"/>
        </w:rPr>
        <w:t>emotionally abusive, harassing and controlling behaviours in the three months prior to the survey. See note in “Limitations” on the operationalisation of “coercive control” in this study and the need to exercise caution when interpreting results associated with this term.</w:t>
      </w:r>
    </w:p>
    <w:p w14:paraId="7C1E0223" w14:textId="77777777" w:rsidR="00CA6A4F" w:rsidRPr="009D5893" w:rsidRDefault="00CA6A4F" w:rsidP="00CA6A4F">
      <w:pPr>
        <w:rPr>
          <w:rFonts w:ascii="Minion Pro" w:hAnsi="Minion Pro"/>
        </w:rPr>
      </w:pPr>
      <w:r>
        <w:rPr>
          <w:rFonts w:ascii="Minion Pro" w:hAnsi="Minion Pro"/>
          <w:b/>
        </w:rPr>
        <w:t xml:space="preserve">Domestic violence: </w:t>
      </w:r>
      <w:r>
        <w:rPr>
          <w:rFonts w:ascii="Minion Pro" w:hAnsi="Minion Pro"/>
        </w:rPr>
        <w:t>Physical violence, sexual violence or emotionally abusive, harassing and controlling behaviour that occurs between current or former intimate partners.</w:t>
      </w:r>
    </w:p>
    <w:p w14:paraId="264500B6" w14:textId="77777777" w:rsidR="00CA6A4F" w:rsidRPr="009D5893" w:rsidRDefault="00CA6A4F" w:rsidP="00CA6A4F">
      <w:pPr>
        <w:rPr>
          <w:rFonts w:ascii="Minion Pro" w:hAnsi="Minion Pro"/>
        </w:rPr>
      </w:pPr>
      <w:r>
        <w:rPr>
          <w:rFonts w:ascii="Minion Pro" w:hAnsi="Minion Pro"/>
          <w:b/>
        </w:rPr>
        <w:t>Partner:</w:t>
      </w:r>
      <w:r>
        <w:rPr>
          <w:rFonts w:ascii="Minion Pro" w:hAnsi="Minion Pro"/>
        </w:rPr>
        <w:t xml:space="preserve"> A person with whom the respondent lives, or lived with at some point in a married or de facto relationship during the last 12 months. This includes current and former partners, and may also be described as a cohabiting partner. </w:t>
      </w:r>
    </w:p>
    <w:p w14:paraId="403913AB" w14:textId="77777777" w:rsidR="00CA6A4F" w:rsidRDefault="00CA6A4F" w:rsidP="00CA6A4F">
      <w:pPr>
        <w:rPr>
          <w:rFonts w:ascii="Minion Pro" w:hAnsi="Minion Pro"/>
        </w:rPr>
      </w:pPr>
      <w:r w:rsidRPr="00B00136">
        <w:rPr>
          <w:rFonts w:ascii="Minion Pro" w:hAnsi="Minion Pro"/>
          <w:b/>
        </w:rPr>
        <w:t>Partner violence</w:t>
      </w:r>
      <w:r w:rsidRPr="00B00136">
        <w:rPr>
          <w:rFonts w:ascii="Minion Pro" w:hAnsi="Minion Pro"/>
        </w:rPr>
        <w:t xml:space="preserve">: </w:t>
      </w:r>
      <w:r>
        <w:rPr>
          <w:rFonts w:ascii="Minion Pro" w:hAnsi="Minion Pro"/>
        </w:rPr>
        <w:t>Physical or sexual violence and emotionally abusive, harassing or controlling behaviour that occurs within current and former cohabiting relationships.</w:t>
      </w:r>
    </w:p>
    <w:p w14:paraId="68B460E2" w14:textId="77777777" w:rsidR="00CA6A4F" w:rsidRDefault="00CA6A4F" w:rsidP="00CA6A4F">
      <w:pPr>
        <w:rPr>
          <w:rFonts w:ascii="Minion Pro" w:hAnsi="Minion Pro"/>
          <w:b/>
        </w:rPr>
      </w:pPr>
      <w:r w:rsidRPr="00A13EF8">
        <w:rPr>
          <w:rFonts w:ascii="Minion Pro" w:hAnsi="Minion Pro"/>
          <w:b/>
        </w:rPr>
        <w:t>LIMITATIONS</w:t>
      </w:r>
    </w:p>
    <w:p w14:paraId="6AF5AF2B" w14:textId="77777777" w:rsidR="00CA6A4F" w:rsidRPr="00A13EF8" w:rsidRDefault="00CA6A4F" w:rsidP="00CA6A4F">
      <w:pPr>
        <w:rPr>
          <w:rFonts w:ascii="Minion Pro" w:hAnsi="Minion Pro"/>
        </w:rPr>
      </w:pPr>
      <w:r w:rsidRPr="00A13EF8">
        <w:rPr>
          <w:rFonts w:ascii="Minion Pro" w:hAnsi="Minion Pro"/>
        </w:rPr>
        <w:t xml:space="preserve">The AIC report’s authors draw attention to the limitations of the study in a </w:t>
      </w:r>
      <w:hyperlink r:id="rId16" w:history="1">
        <w:r w:rsidRPr="00F27181">
          <w:rPr>
            <w:rStyle w:val="Hyperlink"/>
            <w:rFonts w:ascii="Minion Pro" w:hAnsi="Minion Pro"/>
          </w:rPr>
          <w:t>technical appendix</w:t>
        </w:r>
      </w:hyperlink>
      <w:r w:rsidRPr="00A13EF8">
        <w:rPr>
          <w:rFonts w:ascii="Minion Pro" w:hAnsi="Minion Pro"/>
        </w:rPr>
        <w:t xml:space="preserve">, including, notably, the operationalisation of “coercive control”. As noted in the ANROWS policy brief </w:t>
      </w:r>
      <w:hyperlink r:id="rId17" w:history="1">
        <w:r w:rsidRPr="00F27181">
          <w:rPr>
            <w:rStyle w:val="Hyperlink"/>
            <w:rFonts w:ascii="Minion Pro" w:hAnsi="Minion Pro"/>
            <w:i/>
          </w:rPr>
          <w:t>Defining and responding to coercive control</w:t>
        </w:r>
      </w:hyperlink>
      <w:r w:rsidRPr="00A13EF8">
        <w:rPr>
          <w:rFonts w:ascii="Minion Pro" w:hAnsi="Minion Pro"/>
        </w:rPr>
        <w:t>, coercive control is an attack on autonomy, liberty and equality (Stark, 2007). It is accomplished through a wide range of abusive tactics (which may or may not involve actual physical or sexual abuse) aimed at domination and control</w:t>
      </w:r>
      <w:r>
        <w:rPr>
          <w:rFonts w:ascii="Minion Pro" w:hAnsi="Minion Pro"/>
        </w:rPr>
        <w:t xml:space="preserve"> over the victim’s personhood. </w:t>
      </w:r>
    </w:p>
    <w:p w14:paraId="6E4DE221" w14:textId="77777777" w:rsidR="00CA6A4F" w:rsidRPr="00A13EF8" w:rsidRDefault="00CA6A4F" w:rsidP="00CA6A4F">
      <w:pPr>
        <w:rPr>
          <w:rFonts w:ascii="Minion Pro" w:hAnsi="Minion Pro"/>
        </w:rPr>
      </w:pPr>
      <w:r w:rsidRPr="00A13EF8">
        <w:rPr>
          <w:rFonts w:ascii="Minion Pro" w:hAnsi="Minion Pro"/>
        </w:rPr>
        <w:t>Further limitations of the study follow:</w:t>
      </w:r>
    </w:p>
    <w:p w14:paraId="3CE90034" w14:textId="77777777" w:rsidR="00CA6A4F" w:rsidRDefault="00CA6A4F" w:rsidP="00CA6A4F">
      <w:pPr>
        <w:pStyle w:val="ListParagraph"/>
        <w:numPr>
          <w:ilvl w:val="0"/>
          <w:numId w:val="1"/>
        </w:numPr>
        <w:rPr>
          <w:rFonts w:ascii="Minion Pro" w:hAnsi="Minion Pro"/>
        </w:rPr>
      </w:pPr>
      <w:r>
        <w:rPr>
          <w:rFonts w:ascii="Minion Pro" w:hAnsi="Minion Pro"/>
        </w:rPr>
        <w:t>Because it is a cross-sectional survey, cause–effect relationships cannot be established (only suggested).</w:t>
      </w:r>
    </w:p>
    <w:p w14:paraId="59E6B73D" w14:textId="4F380A01" w:rsidR="00CA6A4F" w:rsidRPr="00CA6A4F" w:rsidRDefault="00CA6A4F" w:rsidP="00CA6A4F">
      <w:pPr>
        <w:pStyle w:val="ListParagraph"/>
        <w:numPr>
          <w:ilvl w:val="0"/>
          <w:numId w:val="1"/>
        </w:numPr>
        <w:rPr>
          <w:rFonts w:ascii="Minion Pro" w:hAnsi="Minion Pro"/>
        </w:rPr>
      </w:pPr>
      <w:r w:rsidRPr="00CA6A4F">
        <w:rPr>
          <w:rFonts w:ascii="Minion Pro" w:hAnsi="Minion Pro"/>
        </w:rPr>
        <w:lastRenderedPageBreak/>
        <w:t>Women who could not safely complete the survey were discouraged from participating (due to safety concerns), and some women who completed the survey may have chosen not to disclose the violence or abuse they had experienced given the sensitive nature of the questions, both of which mean that it is possible that the true level of violence has been under-reported.</w:t>
      </w:r>
    </w:p>
    <w:p w14:paraId="0F2172E1" w14:textId="76A7F96D" w:rsidR="001B6041" w:rsidRPr="00BD0FF8" w:rsidRDefault="001B6041" w:rsidP="001B6041">
      <w:pPr>
        <w:autoSpaceDE w:val="0"/>
        <w:autoSpaceDN w:val="0"/>
        <w:adjustRightInd w:val="0"/>
        <w:spacing w:after="0" w:line="240" w:lineRule="auto"/>
        <w:rPr>
          <w:rFonts w:ascii="Minion Pro" w:hAnsi="Minion Pro" w:cs="Segoe UI"/>
        </w:rPr>
      </w:pPr>
      <w:r w:rsidRPr="00BD0FF8">
        <w:rPr>
          <w:rFonts w:ascii="Minion Pro" w:hAnsi="Minion Pro"/>
        </w:rPr>
        <w:t xml:space="preserve">Source: </w:t>
      </w:r>
      <w:r w:rsidRPr="00BD0FF8">
        <w:rPr>
          <w:rFonts w:ascii="Minion Pro" w:hAnsi="Minion Pro" w:cs="Segoe UI"/>
          <w:color w:val="000000"/>
        </w:rPr>
        <w:t xml:space="preserve">Boxall, H., &amp; Morgan, A. (2021). Who is most at risk of physical and sexual partner violence and coercive control during the COVID-19 pandemic? </w:t>
      </w:r>
      <w:r w:rsidRPr="00BD0FF8">
        <w:rPr>
          <w:rFonts w:ascii="Minion Pro" w:hAnsi="Minion Pro" w:cs="Segoe UI"/>
          <w:i/>
          <w:iCs/>
          <w:color w:val="000000"/>
        </w:rPr>
        <w:t>Trends &amp; Issues in Crime and Criminal Justice</w:t>
      </w:r>
      <w:r w:rsidRPr="00BD0FF8">
        <w:rPr>
          <w:rFonts w:ascii="Minion Pro" w:hAnsi="Minion Pro" w:cs="Segoe UI"/>
          <w:color w:val="000000"/>
        </w:rPr>
        <w:t>, no. 618.  Austr</w:t>
      </w:r>
      <w:r>
        <w:rPr>
          <w:rFonts w:ascii="Minion Pro" w:hAnsi="Minion Pro" w:cs="Segoe UI"/>
          <w:color w:val="000000"/>
        </w:rPr>
        <w:t>alian Institute of Criminology.</w:t>
      </w:r>
      <w:r w:rsidR="00CA6A4F">
        <w:rPr>
          <w:rFonts w:ascii="Minion Pro" w:hAnsi="Minion Pro" w:cs="Segoe UI"/>
          <w:color w:val="000000"/>
        </w:rPr>
        <w:t xml:space="preserve"> </w:t>
      </w:r>
      <w:hyperlink r:id="rId18" w:history="1">
        <w:r w:rsidRPr="00524F0D">
          <w:rPr>
            <w:rStyle w:val="Hyperlink"/>
            <w:rFonts w:ascii="Minion Pro" w:hAnsi="Minion Pro" w:cs="Segoe UI"/>
          </w:rPr>
          <w:t>https://www.aic.gov.au/publications/tandi/tandi618</w:t>
        </w:r>
      </w:hyperlink>
      <w:r>
        <w:rPr>
          <w:rFonts w:ascii="Minion Pro" w:hAnsi="Minion Pro" w:cs="Segoe UI"/>
          <w:color w:val="000000"/>
        </w:rPr>
        <w:t xml:space="preserve"> </w:t>
      </w:r>
    </w:p>
    <w:p w14:paraId="1140E6FA" w14:textId="77777777" w:rsidR="001B6041" w:rsidRDefault="001B6041" w:rsidP="00C3044B">
      <w:pPr>
        <w:rPr>
          <w:rFonts w:ascii="Minion Pro" w:hAnsi="Minion Pro"/>
        </w:rPr>
      </w:pPr>
    </w:p>
    <w:p w14:paraId="01E9B202" w14:textId="77777777" w:rsidR="005668BC" w:rsidRDefault="005D45DF"/>
    <w:sectPr w:rsidR="005668BC">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9114E7" w16cid:durableId="247B350C"/>
  <w16cid:commentId w16cid:paraId="04DB977F" w16cid:durableId="247B350D"/>
  <w16cid:commentId w16cid:paraId="774F91BD" w16cid:durableId="247B350E"/>
  <w16cid:commentId w16cid:paraId="4296FF1D" w16cid:durableId="247B350F"/>
  <w16cid:commentId w16cid:paraId="35C5D453" w16cid:durableId="247B3510"/>
  <w16cid:commentId w16cid:paraId="016F575D" w16cid:durableId="247B3511"/>
  <w16cid:commentId w16cid:paraId="1EE56669" w16cid:durableId="247B3570"/>
  <w16cid:commentId w16cid:paraId="61969256" w16cid:durableId="247B3512"/>
  <w16cid:commentId w16cid:paraId="6F1A612C" w16cid:durableId="247B3B61"/>
  <w16cid:commentId w16cid:paraId="6F1D50CE" w16cid:durableId="247B3674"/>
  <w16cid:commentId w16cid:paraId="412FB716" w16cid:durableId="247B3828"/>
  <w16cid:commentId w16cid:paraId="5E8F9E0F" w16cid:durableId="247B37C1"/>
  <w16cid:commentId w16cid:paraId="46AF81D6" w16cid:durableId="247B39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275D3" w14:textId="77777777" w:rsidR="008D3369" w:rsidRDefault="008D3369" w:rsidP="00C3044B">
      <w:pPr>
        <w:spacing w:after="0" w:line="240" w:lineRule="auto"/>
      </w:pPr>
      <w:r>
        <w:separator/>
      </w:r>
    </w:p>
  </w:endnote>
  <w:endnote w:type="continuationSeparator" w:id="0">
    <w:p w14:paraId="155D10DC" w14:textId="77777777" w:rsidR="008D3369" w:rsidRDefault="008D3369" w:rsidP="00C30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E9ACF" w14:textId="77777777" w:rsidR="008D3369" w:rsidRDefault="008D3369" w:rsidP="00C3044B">
      <w:pPr>
        <w:spacing w:after="0" w:line="240" w:lineRule="auto"/>
      </w:pPr>
      <w:r>
        <w:separator/>
      </w:r>
    </w:p>
  </w:footnote>
  <w:footnote w:type="continuationSeparator" w:id="0">
    <w:p w14:paraId="7922EF80" w14:textId="77777777" w:rsidR="008D3369" w:rsidRDefault="008D3369" w:rsidP="00C3044B">
      <w:pPr>
        <w:spacing w:after="0" w:line="240" w:lineRule="auto"/>
      </w:pPr>
      <w:r>
        <w:continuationSeparator/>
      </w:r>
    </w:p>
  </w:footnote>
  <w:footnote w:id="1">
    <w:p w14:paraId="3412E902" w14:textId="77777777" w:rsidR="00C3044B" w:rsidRDefault="00C3044B" w:rsidP="00C3044B">
      <w:pPr>
        <w:pStyle w:val="FootnoteText"/>
        <w:rPr>
          <w:rFonts w:ascii="Minion Pro" w:hAnsi="Minion Pro"/>
        </w:rPr>
      </w:pPr>
      <w:r>
        <w:rPr>
          <w:rStyle w:val="FootnoteReference"/>
          <w:rFonts w:ascii="Minion Pro" w:hAnsi="Minion Pro"/>
        </w:rPr>
        <w:footnoteRef/>
      </w:r>
      <w:r>
        <w:rPr>
          <w:rFonts w:ascii="Minion Pro" w:hAnsi="Minion Pro"/>
        </w:rPr>
        <w:t xml:space="preserve"> Australian Bureau of Statistics. (2020). </w:t>
      </w:r>
      <w:r>
        <w:rPr>
          <w:rFonts w:ascii="Minion Pro" w:hAnsi="Minion Pro"/>
          <w:i/>
        </w:rPr>
        <w:t>Household impacts of COVID-19 survey, 1–6 Apr</w:t>
      </w:r>
      <w:r>
        <w:rPr>
          <w:rFonts w:ascii="Minion Pro" w:hAnsi="Minion Pro"/>
        </w:rPr>
        <w:t xml:space="preserve"> </w:t>
      </w:r>
      <w:r>
        <w:rPr>
          <w:rFonts w:ascii="Minion Pro" w:hAnsi="Minion Pro"/>
          <w:i/>
        </w:rPr>
        <w:t>2020</w:t>
      </w:r>
      <w:r>
        <w:rPr>
          <w:rFonts w:ascii="Minion Pro" w:hAnsi="Minion Pro"/>
        </w:rPr>
        <w:t xml:space="preserve"> (ABS cat. no. 4940.0). </w:t>
      </w:r>
      <w:hyperlink r:id="rId1" w:history="1">
        <w:r>
          <w:rPr>
            <w:rStyle w:val="Hyperlink"/>
            <w:rFonts w:ascii="Minion Pro" w:hAnsi="Minion Pro"/>
          </w:rPr>
          <w:t>https://www.abs.gov.au/ausstats/abs@.nsf/mf/4940.0</w:t>
        </w:r>
      </w:hyperlink>
      <w:r>
        <w:rPr>
          <w:rFonts w:ascii="Minion Pro" w:hAnsi="Minion Pro"/>
        </w:rPr>
        <w:t xml:space="preserve"> </w:t>
      </w:r>
    </w:p>
  </w:footnote>
  <w:footnote w:id="2">
    <w:p w14:paraId="5481CA11" w14:textId="77777777" w:rsidR="00C3044B" w:rsidRDefault="00C3044B" w:rsidP="00C3044B">
      <w:pPr>
        <w:pStyle w:val="FootnoteText"/>
        <w:rPr>
          <w:rFonts w:ascii="Minion Pro" w:hAnsi="Minion Pro"/>
        </w:rPr>
      </w:pPr>
      <w:r>
        <w:rPr>
          <w:rStyle w:val="FootnoteReference"/>
          <w:rFonts w:ascii="Minion Pro" w:hAnsi="Minion Pro"/>
        </w:rPr>
        <w:footnoteRef/>
      </w:r>
      <w:r>
        <w:rPr>
          <w:rFonts w:ascii="Minion Pro" w:hAnsi="Minion Pro"/>
        </w:rPr>
        <w:t xml:space="preserve"> Australian Bureau of Statistics. (2020). </w:t>
      </w:r>
      <w:r>
        <w:rPr>
          <w:rFonts w:ascii="Minion Pro" w:hAnsi="Minion Pro"/>
          <w:i/>
        </w:rPr>
        <w:t>Household impacts of COVID-19 survey, 29 Apr–4 May 2020</w:t>
      </w:r>
      <w:r>
        <w:rPr>
          <w:rFonts w:ascii="Minion Pro" w:hAnsi="Minion Pro"/>
        </w:rPr>
        <w:t xml:space="preserve"> (ABS cat. no. 4940.0). </w:t>
      </w:r>
      <w:hyperlink r:id="rId2" w:history="1">
        <w:r>
          <w:rPr>
            <w:rStyle w:val="Hyperlink"/>
            <w:rFonts w:ascii="Minion Pro" w:hAnsi="Minion Pro"/>
          </w:rPr>
          <w:t>https://www.abs.gov.au/ausstats/abs@.nsf/mf/4940.0</w:t>
        </w:r>
      </w:hyperlink>
      <w:r>
        <w:rPr>
          <w:rFonts w:ascii="Minion Pro" w:hAnsi="Minion Pr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25B86"/>
    <w:multiLevelType w:val="hybridMultilevel"/>
    <w:tmpl w:val="8D10337E"/>
    <w:lvl w:ilvl="0" w:tplc="AA90C58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F12F1A"/>
    <w:multiLevelType w:val="hybridMultilevel"/>
    <w:tmpl w:val="933E33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B00A76"/>
    <w:multiLevelType w:val="hybridMultilevel"/>
    <w:tmpl w:val="E8C44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BF7B27"/>
    <w:multiLevelType w:val="hybridMultilevel"/>
    <w:tmpl w:val="A694F894"/>
    <w:lvl w:ilvl="0" w:tplc="0464C3D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1D0DC7"/>
    <w:multiLevelType w:val="hybridMultilevel"/>
    <w:tmpl w:val="3A842BF0"/>
    <w:lvl w:ilvl="0" w:tplc="D86C6078">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6BE"/>
    <w:rsid w:val="00041B9C"/>
    <w:rsid w:val="000606ED"/>
    <w:rsid w:val="00065A61"/>
    <w:rsid w:val="0008668A"/>
    <w:rsid w:val="000E1B03"/>
    <w:rsid w:val="001A5306"/>
    <w:rsid w:val="001B6041"/>
    <w:rsid w:val="00247B74"/>
    <w:rsid w:val="002E3F79"/>
    <w:rsid w:val="002F1247"/>
    <w:rsid w:val="00312A06"/>
    <w:rsid w:val="00331ADF"/>
    <w:rsid w:val="003541F0"/>
    <w:rsid w:val="0037020D"/>
    <w:rsid w:val="00374AFF"/>
    <w:rsid w:val="003C2BD8"/>
    <w:rsid w:val="003E36D3"/>
    <w:rsid w:val="004423B7"/>
    <w:rsid w:val="00473E88"/>
    <w:rsid w:val="00476D35"/>
    <w:rsid w:val="005736BE"/>
    <w:rsid w:val="0059255C"/>
    <w:rsid w:val="005D45DF"/>
    <w:rsid w:val="00631D63"/>
    <w:rsid w:val="00644A72"/>
    <w:rsid w:val="0068771C"/>
    <w:rsid w:val="006F5651"/>
    <w:rsid w:val="0071661D"/>
    <w:rsid w:val="00751CDF"/>
    <w:rsid w:val="007D7D15"/>
    <w:rsid w:val="00871533"/>
    <w:rsid w:val="008727B5"/>
    <w:rsid w:val="008A4C3D"/>
    <w:rsid w:val="008B746A"/>
    <w:rsid w:val="008D3369"/>
    <w:rsid w:val="00913028"/>
    <w:rsid w:val="00985871"/>
    <w:rsid w:val="00A30778"/>
    <w:rsid w:val="00A67052"/>
    <w:rsid w:val="00A76C24"/>
    <w:rsid w:val="00A9380A"/>
    <w:rsid w:val="00B5476C"/>
    <w:rsid w:val="00C3044B"/>
    <w:rsid w:val="00CA6A4F"/>
    <w:rsid w:val="00CC72CE"/>
    <w:rsid w:val="00CE0CC5"/>
    <w:rsid w:val="00D8020A"/>
    <w:rsid w:val="00DA0906"/>
    <w:rsid w:val="00E1057B"/>
    <w:rsid w:val="00E449FD"/>
    <w:rsid w:val="00EA344A"/>
    <w:rsid w:val="00F20E36"/>
    <w:rsid w:val="00F53DE2"/>
    <w:rsid w:val="00F563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094AC1D"/>
  <w15:chartTrackingRefBased/>
  <w15:docId w15:val="{8C978B50-16E5-448E-8D28-F6423618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6BE"/>
    <w:pPr>
      <w:ind w:left="720"/>
      <w:contextualSpacing/>
    </w:pPr>
  </w:style>
  <w:style w:type="character" w:styleId="Hyperlink">
    <w:name w:val="Hyperlink"/>
    <w:basedOn w:val="DefaultParagraphFont"/>
    <w:uiPriority w:val="99"/>
    <w:unhideWhenUsed/>
    <w:rsid w:val="005736BE"/>
    <w:rPr>
      <w:color w:val="0000FF"/>
      <w:u w:val="single"/>
    </w:rPr>
  </w:style>
  <w:style w:type="character" w:styleId="CommentReference">
    <w:name w:val="annotation reference"/>
    <w:basedOn w:val="DefaultParagraphFont"/>
    <w:uiPriority w:val="99"/>
    <w:semiHidden/>
    <w:unhideWhenUsed/>
    <w:rsid w:val="00C3044B"/>
    <w:rPr>
      <w:sz w:val="16"/>
      <w:szCs w:val="16"/>
    </w:rPr>
  </w:style>
  <w:style w:type="paragraph" w:styleId="CommentText">
    <w:name w:val="annotation text"/>
    <w:basedOn w:val="Normal"/>
    <w:link w:val="CommentTextChar"/>
    <w:uiPriority w:val="99"/>
    <w:unhideWhenUsed/>
    <w:rsid w:val="00C3044B"/>
    <w:pPr>
      <w:spacing w:line="240" w:lineRule="auto"/>
    </w:pPr>
    <w:rPr>
      <w:sz w:val="20"/>
      <w:szCs w:val="20"/>
    </w:rPr>
  </w:style>
  <w:style w:type="character" w:customStyle="1" w:styleId="CommentTextChar">
    <w:name w:val="Comment Text Char"/>
    <w:basedOn w:val="DefaultParagraphFont"/>
    <w:link w:val="CommentText"/>
    <w:uiPriority w:val="99"/>
    <w:rsid w:val="00C3044B"/>
    <w:rPr>
      <w:sz w:val="20"/>
      <w:szCs w:val="20"/>
    </w:rPr>
  </w:style>
  <w:style w:type="paragraph" w:styleId="CommentSubject">
    <w:name w:val="annotation subject"/>
    <w:basedOn w:val="CommentText"/>
    <w:next w:val="CommentText"/>
    <w:link w:val="CommentSubjectChar"/>
    <w:uiPriority w:val="99"/>
    <w:semiHidden/>
    <w:unhideWhenUsed/>
    <w:rsid w:val="00C3044B"/>
    <w:rPr>
      <w:b/>
      <w:bCs/>
    </w:rPr>
  </w:style>
  <w:style w:type="character" w:customStyle="1" w:styleId="CommentSubjectChar">
    <w:name w:val="Comment Subject Char"/>
    <w:basedOn w:val="CommentTextChar"/>
    <w:link w:val="CommentSubject"/>
    <w:uiPriority w:val="99"/>
    <w:semiHidden/>
    <w:rsid w:val="00C3044B"/>
    <w:rPr>
      <w:b/>
      <w:bCs/>
      <w:sz w:val="20"/>
      <w:szCs w:val="20"/>
    </w:rPr>
  </w:style>
  <w:style w:type="paragraph" w:styleId="BalloonText">
    <w:name w:val="Balloon Text"/>
    <w:basedOn w:val="Normal"/>
    <w:link w:val="BalloonTextChar"/>
    <w:uiPriority w:val="99"/>
    <w:semiHidden/>
    <w:unhideWhenUsed/>
    <w:rsid w:val="00C304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44B"/>
    <w:rPr>
      <w:rFonts w:ascii="Segoe UI" w:hAnsi="Segoe UI" w:cs="Segoe UI"/>
      <w:sz w:val="18"/>
      <w:szCs w:val="18"/>
    </w:rPr>
  </w:style>
  <w:style w:type="paragraph" w:styleId="FootnoteText">
    <w:name w:val="footnote text"/>
    <w:basedOn w:val="Normal"/>
    <w:link w:val="FootnoteTextChar"/>
    <w:uiPriority w:val="99"/>
    <w:semiHidden/>
    <w:unhideWhenUsed/>
    <w:rsid w:val="00C304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044B"/>
    <w:rPr>
      <w:sz w:val="20"/>
      <w:szCs w:val="20"/>
    </w:rPr>
  </w:style>
  <w:style w:type="character" w:styleId="FootnoteReference">
    <w:name w:val="footnote reference"/>
    <w:basedOn w:val="DefaultParagraphFont"/>
    <w:uiPriority w:val="99"/>
    <w:semiHidden/>
    <w:unhideWhenUsed/>
    <w:rsid w:val="00C3044B"/>
    <w:rPr>
      <w:vertAlign w:val="superscript"/>
    </w:rPr>
  </w:style>
  <w:style w:type="table" w:styleId="TableGrid">
    <w:name w:val="Table Grid"/>
    <w:basedOn w:val="TableNormal"/>
    <w:uiPriority w:val="39"/>
    <w:rsid w:val="001B6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6352">
      <w:bodyDiv w:val="1"/>
      <w:marLeft w:val="0"/>
      <w:marRight w:val="0"/>
      <w:marTop w:val="0"/>
      <w:marBottom w:val="0"/>
      <w:divBdr>
        <w:top w:val="none" w:sz="0" w:space="0" w:color="auto"/>
        <w:left w:val="none" w:sz="0" w:space="0" w:color="auto"/>
        <w:bottom w:val="none" w:sz="0" w:space="0" w:color="auto"/>
        <w:right w:val="none" w:sz="0" w:space="0" w:color="auto"/>
      </w:divBdr>
    </w:div>
    <w:div w:id="1591232075">
      <w:bodyDiv w:val="1"/>
      <w:marLeft w:val="0"/>
      <w:marRight w:val="0"/>
      <w:marTop w:val="0"/>
      <w:marBottom w:val="0"/>
      <w:divBdr>
        <w:top w:val="none" w:sz="0" w:space="0" w:color="auto"/>
        <w:left w:val="none" w:sz="0" w:space="0" w:color="auto"/>
        <w:bottom w:val="none" w:sz="0" w:space="0" w:color="auto"/>
        <w:right w:val="none" w:sz="0" w:space="0" w:color="auto"/>
      </w:divBdr>
    </w:div>
    <w:div w:id="177435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gov.au/sites/default/files/2020-08/sb28_technical_appendix-revised-prevalence_of_domestic_violence_among_women_during_covid-19_pandemic.pdf" TargetMode="External"/><Relationship Id="rId13" Type="http://schemas.openxmlformats.org/officeDocument/2006/relationships/hyperlink" Target="https://www.aic.gov.au/sites/default/files/2020-10/ti609_social_isolation_DV_during_covid-19_pandemic.pdf" TargetMode="External"/><Relationship Id="rId18" Type="http://schemas.openxmlformats.org/officeDocument/2006/relationships/hyperlink" Target="https://www.aic.gov.au/publications/tandi/tandi618"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anrows.org.au/publication/defining-and-responding-to-coercive-control/" TargetMode="External"/><Relationship Id="rId17" Type="http://schemas.openxmlformats.org/officeDocument/2006/relationships/hyperlink" Target="https://www.anrows.org.au/publication/defining-and-responding-to-coercive-control/" TargetMode="External"/><Relationship Id="rId2" Type="http://schemas.openxmlformats.org/officeDocument/2006/relationships/numbering" Target="numbering.xml"/><Relationship Id="rId16" Type="http://schemas.openxmlformats.org/officeDocument/2006/relationships/hyperlink" Target="https://www.aic.gov.au/sites/default/files/2020-08/sb28_technical_appendix-revised-prevalence_of_domestic_violence_among_women_during_covid-19_pandemic.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ic.gov.au/sites/default/files/2020-08/sb28_technical_appendix-revised-prevalence_of_domestic_violence_among_women_during_covid-19_pandemic.pdf" TargetMode="External"/><Relationship Id="rId5" Type="http://schemas.openxmlformats.org/officeDocument/2006/relationships/webSettings" Target="webSettings.xml"/><Relationship Id="rId15" Type="http://schemas.openxmlformats.org/officeDocument/2006/relationships/hyperlink" Target="https://www.aic.gov.au/sites/default/files/2020-08/sb28_technical_appendix-revised-prevalence_of_domestic_violence_among_women_during_covid-19_pandemic.pdf" TargetMode="External"/><Relationship Id="rId10" Type="http://schemas.openxmlformats.org/officeDocument/2006/relationships/hyperlink" Target="https://www.aic.gov.au/publications/sb/sb2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nrows.org.au/publication/defining-and-responding-to-coercive-control/" TargetMode="External"/><Relationship Id="rId14" Type="http://schemas.openxmlformats.org/officeDocument/2006/relationships/hyperlink" Target="https://www.anrows.org.au/news/warawarni-gu-guma-statem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bs.gov.au/ausstats/abs@.nsf/mf/4940.0" TargetMode="External"/><Relationship Id="rId1" Type="http://schemas.openxmlformats.org/officeDocument/2006/relationships/hyperlink" Target="https://www.abs.gov.au/ausstats/abs@.nsf/mf/49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1026-C18C-436A-9B74-6065B8FF3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2620</Words>
  <Characters>14935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Goodbourn</dc:creator>
  <cp:keywords>[SEC=UNOFFICIAL]</cp:keywords>
  <dc:description/>
  <cp:lastModifiedBy>Eleanor Shepherd</cp:lastModifiedBy>
  <cp:revision>2</cp:revision>
  <dcterms:created xsi:type="dcterms:W3CDTF">2021-09-20T23:28:00Z</dcterms:created>
  <dcterms:modified xsi:type="dcterms:W3CDTF">2021-09-20T23:28:00Z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UNOFFICIAL</vt:lpwstr>
  </property>
  <property fmtid="{D5CDD505-2E9C-101B-9397-08002B2CF9AE}" pid="3" name="PM_Caveats_Count">
    <vt:lpwstr>0</vt:lpwstr>
  </property>
  <property fmtid="{D5CDD505-2E9C-101B-9397-08002B2CF9AE}" pid="4" name="PM_Originator_Hash_SHA1">
    <vt:lpwstr>BE983C03F91FDB21757FDDF87ECD23FA11F8EA15</vt:lpwstr>
  </property>
  <property fmtid="{D5CDD505-2E9C-101B-9397-08002B2CF9AE}" pid="5" name="PM_SecurityClassification">
    <vt:lpwstr>UNOFFICIAL</vt:lpwstr>
  </property>
  <property fmtid="{D5CDD505-2E9C-101B-9397-08002B2CF9AE}" pid="6" name="PM_DisplayValueSecClassificationWithQualifier">
    <vt:lpwstr>UNOFFICIAL</vt:lpwstr>
  </property>
  <property fmtid="{D5CDD505-2E9C-101B-9397-08002B2CF9AE}" pid="7" name="PM_Qualifier">
    <vt:lpwstr/>
  </property>
  <property fmtid="{D5CDD505-2E9C-101B-9397-08002B2CF9AE}" pid="8" name="PM_Hash_SHA1">
    <vt:lpwstr>56B09B2D6D0B9CB381B2CA9B2A998B7E3A36F49E</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UNOFFICIAL</vt:lpwstr>
  </property>
  <property fmtid="{D5CDD505-2E9C-101B-9397-08002B2CF9AE}" pid="11" name="PM_ProtectiveMarkingValue_Header">
    <vt:lpwstr>UNOFFICIAL</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2018.1</vt:lpwstr>
  </property>
  <property fmtid="{D5CDD505-2E9C-101B-9397-08002B2CF9AE}" pid="15" name="PM_Originating_FileId">
    <vt:lpwstr>E9E13F2E72DE453D8FEA67BDFD5E70EC</vt:lpwstr>
  </property>
  <property fmtid="{D5CDD505-2E9C-101B-9397-08002B2CF9AE}" pid="16" name="PM_Note">
    <vt:lpwstr/>
  </property>
  <property fmtid="{D5CDD505-2E9C-101B-9397-08002B2CF9AE}" pid="17" name="PM_Markers">
    <vt:lpwstr/>
  </property>
  <property fmtid="{D5CDD505-2E9C-101B-9397-08002B2CF9AE}" pid="18" name="PM_OriginationTimeStamp">
    <vt:lpwstr>2021-06-21T20:46:57Z</vt:lpwstr>
  </property>
  <property fmtid="{D5CDD505-2E9C-101B-9397-08002B2CF9AE}" pid="19" name="PM_Hash_Version">
    <vt:lpwstr>2018.0</vt:lpwstr>
  </property>
  <property fmtid="{D5CDD505-2E9C-101B-9397-08002B2CF9AE}" pid="20" name="PM_Hash_Salt_Prev">
    <vt:lpwstr>48AECED9ED34A2CB9D62C15C3C46ECCE</vt:lpwstr>
  </property>
  <property fmtid="{D5CDD505-2E9C-101B-9397-08002B2CF9AE}" pid="21" name="PM_Hash_Salt">
    <vt:lpwstr>3DA06995D0CF94BE0615086059EB0FEA</vt:lpwstr>
  </property>
  <property fmtid="{D5CDD505-2E9C-101B-9397-08002B2CF9AE}" pid="22" name="PM_SecurityClassification_Prev">
    <vt:lpwstr>UNOFFICIAL</vt:lpwstr>
  </property>
  <property fmtid="{D5CDD505-2E9C-101B-9397-08002B2CF9AE}" pid="23" name="PM_Qualifier_Prev">
    <vt:lpwstr/>
  </property>
</Properties>
</file>