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006C" w14:textId="77777777" w:rsidR="00F40481" w:rsidRPr="00083C9D" w:rsidRDefault="00F40481" w:rsidP="00083C9D">
      <w:pPr>
        <w:pStyle w:val="DocumentAuthors"/>
        <w:spacing w:before="120" w:after="120"/>
        <w:outlineLvl w:val="9"/>
        <w:rPr>
          <w:b/>
          <w:bCs/>
          <w:noProof/>
          <w:sz w:val="28"/>
          <w:szCs w:val="28"/>
          <w:lang w:val="en-AU"/>
        </w:rPr>
      </w:pPr>
      <w:bookmarkStart w:id="0" w:name="_Toc72147807"/>
      <w:r w:rsidRPr="00083C9D">
        <w:rPr>
          <w:b/>
          <w:bCs/>
          <w:noProof/>
          <w:sz w:val="28"/>
          <w:szCs w:val="28"/>
          <w:lang w:val="en-AU"/>
        </w:rPr>
        <w:drawing>
          <wp:anchor distT="0" distB="0" distL="114300" distR="114300" simplePos="0" relativeHeight="251659264" behindDoc="1" locked="0" layoutInCell="1" allowOverlap="1" wp14:anchorId="0170D213" wp14:editId="50E324A1">
            <wp:simplePos x="0" y="0"/>
            <wp:positionH relativeFrom="page">
              <wp:posOffset>-260985</wp:posOffset>
            </wp:positionH>
            <wp:positionV relativeFrom="paragraph">
              <wp:posOffset>-893445</wp:posOffset>
            </wp:positionV>
            <wp:extent cx="8063280" cy="2354040"/>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3280" cy="235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C9D">
        <w:rPr>
          <w:b/>
          <w:bCs/>
          <w:noProof/>
          <w:sz w:val="28"/>
          <w:szCs w:val="28"/>
          <w:lang w:val="en-AU"/>
        </w:rPr>
        <w:t>Violence Against Women</w:t>
      </w:r>
    </w:p>
    <w:p w14:paraId="12100209" w14:textId="77777777" w:rsidR="00F40481" w:rsidRPr="00083C9D" w:rsidRDefault="00F40481" w:rsidP="00083C9D">
      <w:pPr>
        <w:pStyle w:val="Header"/>
        <w:tabs>
          <w:tab w:val="clear" w:pos="4680"/>
          <w:tab w:val="clear" w:pos="9360"/>
          <w:tab w:val="left" w:pos="7245"/>
        </w:tabs>
        <w:spacing w:before="0"/>
        <w:jc w:val="right"/>
        <w:outlineLvl w:val="0"/>
        <w:rPr>
          <w:b/>
          <w:bCs/>
          <w:sz w:val="76"/>
          <w:szCs w:val="76"/>
          <w:lang w:val="en-AU"/>
        </w:rPr>
      </w:pPr>
      <w:r w:rsidRPr="00083C9D">
        <w:rPr>
          <w:b/>
          <w:bCs/>
          <w:noProof/>
          <w:sz w:val="76"/>
          <w:szCs w:val="76"/>
          <w:lang w:val="en-AU"/>
        </w:rPr>
        <w:t>Accurate use</w:t>
      </w:r>
      <w:r w:rsidRPr="00083C9D">
        <w:rPr>
          <w:b/>
          <w:bCs/>
          <w:noProof/>
          <w:sz w:val="76"/>
          <w:szCs w:val="76"/>
          <w:lang w:val="en-AU"/>
        </w:rPr>
        <w:br/>
        <w:t>of key statistics</w:t>
      </w:r>
    </w:p>
    <w:p w14:paraId="0B2ABBBC" w14:textId="77777777" w:rsidR="00F40481" w:rsidRPr="00083C9D" w:rsidRDefault="00F40481" w:rsidP="00F40481">
      <w:pPr>
        <w:pStyle w:val="Header"/>
        <w:rPr>
          <w:lang w:val="en-AU"/>
        </w:rPr>
      </w:pPr>
    </w:p>
    <w:p w14:paraId="3AF70697" w14:textId="77777777" w:rsidR="00334E4E" w:rsidRPr="00083C9D" w:rsidRDefault="00334E4E" w:rsidP="00334E4E">
      <w:pPr>
        <w:pStyle w:val="Heading2"/>
        <w:rPr>
          <w:lang w:val="en-AU"/>
        </w:rPr>
      </w:pPr>
      <w:r w:rsidRPr="00083C9D">
        <w:rPr>
          <w:lang w:val="en-AU"/>
        </w:rPr>
        <w:t>Introduction</w:t>
      </w:r>
    </w:p>
    <w:p w14:paraId="31C49F54" w14:textId="77777777" w:rsidR="00334E4E" w:rsidRPr="00083C9D" w:rsidRDefault="00334E4E" w:rsidP="00334E4E">
      <w:pPr>
        <w:pStyle w:val="NormalWeb"/>
      </w:pPr>
      <w:r w:rsidRPr="00083C9D">
        <w:t xml:space="preserve">This is a quick reference guide to key statistics on violence against women in Australia for use by the media and other commentators including government officials, academics, sector leaders and community advocates. These stakeholders play a significant role in helping to shift the attitudes, norms and behaviours that enable, </w:t>
      </w:r>
      <w:proofErr w:type="gramStart"/>
      <w:r w:rsidRPr="00083C9D">
        <w:t>excuse</w:t>
      </w:r>
      <w:proofErr w:type="gramEnd"/>
      <w:r w:rsidRPr="00083C9D">
        <w:t xml:space="preserve"> or minimise the extent and impact of violence against women and children. </w:t>
      </w:r>
    </w:p>
    <w:p w14:paraId="5F213680" w14:textId="77777777" w:rsidR="00334E4E" w:rsidRPr="00083C9D" w:rsidRDefault="00334E4E" w:rsidP="00334E4E">
      <w:pPr>
        <w:pStyle w:val="NormalWeb"/>
      </w:pPr>
      <w:r w:rsidRPr="00083C9D">
        <w:t>Statistics are often at the centre of discussions of violence against women. However, the data reflecting the reality of women’s experiences of violence are complex and can easily be reported inaccurately due to time and other pressures.</w:t>
      </w:r>
    </w:p>
    <w:p w14:paraId="1834B64D" w14:textId="70C9088E" w:rsidR="00334E4E" w:rsidRPr="00083C9D" w:rsidRDefault="00334E4E" w:rsidP="00334E4E">
      <w:pPr>
        <w:pStyle w:val="NormalWeb"/>
      </w:pPr>
      <w:r w:rsidRPr="00083C9D">
        <w:t>This resource is aimed at ensuring that relevant statistics are interpreted with care and is based on the most reliable data available in the field</w:t>
      </w:r>
      <w:r w:rsidR="00836FE7" w:rsidRPr="00083C9D">
        <w:t>.</w:t>
      </w:r>
      <w:r w:rsidR="00836FE7" w:rsidRPr="00083C9D">
        <w:rPr>
          <w:rStyle w:val="FootnoteReference"/>
        </w:rPr>
        <w:footnoteReference w:id="1"/>
      </w:r>
      <w:r w:rsidRPr="00083C9D">
        <w:t xml:space="preserve"> </w:t>
      </w:r>
    </w:p>
    <w:p w14:paraId="39426DBB" w14:textId="77777777" w:rsidR="00334E4E" w:rsidRPr="00083C9D" w:rsidRDefault="00334E4E" w:rsidP="00334E4E">
      <w:pPr>
        <w:pStyle w:val="NormalWeb"/>
      </w:pPr>
      <w:r w:rsidRPr="00083C9D">
        <w:t>It is also important to acknowledge the lives and experiences of the women and children affected by domestic violence and sexual assault, who are represented in this resource. Data tells a particular type of story: one that may seem depersonalised at times. While this resource highlights Australia’s data on violence against women, it is important to recognise the individual stories of courage, hope and resilience that form the backdrop of these statistics.</w:t>
      </w:r>
    </w:p>
    <w:p w14:paraId="44787CE5" w14:textId="52F3D036" w:rsidR="00334E4E" w:rsidRPr="00083C9D" w:rsidRDefault="00334E4E" w:rsidP="00334E4E">
      <w:pPr>
        <w:pStyle w:val="NormalWeb"/>
      </w:pPr>
      <w:r w:rsidRPr="00083C9D">
        <w:rPr>
          <w:rStyle w:val="Emphasis"/>
          <w:rFonts w:eastAsiaTheme="majorEastAsia"/>
        </w:rPr>
        <w:t xml:space="preserve">Caution: Some people may find parts of this content confronting or distressing. </w:t>
      </w:r>
      <w:r w:rsidRPr="00083C9D">
        <w:rPr>
          <w:i/>
          <w:iCs/>
        </w:rPr>
        <w:br/>
      </w:r>
      <w:r w:rsidRPr="00083C9D">
        <w:rPr>
          <w:rStyle w:val="Emphasis"/>
          <w:rFonts w:eastAsiaTheme="majorEastAsia"/>
        </w:rPr>
        <w:t xml:space="preserve">Recommended support services include: 1800 RESPECT – 1800 737 732, </w:t>
      </w:r>
      <w:r w:rsidR="00ED3A20" w:rsidRPr="00083C9D">
        <w:rPr>
          <w:rStyle w:val="Emphasis"/>
          <w:rFonts w:eastAsiaTheme="majorEastAsia"/>
        </w:rPr>
        <w:br/>
      </w:r>
      <w:r w:rsidRPr="00083C9D">
        <w:rPr>
          <w:rStyle w:val="Emphasis"/>
          <w:rFonts w:eastAsiaTheme="majorEastAsia"/>
        </w:rPr>
        <w:t>Lifeline – 13 11 14</w:t>
      </w:r>
    </w:p>
    <w:p w14:paraId="5D5C2E7D" w14:textId="77777777" w:rsidR="00334E4E" w:rsidRPr="00083C9D" w:rsidRDefault="00334E4E" w:rsidP="00334E4E">
      <w:pPr>
        <w:pStyle w:val="Heading2"/>
        <w:rPr>
          <w:lang w:val="en-AU"/>
        </w:rPr>
      </w:pPr>
      <w:r w:rsidRPr="00083C9D">
        <w:rPr>
          <w:lang w:val="en-AU"/>
        </w:rPr>
        <w:t>Definitions</w:t>
      </w:r>
    </w:p>
    <w:p w14:paraId="34704E53" w14:textId="77777777" w:rsidR="00334E4E" w:rsidRPr="00083C9D" w:rsidRDefault="00334E4E" w:rsidP="00334E4E">
      <w:pPr>
        <w:pStyle w:val="NormalWeb"/>
      </w:pPr>
      <w:r w:rsidRPr="00083C9D">
        <w:t xml:space="preserve">The following definitions are those used by the Australian Bureau of Statistics (ABS, 2017): </w:t>
      </w:r>
    </w:p>
    <w:p w14:paraId="5379829E" w14:textId="77777777" w:rsidR="00334E4E" w:rsidRPr="00083C9D" w:rsidRDefault="00334E4E" w:rsidP="00334E4E">
      <w:pPr>
        <w:pStyle w:val="NormalWeb"/>
      </w:pPr>
      <w:r w:rsidRPr="00083C9D">
        <w:rPr>
          <w:rStyle w:val="Strong"/>
          <w:rFonts w:eastAsiaTheme="majorEastAsia"/>
        </w:rPr>
        <w:t>Violence</w:t>
      </w:r>
      <w:r w:rsidRPr="00083C9D">
        <w:t>: “any incident involving the occurrence, attempt or threat of either physical or sexual assault experienced by a person since the age of 15.”</w:t>
      </w:r>
    </w:p>
    <w:p w14:paraId="7794D7A3" w14:textId="77777777" w:rsidR="00334E4E" w:rsidRPr="00083C9D" w:rsidRDefault="00334E4E" w:rsidP="00334E4E">
      <w:pPr>
        <w:pStyle w:val="NormalWeb"/>
      </w:pPr>
      <w:r w:rsidRPr="00083C9D">
        <w:rPr>
          <w:rStyle w:val="Strong"/>
          <w:rFonts w:eastAsiaTheme="majorEastAsia"/>
        </w:rPr>
        <w:t>Sexual violence</w:t>
      </w:r>
      <w:r w:rsidRPr="00083C9D">
        <w:t xml:space="preserve">: includes two key components: </w:t>
      </w:r>
      <w:r w:rsidRPr="00083C9D">
        <w:rPr>
          <w:rStyle w:val="Emphasis"/>
          <w:rFonts w:eastAsiaTheme="majorEastAsia"/>
        </w:rPr>
        <w:t>sexual assault</w:t>
      </w:r>
      <w:r w:rsidRPr="00083C9D">
        <w:t xml:space="preserve"> (acts of a sexual nature carried out against a person’s will, and which would be considered an offence under state </w:t>
      </w:r>
      <w:r w:rsidRPr="00083C9D">
        <w:lastRenderedPageBreak/>
        <w:t xml:space="preserve">and territory criminal law), and sexual </w:t>
      </w:r>
      <w:r w:rsidRPr="00083C9D">
        <w:rPr>
          <w:rStyle w:val="Emphasis"/>
          <w:rFonts w:eastAsiaTheme="majorEastAsia"/>
        </w:rPr>
        <w:t>threat</w:t>
      </w:r>
      <w:r w:rsidRPr="00083C9D">
        <w:t xml:space="preserve"> (the threat of acts of a sexual nature that are made face-to-face where the person believes it was able to and likely to be carried out).</w:t>
      </w:r>
    </w:p>
    <w:p w14:paraId="24218C2A" w14:textId="77777777" w:rsidR="00334E4E" w:rsidRPr="00083C9D" w:rsidRDefault="00334E4E" w:rsidP="00334E4E">
      <w:pPr>
        <w:pStyle w:val="NormalWeb"/>
      </w:pPr>
      <w:r w:rsidRPr="00083C9D">
        <w:rPr>
          <w:rStyle w:val="Strong"/>
          <w:rFonts w:eastAsiaTheme="majorEastAsia"/>
        </w:rPr>
        <w:t>Intimate partner</w:t>
      </w:r>
      <w:r w:rsidRPr="00083C9D">
        <w:t xml:space="preserve">: “a current partner (living with), previous partner (has lived with), boyfriend/girlfriend/date and ex-boyfriend/ex-girlfriend (never lived with).” </w:t>
      </w:r>
    </w:p>
    <w:p w14:paraId="360AFC27" w14:textId="77777777" w:rsidR="00334E4E" w:rsidRPr="00083C9D" w:rsidRDefault="00334E4E" w:rsidP="00334E4E">
      <w:pPr>
        <w:pStyle w:val="NormalWeb"/>
      </w:pPr>
      <w:r w:rsidRPr="00083C9D">
        <w:rPr>
          <w:rStyle w:val="Strong"/>
          <w:rFonts w:eastAsiaTheme="majorEastAsia"/>
        </w:rPr>
        <w:t>Partner</w:t>
      </w:r>
      <w:r w:rsidRPr="00083C9D">
        <w:t xml:space="preserve">: a subset of ‘intimate partner’ that refers to “a person the respondent lives with, or lived with at some point, in a married or de facto relationship”. In this context, the term ‘partner’ may also be described as a ‘co-habiting partner’. </w:t>
      </w:r>
    </w:p>
    <w:p w14:paraId="44C791B8" w14:textId="0E6FBC6C" w:rsidR="00334E4E" w:rsidRPr="00083C9D" w:rsidRDefault="00334E4E" w:rsidP="00334E4E">
      <w:pPr>
        <w:pStyle w:val="NormalWeb"/>
      </w:pPr>
      <w:r w:rsidRPr="00083C9D">
        <w:t xml:space="preserve">The key distinction is that the term ‘intimate partner’ includes dates and current and ex-boyfriends and girlfriends with whom the respondent has not lived. </w:t>
      </w:r>
    </w:p>
    <w:p w14:paraId="372E1BB5" w14:textId="5F3B5513" w:rsidR="00334E4E" w:rsidRPr="00083C9D" w:rsidRDefault="00334E4E" w:rsidP="00334E4E">
      <w:pPr>
        <w:pStyle w:val="Heading1"/>
        <w:rPr>
          <w:lang w:val="en-AU"/>
        </w:rPr>
      </w:pPr>
      <w:r w:rsidRPr="00083C9D">
        <w:rPr>
          <w:lang w:val="en-AU"/>
        </w:rPr>
        <w:lastRenderedPageBreak/>
        <w:t>Uses and misuses of common statistics</w:t>
      </w:r>
    </w:p>
    <w:tbl>
      <w:tblPr>
        <w:tblStyle w:val="TickandCros"/>
        <w:tblW w:w="0" w:type="auto"/>
        <w:tblLook w:val="04A0" w:firstRow="1" w:lastRow="0" w:firstColumn="1" w:lastColumn="0" w:noHBand="0" w:noVBand="1"/>
      </w:tblPr>
      <w:tblGrid>
        <w:gridCol w:w="2556"/>
        <w:gridCol w:w="2435"/>
        <w:gridCol w:w="2443"/>
        <w:gridCol w:w="2471"/>
      </w:tblGrid>
      <w:tr w:rsidR="00000D2D" w:rsidRPr="00083C9D" w14:paraId="1075B5E8" w14:textId="77777777" w:rsidTr="00F40481">
        <w:trPr>
          <w:tblHeader/>
        </w:trPr>
        <w:tc>
          <w:tcPr>
            <w:tcW w:w="2472" w:type="dxa"/>
          </w:tcPr>
          <w:p w14:paraId="31E90940" w14:textId="235C84A9" w:rsidR="00000D2D" w:rsidRPr="00083C9D" w:rsidRDefault="00000D2D" w:rsidP="00F40481">
            <w:pPr>
              <w:pStyle w:val="Calloutbox-title"/>
              <w:rPr>
                <w:lang w:val="en-AU"/>
              </w:rPr>
            </w:pPr>
            <w:r w:rsidRPr="00083C9D">
              <w:rPr>
                <w:lang w:val="en-AU"/>
              </w:rPr>
              <w:t>Accurate Statement</w:t>
            </w:r>
          </w:p>
        </w:tc>
        <w:tc>
          <w:tcPr>
            <w:tcW w:w="2379" w:type="dxa"/>
          </w:tcPr>
          <w:p w14:paraId="5414B783" w14:textId="707CC3AE" w:rsidR="00000D2D" w:rsidRPr="00083C9D" w:rsidRDefault="00000D2D" w:rsidP="00F40481">
            <w:pPr>
              <w:pStyle w:val="Calloutbox-title"/>
              <w:rPr>
                <w:lang w:val="en-AU"/>
              </w:rPr>
            </w:pPr>
            <w:r w:rsidRPr="00083C9D">
              <w:rPr>
                <w:lang w:val="en-AU"/>
              </w:rPr>
              <w:t>Statistical Basis</w:t>
            </w:r>
          </w:p>
        </w:tc>
        <w:tc>
          <w:tcPr>
            <w:tcW w:w="2387" w:type="dxa"/>
          </w:tcPr>
          <w:p w14:paraId="39D0FF92" w14:textId="31EF523D" w:rsidR="00000D2D" w:rsidRPr="00083C9D" w:rsidRDefault="00000D2D" w:rsidP="00F40481">
            <w:pPr>
              <w:pStyle w:val="Calloutbox-title"/>
              <w:rPr>
                <w:lang w:val="en-AU"/>
              </w:rPr>
            </w:pPr>
            <w:r w:rsidRPr="00083C9D">
              <w:rPr>
                <w:lang w:val="en-AU"/>
              </w:rPr>
              <w:t>Inaccurate Statement</w:t>
            </w:r>
          </w:p>
        </w:tc>
        <w:tc>
          <w:tcPr>
            <w:tcW w:w="2387" w:type="dxa"/>
          </w:tcPr>
          <w:p w14:paraId="21E95BDB" w14:textId="0D353436" w:rsidR="00000D2D" w:rsidRPr="00083C9D" w:rsidRDefault="00000D2D" w:rsidP="00F40481">
            <w:pPr>
              <w:pStyle w:val="Calloutbox-title"/>
              <w:rPr>
                <w:lang w:val="en-AU"/>
              </w:rPr>
            </w:pPr>
            <w:r w:rsidRPr="00083C9D">
              <w:rPr>
                <w:lang w:val="en-AU"/>
              </w:rPr>
              <w:t>Why this is Inaccurate</w:t>
            </w:r>
          </w:p>
        </w:tc>
      </w:tr>
      <w:tr w:rsidR="00000D2D" w:rsidRPr="00083C9D" w14:paraId="2E98BF0D" w14:textId="77777777" w:rsidTr="00F40481">
        <w:tc>
          <w:tcPr>
            <w:tcW w:w="2472" w:type="dxa"/>
          </w:tcPr>
          <w:p w14:paraId="4F0CDE57" w14:textId="77777777" w:rsidR="00000D2D" w:rsidRPr="00083C9D" w:rsidRDefault="00000D2D" w:rsidP="00F40481">
            <w:pPr>
              <w:spacing w:after="120"/>
              <w:ind w:left="113" w:right="113"/>
              <w:rPr>
                <w:rStyle w:val="Strong"/>
                <w:rFonts w:eastAsiaTheme="majorEastAsia"/>
                <w:lang w:val="en-AU"/>
              </w:rPr>
            </w:pPr>
            <w:r w:rsidRPr="00083C9D">
              <w:rPr>
                <w:rStyle w:val="Strong"/>
                <w:rFonts w:eastAsiaTheme="majorEastAsia"/>
                <w:lang w:val="en-AU"/>
              </w:rPr>
              <w:t>Approximately one quarter of women in Australia have experienced at least one incident of violence by an intimate partner.</w:t>
            </w:r>
          </w:p>
          <w:p w14:paraId="0ED0347D" w14:textId="77620D12" w:rsidR="00D02AB0" w:rsidRPr="00083C9D" w:rsidRDefault="00392B4E" w:rsidP="00F40481">
            <w:pPr>
              <w:spacing w:after="120"/>
              <w:ind w:left="113" w:right="113"/>
              <w:rPr>
                <w:lang w:val="en-AU"/>
              </w:rPr>
            </w:pPr>
            <w:r w:rsidRPr="00083C9D">
              <w:rPr>
                <w:noProof/>
                <w:lang w:val="en-AU"/>
              </w:rPr>
              <w:drawing>
                <wp:inline distT="0" distB="0" distL="0" distR="0" wp14:anchorId="079C5EDC" wp14:editId="11A46B97">
                  <wp:extent cx="360000" cy="333223"/>
                  <wp:effectExtent l="0" t="0" r="2540" b="0"/>
                  <wp:docPr id="17" name="Picture 1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33223"/>
                          </a:xfrm>
                          <a:prstGeom prst="rect">
                            <a:avLst/>
                          </a:prstGeom>
                          <a:noFill/>
                          <a:ln>
                            <a:noFill/>
                          </a:ln>
                        </pic:spPr>
                      </pic:pic>
                    </a:graphicData>
                  </a:graphic>
                </wp:inline>
              </w:drawing>
            </w:r>
          </w:p>
        </w:tc>
        <w:tc>
          <w:tcPr>
            <w:tcW w:w="2379" w:type="dxa"/>
          </w:tcPr>
          <w:p w14:paraId="647A6385" w14:textId="0C3FDECD" w:rsidR="00000D2D" w:rsidRPr="00083C9D" w:rsidRDefault="00000D2D" w:rsidP="00F40481">
            <w:pPr>
              <w:pStyle w:val="NormalWeb"/>
              <w:spacing w:before="120" w:beforeAutospacing="0" w:after="120" w:afterAutospacing="0"/>
              <w:ind w:left="113" w:right="113"/>
              <w:rPr>
                <w:sz w:val="22"/>
                <w:szCs w:val="22"/>
              </w:rPr>
            </w:pPr>
            <w:r w:rsidRPr="00083C9D">
              <w:rPr>
                <w:sz w:val="22"/>
                <w:szCs w:val="22"/>
              </w:rPr>
              <w:t xml:space="preserve">Since the age of 15, 23 percent of women have experienced at least one incident of violence by an intimate partner or ex-partner they may or may not have been living with </w:t>
            </w:r>
            <w:r w:rsidRPr="00083C9D">
              <w:rPr>
                <w:sz w:val="22"/>
                <w:szCs w:val="22"/>
              </w:rPr>
              <w:br/>
              <w:t>(ABS, 2017).</w:t>
            </w:r>
          </w:p>
        </w:tc>
        <w:tc>
          <w:tcPr>
            <w:tcW w:w="2387" w:type="dxa"/>
          </w:tcPr>
          <w:p w14:paraId="117373BC" w14:textId="7637F20E" w:rsidR="00000D2D" w:rsidRPr="00083C9D" w:rsidRDefault="00000D2D" w:rsidP="00F40481">
            <w:pPr>
              <w:pStyle w:val="NormalWeb"/>
              <w:spacing w:before="120" w:beforeAutospacing="0" w:after="120" w:afterAutospacing="0"/>
              <w:ind w:left="113" w:right="113"/>
              <w:rPr>
                <w:sz w:val="22"/>
                <w:szCs w:val="22"/>
              </w:rPr>
            </w:pPr>
            <w:r w:rsidRPr="00083C9D">
              <w:rPr>
                <w:sz w:val="22"/>
                <w:szCs w:val="22"/>
              </w:rPr>
              <w:t>One in three women experience domestic violence.</w:t>
            </w:r>
          </w:p>
          <w:p w14:paraId="4648C36D" w14:textId="1A1CA524" w:rsidR="00D02AB0" w:rsidRPr="00083C9D" w:rsidRDefault="00392B4E" w:rsidP="00F40481">
            <w:pPr>
              <w:pStyle w:val="NormalWeb"/>
              <w:spacing w:before="120" w:beforeAutospacing="0" w:after="120" w:afterAutospacing="0"/>
              <w:ind w:left="113" w:right="113"/>
              <w:rPr>
                <w:sz w:val="22"/>
                <w:szCs w:val="22"/>
              </w:rPr>
            </w:pPr>
            <w:r w:rsidRPr="00083C9D">
              <w:rPr>
                <w:noProof/>
                <w:sz w:val="22"/>
                <w:szCs w:val="22"/>
              </w:rPr>
              <w:drawing>
                <wp:inline distT="0" distB="0" distL="0" distR="0" wp14:anchorId="57F818EA" wp14:editId="583083C2">
                  <wp:extent cx="360000" cy="360000"/>
                  <wp:effectExtent l="0" t="0" r="2540" b="2540"/>
                  <wp:docPr id="21" name="Picture 21"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387" w:type="dxa"/>
          </w:tcPr>
          <w:p w14:paraId="707E0BD4" w14:textId="58F77CF6" w:rsidR="00000D2D" w:rsidRPr="00083C9D" w:rsidRDefault="00000D2D" w:rsidP="00F40481">
            <w:pPr>
              <w:pStyle w:val="NormalWeb"/>
              <w:spacing w:before="120" w:beforeAutospacing="0" w:after="120" w:afterAutospacing="0"/>
              <w:ind w:left="113" w:right="113"/>
              <w:rPr>
                <w:sz w:val="22"/>
                <w:szCs w:val="22"/>
              </w:rPr>
            </w:pPr>
            <w:r w:rsidRPr="00083C9D">
              <w:rPr>
                <w:sz w:val="22"/>
                <w:szCs w:val="22"/>
              </w:rPr>
              <w:t xml:space="preserve">‘One in three’ is an accurate description of the proportion of women in Australia who have experienced at least one incident of violence by a perpetrator of </w:t>
            </w:r>
            <w:r w:rsidRPr="00083C9D">
              <w:rPr>
                <w:rStyle w:val="Strong"/>
                <w:rFonts w:eastAsiaTheme="majorEastAsia"/>
                <w:sz w:val="22"/>
                <w:szCs w:val="22"/>
              </w:rPr>
              <w:t>any type</w:t>
            </w:r>
            <w:r w:rsidRPr="00083C9D">
              <w:rPr>
                <w:sz w:val="22"/>
                <w:szCs w:val="22"/>
              </w:rPr>
              <w:t xml:space="preserve"> (</w:t>
            </w:r>
            <w:proofErr w:type="gramStart"/>
            <w:r w:rsidRPr="00083C9D">
              <w:rPr>
                <w:sz w:val="22"/>
                <w:szCs w:val="22"/>
              </w:rPr>
              <w:t>i.e.</w:t>
            </w:r>
            <w:proofErr w:type="gramEnd"/>
            <w:r w:rsidRPr="00083C9D">
              <w:rPr>
                <w:sz w:val="22"/>
                <w:szCs w:val="22"/>
              </w:rPr>
              <w:t xml:space="preserve"> not necessarily a partner) (ABS, 2017).</w:t>
            </w:r>
          </w:p>
        </w:tc>
      </w:tr>
      <w:tr w:rsidR="00F40481" w:rsidRPr="00083C9D" w14:paraId="50A742FD" w14:textId="77777777" w:rsidTr="00F40481">
        <w:tc>
          <w:tcPr>
            <w:tcW w:w="2472" w:type="dxa"/>
          </w:tcPr>
          <w:p w14:paraId="6B43D169" w14:textId="77777777" w:rsidR="00F40481" w:rsidRPr="00083C9D" w:rsidRDefault="00F40481" w:rsidP="00F40481">
            <w:pPr>
              <w:pStyle w:val="NormalWeb"/>
              <w:spacing w:before="120" w:beforeAutospacing="0" w:after="120" w:afterAutospacing="0"/>
              <w:ind w:left="113" w:right="113"/>
              <w:rPr>
                <w:sz w:val="22"/>
                <w:szCs w:val="22"/>
              </w:rPr>
            </w:pPr>
            <w:r w:rsidRPr="00083C9D">
              <w:rPr>
                <w:rStyle w:val="Strong"/>
                <w:rFonts w:eastAsiaTheme="majorEastAsia"/>
                <w:sz w:val="22"/>
                <w:szCs w:val="22"/>
              </w:rPr>
              <w:t>Most victims/survivors of intimate partner violence are women.</w:t>
            </w:r>
          </w:p>
          <w:p w14:paraId="34E61317" w14:textId="27A23C1A" w:rsidR="00F40481" w:rsidRPr="00083C9D" w:rsidRDefault="00F40481" w:rsidP="00F40481">
            <w:pPr>
              <w:spacing w:after="120"/>
              <w:ind w:left="113" w:right="113"/>
              <w:rPr>
                <w:lang w:val="en-AU"/>
              </w:rPr>
            </w:pPr>
            <w:r w:rsidRPr="00083C9D">
              <w:rPr>
                <w:noProof/>
                <w:lang w:val="en-AU"/>
              </w:rPr>
              <w:drawing>
                <wp:inline distT="0" distB="0" distL="0" distR="0" wp14:anchorId="15E86719" wp14:editId="49893E03">
                  <wp:extent cx="360000" cy="333223"/>
                  <wp:effectExtent l="0" t="0" r="2540" b="0"/>
                  <wp:docPr id="16" name="Picture 1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33223"/>
                          </a:xfrm>
                          <a:prstGeom prst="rect">
                            <a:avLst/>
                          </a:prstGeom>
                          <a:noFill/>
                          <a:ln>
                            <a:noFill/>
                          </a:ln>
                        </pic:spPr>
                      </pic:pic>
                    </a:graphicData>
                  </a:graphic>
                </wp:inline>
              </w:drawing>
            </w:r>
          </w:p>
        </w:tc>
        <w:tc>
          <w:tcPr>
            <w:tcW w:w="2379" w:type="dxa"/>
          </w:tcPr>
          <w:p w14:paraId="6608ACB6" w14:textId="77777777" w:rsidR="00F40481" w:rsidRPr="00083C9D" w:rsidRDefault="00F40481" w:rsidP="00F40481">
            <w:pPr>
              <w:pStyle w:val="NormalWeb"/>
              <w:spacing w:before="120" w:beforeAutospacing="0" w:after="120" w:afterAutospacing="0"/>
              <w:ind w:left="113" w:right="113"/>
              <w:rPr>
                <w:sz w:val="22"/>
                <w:szCs w:val="22"/>
              </w:rPr>
            </w:pPr>
            <w:r w:rsidRPr="00083C9D">
              <w:rPr>
                <w:sz w:val="22"/>
                <w:szCs w:val="22"/>
              </w:rPr>
              <w:t>Women are almost three times more likely to have experienced violence by a partner since the age of 15.</w:t>
            </w:r>
          </w:p>
          <w:p w14:paraId="79772A20" w14:textId="75D6BC2C" w:rsidR="00F40481" w:rsidRPr="00083C9D" w:rsidRDefault="00F40481" w:rsidP="00F40481">
            <w:pPr>
              <w:spacing w:after="120"/>
              <w:ind w:left="113" w:right="113"/>
              <w:rPr>
                <w:lang w:val="en-AU"/>
              </w:rPr>
            </w:pPr>
            <w:r w:rsidRPr="00083C9D">
              <w:rPr>
                <w:lang w:val="en-AU"/>
              </w:rPr>
              <w:t>574 600 men reported experiencing intimate partner violence since the age of 15, compared to 1.6 million women (ABS, 2017).</w:t>
            </w:r>
          </w:p>
        </w:tc>
        <w:tc>
          <w:tcPr>
            <w:tcW w:w="2387" w:type="dxa"/>
            <w:vMerge w:val="restart"/>
          </w:tcPr>
          <w:p w14:paraId="15D75330" w14:textId="5E79F15D" w:rsidR="00F40481" w:rsidRPr="00083C9D" w:rsidRDefault="00F40481" w:rsidP="00F40481">
            <w:pPr>
              <w:pStyle w:val="NormalWeb"/>
              <w:spacing w:before="120" w:beforeAutospacing="0" w:after="120" w:afterAutospacing="0"/>
              <w:ind w:left="113" w:right="113"/>
              <w:rPr>
                <w:sz w:val="22"/>
                <w:szCs w:val="22"/>
              </w:rPr>
            </w:pPr>
            <w:r w:rsidRPr="00083C9D">
              <w:rPr>
                <w:sz w:val="22"/>
                <w:szCs w:val="22"/>
              </w:rPr>
              <w:t xml:space="preserve">Women experience more violence </w:t>
            </w:r>
            <w:r w:rsidRPr="00083C9D">
              <w:rPr>
                <w:sz w:val="22"/>
                <w:szCs w:val="22"/>
              </w:rPr>
              <w:br/>
              <w:t>than men.</w:t>
            </w:r>
          </w:p>
          <w:p w14:paraId="6B98067B" w14:textId="7223FC2F" w:rsidR="00F40481" w:rsidRPr="00083C9D" w:rsidRDefault="00F40481" w:rsidP="00836FE7">
            <w:pPr>
              <w:spacing w:after="120"/>
              <w:ind w:left="113" w:right="113"/>
              <w:rPr>
                <w:lang w:val="en-AU"/>
              </w:rPr>
            </w:pPr>
            <w:r w:rsidRPr="00083C9D">
              <w:rPr>
                <w:noProof/>
                <w:lang w:val="en-AU"/>
              </w:rPr>
              <w:drawing>
                <wp:inline distT="0" distB="0" distL="0" distR="0" wp14:anchorId="71C78247" wp14:editId="7FBBF9FD">
                  <wp:extent cx="360000" cy="360000"/>
                  <wp:effectExtent l="0" t="0" r="2540" b="2540"/>
                  <wp:docPr id="19" name="Picture 19"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387" w:type="dxa"/>
            <w:vMerge w:val="restart"/>
          </w:tcPr>
          <w:p w14:paraId="19B246DF" w14:textId="77777777" w:rsidR="00F40481" w:rsidRPr="00083C9D" w:rsidRDefault="00F40481" w:rsidP="00F40481">
            <w:pPr>
              <w:pStyle w:val="NormalWeb"/>
              <w:spacing w:before="120" w:beforeAutospacing="0" w:after="120" w:afterAutospacing="0"/>
              <w:ind w:left="113" w:right="113"/>
              <w:rPr>
                <w:sz w:val="22"/>
                <w:szCs w:val="22"/>
              </w:rPr>
            </w:pPr>
            <w:r w:rsidRPr="00083C9D">
              <w:rPr>
                <w:sz w:val="22"/>
                <w:szCs w:val="22"/>
              </w:rPr>
              <w:t xml:space="preserve">If you examine all types of violence, men experience more incidents than women by </w:t>
            </w:r>
            <w:r w:rsidRPr="00083C9D">
              <w:rPr>
                <w:rStyle w:val="Strong"/>
                <w:rFonts w:eastAsiaTheme="majorEastAsia"/>
                <w:sz w:val="22"/>
                <w:szCs w:val="22"/>
              </w:rPr>
              <w:t>any type</w:t>
            </w:r>
            <w:r w:rsidRPr="00083C9D">
              <w:rPr>
                <w:sz w:val="22"/>
                <w:szCs w:val="22"/>
              </w:rPr>
              <w:t xml:space="preserve"> of perpetrator, but women experience more violence from </w:t>
            </w:r>
            <w:r w:rsidRPr="00083C9D">
              <w:rPr>
                <w:sz w:val="22"/>
                <w:szCs w:val="22"/>
              </w:rPr>
              <w:br/>
              <w:t>a partner.</w:t>
            </w:r>
          </w:p>
          <w:p w14:paraId="423D9C70" w14:textId="3219BB4B" w:rsidR="00F40481" w:rsidRPr="00083C9D" w:rsidRDefault="00F40481" w:rsidP="00836FE7">
            <w:pPr>
              <w:pStyle w:val="NormalWeb"/>
              <w:spacing w:before="120" w:beforeAutospacing="0" w:after="120" w:afterAutospacing="0"/>
              <w:ind w:left="113" w:right="113"/>
              <w:rPr>
                <w:sz w:val="22"/>
                <w:szCs w:val="22"/>
              </w:rPr>
            </w:pPr>
            <w:r w:rsidRPr="00083C9D">
              <w:rPr>
                <w:sz w:val="22"/>
                <w:szCs w:val="22"/>
              </w:rPr>
              <w:t xml:space="preserve">Most of the violence against men is perpetrated by </w:t>
            </w:r>
            <w:r w:rsidR="00836FE7" w:rsidRPr="00083C9D">
              <w:rPr>
                <w:sz w:val="22"/>
                <w:szCs w:val="22"/>
              </w:rPr>
              <w:t>other men (ABS, 2017).</w:t>
            </w:r>
          </w:p>
        </w:tc>
      </w:tr>
      <w:tr w:rsidR="00F40481" w:rsidRPr="00083C9D" w14:paraId="7F288C64" w14:textId="77777777" w:rsidTr="00836FE7">
        <w:trPr>
          <w:cantSplit/>
        </w:trPr>
        <w:tc>
          <w:tcPr>
            <w:tcW w:w="2472" w:type="dxa"/>
          </w:tcPr>
          <w:p w14:paraId="2FB759A4" w14:textId="77777777" w:rsidR="00F40481" w:rsidRPr="00083C9D" w:rsidRDefault="00F40481" w:rsidP="00F40481">
            <w:pPr>
              <w:pStyle w:val="NormalWeb"/>
              <w:spacing w:before="120" w:beforeAutospacing="0" w:after="120" w:afterAutospacing="0"/>
              <w:ind w:left="113" w:right="113"/>
              <w:rPr>
                <w:sz w:val="22"/>
                <w:szCs w:val="22"/>
              </w:rPr>
            </w:pPr>
            <w:r w:rsidRPr="00083C9D">
              <w:rPr>
                <w:rStyle w:val="Strong"/>
                <w:rFonts w:eastAsiaTheme="majorEastAsia"/>
                <w:sz w:val="22"/>
                <w:szCs w:val="22"/>
              </w:rPr>
              <w:lastRenderedPageBreak/>
              <w:t>Men and women tend to experience violence in different contexts.</w:t>
            </w:r>
          </w:p>
          <w:p w14:paraId="3BC1B6A2" w14:textId="260BBF58" w:rsidR="00F40481" w:rsidRPr="00083C9D" w:rsidRDefault="00F40481" w:rsidP="00F40481">
            <w:pPr>
              <w:spacing w:after="120"/>
              <w:ind w:left="113" w:right="113"/>
              <w:rPr>
                <w:lang w:val="en-AU"/>
              </w:rPr>
            </w:pPr>
            <w:r w:rsidRPr="00083C9D">
              <w:rPr>
                <w:noProof/>
                <w:lang w:val="en-AU"/>
              </w:rPr>
              <w:drawing>
                <wp:inline distT="0" distB="0" distL="0" distR="0" wp14:anchorId="2BB84732" wp14:editId="3C58A92A">
                  <wp:extent cx="360000" cy="333223"/>
                  <wp:effectExtent l="0" t="0" r="2540" b="0"/>
                  <wp:docPr id="15" name="Picture 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33223"/>
                          </a:xfrm>
                          <a:prstGeom prst="rect">
                            <a:avLst/>
                          </a:prstGeom>
                          <a:noFill/>
                          <a:ln>
                            <a:noFill/>
                          </a:ln>
                        </pic:spPr>
                      </pic:pic>
                    </a:graphicData>
                  </a:graphic>
                </wp:inline>
              </w:drawing>
            </w:r>
          </w:p>
        </w:tc>
        <w:tc>
          <w:tcPr>
            <w:tcW w:w="2379" w:type="dxa"/>
          </w:tcPr>
          <w:p w14:paraId="3C87A613" w14:textId="095312C7" w:rsidR="00F40481" w:rsidRPr="00083C9D" w:rsidRDefault="00F40481" w:rsidP="00F40481">
            <w:pPr>
              <w:pStyle w:val="NormalWeb"/>
              <w:spacing w:before="120" w:beforeAutospacing="0" w:after="120" w:afterAutospacing="0"/>
              <w:ind w:left="113" w:right="113"/>
              <w:rPr>
                <w:sz w:val="22"/>
                <w:szCs w:val="22"/>
              </w:rPr>
            </w:pPr>
            <w:proofErr w:type="gramStart"/>
            <w:r w:rsidRPr="00083C9D">
              <w:rPr>
                <w:sz w:val="22"/>
                <w:szCs w:val="22"/>
              </w:rPr>
              <w:t>The majority of</w:t>
            </w:r>
            <w:proofErr w:type="gramEnd"/>
            <w:r w:rsidRPr="00083C9D">
              <w:rPr>
                <w:sz w:val="22"/>
                <w:szCs w:val="22"/>
              </w:rPr>
              <w:t xml:space="preserve"> men reported that their most recent incident of physical assault by another man was perpetrated by a stranger. The location was most often a place of entertainment (28%) or an outside location (28%).</w:t>
            </w:r>
          </w:p>
          <w:p w14:paraId="11882CB6" w14:textId="3DC7CA64" w:rsidR="00F40481" w:rsidRPr="00083C9D" w:rsidRDefault="00F40481" w:rsidP="00F40481">
            <w:pPr>
              <w:pStyle w:val="NormalWeb"/>
              <w:spacing w:before="120" w:beforeAutospacing="0" w:after="120" w:afterAutospacing="0"/>
              <w:ind w:left="113" w:right="113"/>
              <w:rPr>
                <w:sz w:val="22"/>
                <w:szCs w:val="22"/>
              </w:rPr>
            </w:pPr>
            <w:r w:rsidRPr="00083C9D">
              <w:rPr>
                <w:sz w:val="22"/>
                <w:szCs w:val="22"/>
              </w:rPr>
              <w:t xml:space="preserve">In contrast, women stated that their most recent experience of physical assault by a man was someone that they knew (92%). In 65 percent of cases, this occurred while in their own home (ABS, 2017). </w:t>
            </w:r>
          </w:p>
        </w:tc>
        <w:tc>
          <w:tcPr>
            <w:tcW w:w="2387" w:type="dxa"/>
            <w:vMerge/>
          </w:tcPr>
          <w:p w14:paraId="3027FD03" w14:textId="084D45F4" w:rsidR="00F40481" w:rsidRPr="00083C9D" w:rsidRDefault="00F40481" w:rsidP="00F40481">
            <w:pPr>
              <w:spacing w:after="120"/>
              <w:ind w:left="113" w:right="113"/>
              <w:rPr>
                <w:lang w:val="en-AU"/>
              </w:rPr>
            </w:pPr>
          </w:p>
        </w:tc>
        <w:tc>
          <w:tcPr>
            <w:tcW w:w="2387" w:type="dxa"/>
            <w:vMerge/>
          </w:tcPr>
          <w:p w14:paraId="09222D17" w14:textId="651653B4" w:rsidR="00F40481" w:rsidRPr="00083C9D" w:rsidRDefault="00F40481" w:rsidP="00F40481">
            <w:pPr>
              <w:spacing w:after="120"/>
              <w:ind w:left="113" w:right="113"/>
              <w:rPr>
                <w:lang w:val="en-AU"/>
              </w:rPr>
            </w:pPr>
          </w:p>
        </w:tc>
      </w:tr>
      <w:tr w:rsidR="00000D2D" w:rsidRPr="00083C9D" w14:paraId="505D6A77" w14:textId="77777777" w:rsidTr="00F40481">
        <w:tc>
          <w:tcPr>
            <w:tcW w:w="2472" w:type="dxa"/>
          </w:tcPr>
          <w:p w14:paraId="33B50706" w14:textId="77777777" w:rsidR="004B7D84" w:rsidRPr="00083C9D" w:rsidRDefault="004B7D84" w:rsidP="00F40481">
            <w:pPr>
              <w:pStyle w:val="NormalWeb"/>
              <w:spacing w:before="120" w:beforeAutospacing="0" w:after="120" w:afterAutospacing="0"/>
              <w:ind w:left="113" w:right="113"/>
              <w:rPr>
                <w:sz w:val="22"/>
                <w:szCs w:val="22"/>
              </w:rPr>
            </w:pPr>
            <w:r w:rsidRPr="00083C9D">
              <w:rPr>
                <w:rStyle w:val="Strong"/>
                <w:rFonts w:eastAsiaTheme="majorEastAsia"/>
                <w:sz w:val="22"/>
                <w:szCs w:val="22"/>
              </w:rPr>
              <w:t>On average, one woman a week is killed by her intimate partner.</w:t>
            </w:r>
          </w:p>
          <w:p w14:paraId="519ECBA4" w14:textId="2D593969" w:rsidR="00000D2D" w:rsidRPr="00083C9D" w:rsidRDefault="00392B4E" w:rsidP="00F40481">
            <w:pPr>
              <w:spacing w:after="120"/>
              <w:ind w:left="113" w:right="113"/>
              <w:rPr>
                <w:lang w:val="en-AU"/>
              </w:rPr>
            </w:pPr>
            <w:r w:rsidRPr="00083C9D">
              <w:rPr>
                <w:noProof/>
                <w:lang w:val="en-AU"/>
              </w:rPr>
              <w:drawing>
                <wp:inline distT="0" distB="0" distL="0" distR="0" wp14:anchorId="2D8AA5B3" wp14:editId="357777AB">
                  <wp:extent cx="360000" cy="333223"/>
                  <wp:effectExtent l="0" t="0" r="2540" b="0"/>
                  <wp:docPr id="14" name="Picture 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33223"/>
                          </a:xfrm>
                          <a:prstGeom prst="rect">
                            <a:avLst/>
                          </a:prstGeom>
                          <a:noFill/>
                          <a:ln>
                            <a:noFill/>
                          </a:ln>
                        </pic:spPr>
                      </pic:pic>
                    </a:graphicData>
                  </a:graphic>
                </wp:inline>
              </w:drawing>
            </w:r>
          </w:p>
        </w:tc>
        <w:tc>
          <w:tcPr>
            <w:tcW w:w="2379" w:type="dxa"/>
          </w:tcPr>
          <w:p w14:paraId="53F74165" w14:textId="6EB20070" w:rsidR="00000D2D" w:rsidRPr="00083C9D" w:rsidRDefault="004B7D84" w:rsidP="00F40481">
            <w:pPr>
              <w:pStyle w:val="NormalWeb"/>
              <w:spacing w:before="120" w:beforeAutospacing="0" w:after="120" w:afterAutospacing="0"/>
              <w:ind w:left="113" w:right="113"/>
              <w:rPr>
                <w:sz w:val="22"/>
                <w:szCs w:val="22"/>
              </w:rPr>
            </w:pPr>
            <w:r w:rsidRPr="00083C9D">
              <w:rPr>
                <w:sz w:val="22"/>
                <w:szCs w:val="22"/>
              </w:rPr>
              <w:t>In the 10 years from mid-2002 to mid-2012, 488 women in Australia were killed by their intimate partner (</w:t>
            </w:r>
            <w:proofErr w:type="spellStart"/>
            <w:r w:rsidRPr="00083C9D">
              <w:rPr>
                <w:sz w:val="22"/>
                <w:szCs w:val="22"/>
              </w:rPr>
              <w:t>Cussen</w:t>
            </w:r>
            <w:proofErr w:type="spellEnd"/>
            <w:r w:rsidRPr="00083C9D">
              <w:rPr>
                <w:sz w:val="22"/>
                <w:szCs w:val="22"/>
              </w:rPr>
              <w:t xml:space="preserve"> &amp; Bryant, 2015). A further study for the period mid-2012 to mid-2014 confirmed this (Bryant &amp; </w:t>
            </w:r>
            <w:proofErr w:type="spellStart"/>
            <w:r w:rsidRPr="00083C9D">
              <w:rPr>
                <w:sz w:val="22"/>
                <w:szCs w:val="22"/>
              </w:rPr>
              <w:t>Bricknell</w:t>
            </w:r>
            <w:proofErr w:type="spellEnd"/>
            <w:r w:rsidRPr="00083C9D">
              <w:rPr>
                <w:sz w:val="22"/>
                <w:szCs w:val="22"/>
              </w:rPr>
              <w:t>, 2017).</w:t>
            </w:r>
          </w:p>
        </w:tc>
        <w:tc>
          <w:tcPr>
            <w:tcW w:w="2387" w:type="dxa"/>
          </w:tcPr>
          <w:p w14:paraId="609D82C4" w14:textId="053EFBBE" w:rsidR="004B7D84" w:rsidRPr="00083C9D" w:rsidRDefault="004B7D84" w:rsidP="00F40481">
            <w:pPr>
              <w:pStyle w:val="NormalWeb"/>
              <w:spacing w:before="120" w:beforeAutospacing="0" w:after="120" w:afterAutospacing="0"/>
              <w:ind w:left="113" w:right="113"/>
              <w:rPr>
                <w:sz w:val="22"/>
                <w:szCs w:val="22"/>
              </w:rPr>
            </w:pPr>
            <w:r w:rsidRPr="00083C9D">
              <w:rPr>
                <w:sz w:val="22"/>
                <w:szCs w:val="22"/>
              </w:rPr>
              <w:t>Two women a week are murdered by a partner.</w:t>
            </w:r>
          </w:p>
          <w:p w14:paraId="4F94B255" w14:textId="3EA1D53E" w:rsidR="00000D2D" w:rsidRPr="00083C9D" w:rsidRDefault="00392B4E" w:rsidP="00F40481">
            <w:pPr>
              <w:spacing w:after="120"/>
              <w:ind w:left="113" w:right="113"/>
              <w:rPr>
                <w:lang w:val="en-AU"/>
              </w:rPr>
            </w:pPr>
            <w:r w:rsidRPr="00083C9D">
              <w:rPr>
                <w:noProof/>
                <w:lang w:val="en-AU"/>
              </w:rPr>
              <w:drawing>
                <wp:inline distT="0" distB="0" distL="0" distR="0" wp14:anchorId="716A8055" wp14:editId="636CF0A4">
                  <wp:extent cx="360000" cy="360000"/>
                  <wp:effectExtent l="0" t="0" r="2540" b="2540"/>
                  <wp:docPr id="18" name="Picture 18"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2387" w:type="dxa"/>
          </w:tcPr>
          <w:p w14:paraId="168A3D46" w14:textId="32DD4BCF" w:rsidR="00000D2D" w:rsidRPr="00083C9D" w:rsidRDefault="004B7D84" w:rsidP="00F40481">
            <w:pPr>
              <w:pStyle w:val="NormalWeb"/>
              <w:spacing w:before="120" w:beforeAutospacing="0" w:after="120" w:afterAutospacing="0"/>
              <w:ind w:left="113" w:right="113"/>
              <w:rPr>
                <w:sz w:val="22"/>
                <w:szCs w:val="22"/>
              </w:rPr>
            </w:pPr>
            <w:r w:rsidRPr="00083C9D">
              <w:rPr>
                <w:sz w:val="22"/>
                <w:szCs w:val="22"/>
              </w:rPr>
              <w:t xml:space="preserve">Higher rates have been reported using collections that include all violent deaths, not limited to homicide, and not limited to violence by an intimate partner (Bryant &amp; </w:t>
            </w:r>
            <w:proofErr w:type="spellStart"/>
            <w:r w:rsidRPr="00083C9D">
              <w:rPr>
                <w:sz w:val="22"/>
                <w:szCs w:val="22"/>
              </w:rPr>
              <w:t>Bricknell</w:t>
            </w:r>
            <w:proofErr w:type="spellEnd"/>
            <w:r w:rsidRPr="00083C9D">
              <w:rPr>
                <w:sz w:val="22"/>
                <w:szCs w:val="22"/>
              </w:rPr>
              <w:t>, 2017).</w:t>
            </w:r>
          </w:p>
        </w:tc>
      </w:tr>
    </w:tbl>
    <w:p w14:paraId="00BDDDB7" w14:textId="77777777" w:rsidR="00F40481" w:rsidRPr="00083C9D" w:rsidRDefault="00F40481">
      <w:pPr>
        <w:spacing w:before="0"/>
        <w:rPr>
          <w:rFonts w:eastAsia="Times New Roman" w:cs="Times New Roman"/>
          <w:sz w:val="24"/>
          <w:szCs w:val="24"/>
          <w:lang w:val="en-AU" w:eastAsia="en-AU"/>
        </w:rPr>
      </w:pPr>
      <w:r w:rsidRPr="00083C9D">
        <w:rPr>
          <w:lang w:val="en-AU"/>
        </w:rPr>
        <w:br w:type="page"/>
      </w:r>
    </w:p>
    <w:tbl>
      <w:tblPr>
        <w:tblStyle w:val="TickandCros"/>
        <w:tblW w:w="0" w:type="auto"/>
        <w:tblLook w:val="04A0" w:firstRow="1" w:lastRow="0" w:firstColumn="1" w:lastColumn="0" w:noHBand="0" w:noVBand="1"/>
      </w:tblPr>
      <w:tblGrid>
        <w:gridCol w:w="4952"/>
        <w:gridCol w:w="4953"/>
      </w:tblGrid>
      <w:tr w:rsidR="00F13768" w:rsidRPr="00083C9D" w14:paraId="5448527C" w14:textId="77777777" w:rsidTr="00F40481">
        <w:tc>
          <w:tcPr>
            <w:tcW w:w="4868" w:type="dxa"/>
          </w:tcPr>
          <w:p w14:paraId="4FD834F0" w14:textId="75C69681" w:rsidR="00F13768" w:rsidRPr="00083C9D" w:rsidRDefault="00F13768" w:rsidP="00E872D1">
            <w:pPr>
              <w:pStyle w:val="Calloutbox-title"/>
              <w:rPr>
                <w:lang w:val="en-AU"/>
              </w:rPr>
            </w:pPr>
            <w:r w:rsidRPr="00083C9D">
              <w:rPr>
                <w:lang w:val="en-AU"/>
              </w:rPr>
              <w:lastRenderedPageBreak/>
              <w:t>Accurate Representation</w:t>
            </w:r>
          </w:p>
        </w:tc>
        <w:tc>
          <w:tcPr>
            <w:tcW w:w="4869" w:type="dxa"/>
          </w:tcPr>
          <w:p w14:paraId="3473A9DD" w14:textId="18C55EEE" w:rsidR="00F13768" w:rsidRPr="00083C9D" w:rsidRDefault="00F13768" w:rsidP="00E872D1">
            <w:pPr>
              <w:pStyle w:val="Calloutbox-title"/>
              <w:rPr>
                <w:lang w:val="en-AU"/>
              </w:rPr>
            </w:pPr>
            <w:r w:rsidRPr="00083C9D">
              <w:rPr>
                <w:lang w:val="en-AU"/>
              </w:rPr>
              <w:t>Inaccurate Representation</w:t>
            </w:r>
          </w:p>
        </w:tc>
      </w:tr>
      <w:tr w:rsidR="00F13768" w:rsidRPr="00083C9D" w14:paraId="71639081" w14:textId="77777777" w:rsidTr="00F40481">
        <w:tc>
          <w:tcPr>
            <w:tcW w:w="4868" w:type="dxa"/>
          </w:tcPr>
          <w:p w14:paraId="36C5B83C" w14:textId="77777777" w:rsidR="00F13768" w:rsidRPr="00083C9D" w:rsidRDefault="00F13768" w:rsidP="00F13768">
            <w:pPr>
              <w:pStyle w:val="NormalWeb"/>
              <w:spacing w:before="120" w:beforeAutospacing="0" w:after="120" w:afterAutospacing="0"/>
              <w:ind w:left="113"/>
            </w:pPr>
            <w:r w:rsidRPr="00083C9D">
              <w:rPr>
                <w:rStyle w:val="Strong"/>
                <w:rFonts w:eastAsiaTheme="majorEastAsia"/>
              </w:rPr>
              <w:t>One in three</w:t>
            </w:r>
            <w:r w:rsidRPr="00083C9D">
              <w:t xml:space="preserve"> women has experienced:</w:t>
            </w:r>
          </w:p>
          <w:p w14:paraId="5A39A166" w14:textId="032B9ACA" w:rsidR="00F13768" w:rsidRPr="00083C9D" w:rsidRDefault="00F13768" w:rsidP="00F13768">
            <w:pPr>
              <w:numPr>
                <w:ilvl w:val="0"/>
                <w:numId w:val="3"/>
              </w:numPr>
              <w:spacing w:after="120"/>
              <w:rPr>
                <w:lang w:val="en-AU"/>
              </w:rPr>
            </w:pPr>
            <w:r w:rsidRPr="00083C9D">
              <w:rPr>
                <w:rStyle w:val="Emphasis"/>
                <w:lang w:val="en-AU"/>
              </w:rPr>
              <w:t>Physical violence</w:t>
            </w:r>
            <w:r w:rsidRPr="00083C9D">
              <w:rPr>
                <w:lang w:val="en-AU"/>
              </w:rPr>
              <w:t xml:space="preserve"> perpetrated by another person, irrespective of the type of relationship (30.5%. ABS, 2017).</w:t>
            </w:r>
          </w:p>
          <w:p w14:paraId="6FF1AA75" w14:textId="77777777" w:rsidR="00F13768" w:rsidRPr="00083C9D" w:rsidRDefault="00F13768" w:rsidP="00673A07">
            <w:pPr>
              <w:numPr>
                <w:ilvl w:val="0"/>
                <w:numId w:val="3"/>
              </w:numPr>
              <w:spacing w:after="120"/>
              <w:ind w:left="700"/>
              <w:rPr>
                <w:lang w:val="en-AU"/>
              </w:rPr>
            </w:pPr>
            <w:r w:rsidRPr="00083C9D">
              <w:rPr>
                <w:rStyle w:val="Emphasis"/>
                <w:lang w:val="en-AU"/>
              </w:rPr>
              <w:t>Physical or sexual violence</w:t>
            </w:r>
            <w:r w:rsidRPr="00083C9D">
              <w:rPr>
                <w:lang w:val="en-AU"/>
              </w:rPr>
              <w:t>, or both, perpetrated by a man they know (31.1%. ABS, 2017).</w:t>
            </w:r>
          </w:p>
          <w:p w14:paraId="759138A8" w14:textId="18CBC316" w:rsidR="00F13768" w:rsidRPr="00083C9D" w:rsidRDefault="00673A07" w:rsidP="00EE1AB1">
            <w:pPr>
              <w:pStyle w:val="NormalWeb"/>
              <w:spacing w:before="240" w:beforeAutospacing="0" w:after="120" w:afterAutospacing="0"/>
            </w:pPr>
            <w:r w:rsidRPr="00083C9D">
              <w:rPr>
                <w:noProof/>
              </w:rPr>
              <w:drawing>
                <wp:inline distT="0" distB="0" distL="0" distR="0" wp14:anchorId="7011A152" wp14:editId="25308E63">
                  <wp:extent cx="360000" cy="333223"/>
                  <wp:effectExtent l="0" t="0" r="2540" b="0"/>
                  <wp:docPr id="24" name="Picture 2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33223"/>
                          </a:xfrm>
                          <a:prstGeom prst="rect">
                            <a:avLst/>
                          </a:prstGeom>
                          <a:noFill/>
                          <a:ln>
                            <a:noFill/>
                          </a:ln>
                        </pic:spPr>
                      </pic:pic>
                    </a:graphicData>
                  </a:graphic>
                </wp:inline>
              </w:drawing>
            </w:r>
          </w:p>
        </w:tc>
        <w:tc>
          <w:tcPr>
            <w:tcW w:w="4869" w:type="dxa"/>
          </w:tcPr>
          <w:p w14:paraId="376574A9" w14:textId="77777777" w:rsidR="00F13768" w:rsidRPr="00083C9D" w:rsidRDefault="00F13768" w:rsidP="00673A07">
            <w:pPr>
              <w:pStyle w:val="NormalWeb"/>
              <w:spacing w:before="120" w:beforeAutospacing="0" w:after="120" w:afterAutospacing="0"/>
              <w:ind w:left="113" w:right="113"/>
            </w:pPr>
            <w:r w:rsidRPr="00083C9D">
              <w:t>One in three women are victims of domestic violence.</w:t>
            </w:r>
          </w:p>
          <w:p w14:paraId="5F378E86" w14:textId="1FBE27DB" w:rsidR="00F13768" w:rsidRPr="00083C9D" w:rsidRDefault="00673A07" w:rsidP="00EE1AB1">
            <w:pPr>
              <w:pStyle w:val="NormalWeb"/>
              <w:spacing w:before="240" w:beforeAutospacing="0" w:after="120" w:afterAutospacing="0"/>
              <w:ind w:left="113" w:right="113"/>
            </w:pPr>
            <w:r w:rsidRPr="00083C9D">
              <w:rPr>
                <w:noProof/>
              </w:rPr>
              <w:drawing>
                <wp:inline distT="0" distB="0" distL="0" distR="0" wp14:anchorId="5D0BCA55" wp14:editId="192503CA">
                  <wp:extent cx="360000" cy="360000"/>
                  <wp:effectExtent l="0" t="0" r="2540" b="2540"/>
                  <wp:docPr id="26" name="Picture 26"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F13768" w:rsidRPr="00083C9D" w14:paraId="51FD9A62" w14:textId="77777777" w:rsidTr="00F40481">
        <w:tc>
          <w:tcPr>
            <w:tcW w:w="4868" w:type="dxa"/>
          </w:tcPr>
          <w:p w14:paraId="276B761D" w14:textId="77777777" w:rsidR="00F13768" w:rsidRPr="00083C9D" w:rsidRDefault="00F13768" w:rsidP="00673A07">
            <w:pPr>
              <w:pStyle w:val="NormalWeb"/>
              <w:spacing w:before="120" w:beforeAutospacing="0" w:after="120" w:afterAutospacing="0"/>
              <w:ind w:left="113" w:right="113"/>
            </w:pPr>
            <w:r w:rsidRPr="00083C9D">
              <w:rPr>
                <w:rStyle w:val="Strong"/>
                <w:rFonts w:eastAsiaTheme="majorEastAsia"/>
              </w:rPr>
              <w:t>Women are…</w:t>
            </w:r>
          </w:p>
          <w:p w14:paraId="609F07E8" w14:textId="6E06FA6D" w:rsidR="00F13768" w:rsidRPr="00083C9D" w:rsidRDefault="00F13768" w:rsidP="00F13768">
            <w:pPr>
              <w:numPr>
                <w:ilvl w:val="0"/>
                <w:numId w:val="4"/>
              </w:numPr>
              <w:spacing w:after="120"/>
              <w:rPr>
                <w:lang w:val="en-AU"/>
              </w:rPr>
            </w:pPr>
            <w:r w:rsidRPr="00083C9D">
              <w:rPr>
                <w:lang w:val="en-AU"/>
              </w:rPr>
              <w:t>… more likely than men to experience violence by a partner (17% or 1.6 million women, compared to 6.1% or 547,600 of men. ABS, 2017).</w:t>
            </w:r>
          </w:p>
          <w:p w14:paraId="4FFF3329" w14:textId="340726CE" w:rsidR="00F13768" w:rsidRPr="00083C9D" w:rsidRDefault="00F13768" w:rsidP="00F13768">
            <w:pPr>
              <w:numPr>
                <w:ilvl w:val="0"/>
                <w:numId w:val="4"/>
              </w:numPr>
              <w:spacing w:after="120"/>
              <w:rPr>
                <w:lang w:val="en-AU"/>
              </w:rPr>
            </w:pPr>
            <w:r w:rsidRPr="00083C9D">
              <w:rPr>
                <w:lang w:val="en-AU"/>
              </w:rPr>
              <w:t>… more likely than men to experience sexual assault (17% or 1.6 million women, compared to 4.3% or 384,800 men. ABS, 2017).</w:t>
            </w:r>
          </w:p>
          <w:p w14:paraId="0C5A8A9B" w14:textId="407A6F28" w:rsidR="00F13768" w:rsidRPr="00083C9D" w:rsidRDefault="00F13768" w:rsidP="00F13768">
            <w:pPr>
              <w:numPr>
                <w:ilvl w:val="0"/>
                <w:numId w:val="4"/>
              </w:numPr>
              <w:spacing w:after="120"/>
              <w:rPr>
                <w:lang w:val="en-AU"/>
              </w:rPr>
            </w:pPr>
            <w:r w:rsidRPr="00083C9D">
              <w:rPr>
                <w:lang w:val="en-AU"/>
              </w:rPr>
              <w:t>… most likely to experience physical assault in their home (for their most recent incident, 65% or 689,000 women. ABS, 2017).</w:t>
            </w:r>
          </w:p>
          <w:p w14:paraId="08842691" w14:textId="17F4F4B0" w:rsidR="00F13768" w:rsidRPr="00083C9D" w:rsidRDefault="00F13768" w:rsidP="00F13768">
            <w:pPr>
              <w:numPr>
                <w:ilvl w:val="0"/>
                <w:numId w:val="4"/>
              </w:numPr>
              <w:spacing w:after="120"/>
              <w:rPr>
                <w:lang w:val="en-AU"/>
              </w:rPr>
            </w:pPr>
            <w:r w:rsidRPr="00083C9D">
              <w:rPr>
                <w:lang w:val="en-AU"/>
              </w:rPr>
              <w:t xml:space="preserve">… more likely than men to be killed by an intimate partner (79% or 99 of a total of 126 people killed by an intimate partner were women. Bryant &amp; </w:t>
            </w:r>
            <w:r w:rsidRPr="00083C9D">
              <w:rPr>
                <w:lang w:val="en-AU"/>
              </w:rPr>
              <w:br/>
            </w:r>
            <w:proofErr w:type="spellStart"/>
            <w:r w:rsidRPr="00083C9D">
              <w:rPr>
                <w:lang w:val="en-AU"/>
              </w:rPr>
              <w:t>Bricknell</w:t>
            </w:r>
            <w:proofErr w:type="spellEnd"/>
            <w:r w:rsidRPr="00083C9D">
              <w:rPr>
                <w:lang w:val="en-AU"/>
              </w:rPr>
              <w:t>, 2017).</w:t>
            </w:r>
          </w:p>
          <w:p w14:paraId="13AB9F4D" w14:textId="716AE279" w:rsidR="00F13768" w:rsidRPr="00083C9D" w:rsidRDefault="00673A07" w:rsidP="00EE1AB1">
            <w:pPr>
              <w:pStyle w:val="NormalWeb"/>
              <w:spacing w:before="240" w:beforeAutospacing="0" w:after="120" w:afterAutospacing="0"/>
            </w:pPr>
            <w:r w:rsidRPr="00083C9D">
              <w:rPr>
                <w:noProof/>
              </w:rPr>
              <w:drawing>
                <wp:inline distT="0" distB="0" distL="0" distR="0" wp14:anchorId="2C7F2755" wp14:editId="091C3BB5">
                  <wp:extent cx="360000" cy="333223"/>
                  <wp:effectExtent l="0" t="0" r="2540" b="0"/>
                  <wp:docPr id="25" name="Picture 2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i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33223"/>
                          </a:xfrm>
                          <a:prstGeom prst="rect">
                            <a:avLst/>
                          </a:prstGeom>
                          <a:noFill/>
                          <a:ln>
                            <a:noFill/>
                          </a:ln>
                        </pic:spPr>
                      </pic:pic>
                    </a:graphicData>
                  </a:graphic>
                </wp:inline>
              </w:drawing>
            </w:r>
          </w:p>
        </w:tc>
        <w:tc>
          <w:tcPr>
            <w:tcW w:w="4869" w:type="dxa"/>
          </w:tcPr>
          <w:p w14:paraId="5D3CCB17" w14:textId="77777777" w:rsidR="00F13768" w:rsidRPr="00083C9D" w:rsidRDefault="00F13768" w:rsidP="00673A07">
            <w:pPr>
              <w:pStyle w:val="NormalWeb"/>
              <w:spacing w:before="120" w:beforeAutospacing="0" w:after="120" w:afterAutospacing="0"/>
              <w:ind w:left="113" w:right="113"/>
            </w:pPr>
            <w:r w:rsidRPr="00083C9D">
              <w:t xml:space="preserve">Women are more likely than men to experience violence. </w:t>
            </w:r>
          </w:p>
          <w:p w14:paraId="004827AC" w14:textId="77777777" w:rsidR="00F13768" w:rsidRPr="00083C9D" w:rsidRDefault="00F13768" w:rsidP="00673A07">
            <w:pPr>
              <w:pStyle w:val="NormalWeb"/>
              <w:spacing w:before="120" w:beforeAutospacing="0" w:after="120" w:afterAutospacing="0"/>
              <w:ind w:left="113" w:right="113"/>
            </w:pPr>
            <w:r w:rsidRPr="00083C9D">
              <w:t>(This is inaccurate because one in two men, compared to one in three women, experience violence perpetrated by anyone, irrespective of the relationship. ABS, 2017)</w:t>
            </w:r>
          </w:p>
          <w:p w14:paraId="3A0AF8F5" w14:textId="25E6AE3D" w:rsidR="00F13768" w:rsidRPr="00083C9D" w:rsidRDefault="00673A07" w:rsidP="00EE1AB1">
            <w:pPr>
              <w:pStyle w:val="NormalWeb"/>
              <w:spacing w:before="240" w:beforeAutospacing="0" w:after="120" w:afterAutospacing="0"/>
              <w:ind w:left="113" w:right="113"/>
            </w:pPr>
            <w:r w:rsidRPr="00083C9D">
              <w:rPr>
                <w:noProof/>
              </w:rPr>
              <w:drawing>
                <wp:inline distT="0" distB="0" distL="0" distR="0" wp14:anchorId="1DB71522" wp14:editId="290B5AA8">
                  <wp:extent cx="360000" cy="360000"/>
                  <wp:effectExtent l="0" t="0" r="2540" b="2540"/>
                  <wp:docPr id="27" name="Picture 27"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ro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bl>
    <w:p w14:paraId="0D4BEEC3" w14:textId="514C74D8" w:rsidR="00334E4E" w:rsidRPr="00083C9D" w:rsidRDefault="00334E4E" w:rsidP="00334E4E">
      <w:pPr>
        <w:pStyle w:val="Heading1"/>
        <w:rPr>
          <w:lang w:val="en-AU"/>
        </w:rPr>
      </w:pPr>
      <w:r w:rsidRPr="00083C9D">
        <w:rPr>
          <w:lang w:val="en-AU"/>
        </w:rPr>
        <w:lastRenderedPageBreak/>
        <w:t>Useful statistics</w:t>
      </w:r>
    </w:p>
    <w:p w14:paraId="7D2B5410" w14:textId="20384140" w:rsidR="00CC20F9" w:rsidRPr="00083C9D" w:rsidRDefault="00CC20F9" w:rsidP="00CC20F9">
      <w:pPr>
        <w:pStyle w:val="Heading2"/>
        <w:rPr>
          <w:lang w:val="en-AU"/>
        </w:rPr>
      </w:pPr>
      <w:r w:rsidRPr="00083C9D">
        <w:rPr>
          <w:lang w:val="en-AU"/>
        </w:rPr>
        <w:t>Prevalence</w:t>
      </w:r>
    </w:p>
    <w:p w14:paraId="74CEF870" w14:textId="77777777" w:rsidR="00CC20F9" w:rsidRPr="00083C9D" w:rsidRDefault="00CC20F9" w:rsidP="00083C9D">
      <w:pPr>
        <w:pStyle w:val="Heading3"/>
        <w:spacing w:before="240"/>
        <w:rPr>
          <w:lang w:val="en-AU"/>
        </w:rPr>
      </w:pPr>
      <w:r w:rsidRPr="00083C9D">
        <w:rPr>
          <w:lang w:val="en-AU"/>
        </w:rPr>
        <w:t>Violence against women is a widespread problem in Australia.</w:t>
      </w:r>
    </w:p>
    <w:p w14:paraId="431DD114" w14:textId="77777777" w:rsidR="00CC20F9" w:rsidRPr="00083C9D" w:rsidRDefault="00CC20F9" w:rsidP="00CC20F9">
      <w:pPr>
        <w:rPr>
          <w:lang w:val="en-AU"/>
        </w:rPr>
      </w:pPr>
      <w:r w:rsidRPr="00083C9D">
        <w:rPr>
          <w:lang w:val="en-AU"/>
        </w:rPr>
        <w:t>Source: 2016 Personal Safety Survey (ABS, 2017)</w:t>
      </w:r>
    </w:p>
    <w:p w14:paraId="69EAD7C9" w14:textId="77777777" w:rsidR="00CC20F9" w:rsidRPr="00083C9D" w:rsidRDefault="00CC20F9" w:rsidP="00CC20F9">
      <w:pPr>
        <w:rPr>
          <w:b/>
          <w:bCs/>
          <w:lang w:val="en-AU"/>
        </w:rPr>
      </w:pPr>
      <w:r w:rsidRPr="00083C9D">
        <w:rPr>
          <w:b/>
          <w:bCs/>
          <w:lang w:val="en-AU"/>
        </w:rPr>
        <w:t>Since the age of 15:</w:t>
      </w:r>
    </w:p>
    <w:p w14:paraId="71652CF5" w14:textId="41D8E3B8" w:rsidR="00CC20F9" w:rsidRPr="00083C9D" w:rsidRDefault="00CC20F9" w:rsidP="00CC20F9">
      <w:pPr>
        <w:pStyle w:val="ListParagraph"/>
        <w:rPr>
          <w:lang w:val="en-AU"/>
        </w:rPr>
      </w:pPr>
      <w:r w:rsidRPr="00083C9D">
        <w:rPr>
          <w:lang w:val="en-AU"/>
        </w:rPr>
        <w:t xml:space="preserve">Approximately one in four women (23% or 2.2 million) has </w:t>
      </w:r>
      <w:r w:rsidRPr="00083C9D">
        <w:rPr>
          <w:b/>
          <w:bCs/>
          <w:lang w:val="en-AU"/>
        </w:rPr>
        <w:t xml:space="preserve">experienced at least one incident of violence by an </w:t>
      </w:r>
      <w:r w:rsidRPr="00083C9D">
        <w:rPr>
          <w:b/>
          <w:bCs/>
          <w:i/>
          <w:iCs/>
          <w:lang w:val="en-AU"/>
        </w:rPr>
        <w:t>intimate partner</w:t>
      </w:r>
      <w:r w:rsidRPr="00083C9D">
        <w:rPr>
          <w:lang w:val="en-AU"/>
        </w:rPr>
        <w:t xml:space="preserve"> (intimate partner = a current or previous partner with whom the respondent lives or has lived, or a current or former boyfriend, </w:t>
      </w:r>
      <w:proofErr w:type="gramStart"/>
      <w:r w:rsidRPr="00083C9D">
        <w:rPr>
          <w:lang w:val="en-AU"/>
        </w:rPr>
        <w:t>girlfriend</w:t>
      </w:r>
      <w:proofErr w:type="gramEnd"/>
      <w:r w:rsidRPr="00083C9D">
        <w:rPr>
          <w:lang w:val="en-AU"/>
        </w:rPr>
        <w:t xml:space="preserve"> or date with whom the respondent has not lived with).</w:t>
      </w:r>
    </w:p>
    <w:p w14:paraId="517AA545" w14:textId="25FC6210" w:rsidR="00CC20F9" w:rsidRPr="00083C9D" w:rsidRDefault="00CC20F9" w:rsidP="00CC20F9">
      <w:pPr>
        <w:pStyle w:val="ListParagraph"/>
        <w:rPr>
          <w:lang w:val="en-AU"/>
        </w:rPr>
      </w:pPr>
      <w:r w:rsidRPr="00083C9D">
        <w:rPr>
          <w:b/>
          <w:bCs/>
          <w:lang w:val="en-AU"/>
        </w:rPr>
        <w:t>One in six women</w:t>
      </w:r>
      <w:r w:rsidRPr="00083C9D">
        <w:rPr>
          <w:lang w:val="en-AU"/>
        </w:rPr>
        <w:t xml:space="preserve"> (17% or 1.6 million) has </w:t>
      </w:r>
      <w:r w:rsidRPr="00083C9D">
        <w:rPr>
          <w:b/>
          <w:bCs/>
          <w:lang w:val="en-AU"/>
        </w:rPr>
        <w:t xml:space="preserve">experienced at least one incident of violence by a </w:t>
      </w:r>
      <w:r w:rsidRPr="00083C9D">
        <w:rPr>
          <w:b/>
          <w:bCs/>
          <w:i/>
          <w:iCs/>
          <w:lang w:val="en-AU"/>
        </w:rPr>
        <w:t>partner</w:t>
      </w:r>
      <w:r w:rsidRPr="00083C9D">
        <w:rPr>
          <w:lang w:val="en-AU"/>
        </w:rPr>
        <w:t xml:space="preserve"> (partner = a person whom the respondent lives with, or lived with at some point, in a married or de facto relationship).</w:t>
      </w:r>
    </w:p>
    <w:p w14:paraId="6923220E" w14:textId="752E5422" w:rsidR="00CC20F9" w:rsidRPr="00083C9D" w:rsidRDefault="00CC20F9" w:rsidP="00CC20F9">
      <w:pPr>
        <w:pStyle w:val="ListParagraph"/>
        <w:rPr>
          <w:lang w:val="en-AU"/>
        </w:rPr>
      </w:pPr>
      <w:r w:rsidRPr="00083C9D">
        <w:rPr>
          <w:b/>
          <w:bCs/>
          <w:lang w:val="en-AU"/>
        </w:rPr>
        <w:t>Three in ten women</w:t>
      </w:r>
      <w:r w:rsidRPr="00083C9D">
        <w:rPr>
          <w:lang w:val="en-AU"/>
        </w:rPr>
        <w:t xml:space="preserve"> (30.5% or 2.85 million) have </w:t>
      </w:r>
      <w:r w:rsidRPr="00083C9D">
        <w:rPr>
          <w:b/>
          <w:bCs/>
          <w:lang w:val="en-AU"/>
        </w:rPr>
        <w:t>experienced physical violence</w:t>
      </w:r>
      <w:r w:rsidRPr="00083C9D">
        <w:rPr>
          <w:lang w:val="en-AU"/>
        </w:rPr>
        <w:t xml:space="preserve"> (perpetrated by another person, irrespective of the type of relationship).</w:t>
      </w:r>
    </w:p>
    <w:p w14:paraId="03DE52B3" w14:textId="02E4F71C" w:rsidR="00CC20F9" w:rsidRPr="00083C9D" w:rsidRDefault="00CC20F9" w:rsidP="00CC20F9">
      <w:pPr>
        <w:pStyle w:val="ListParagraph"/>
        <w:rPr>
          <w:lang w:val="en-AU"/>
        </w:rPr>
      </w:pPr>
      <w:r w:rsidRPr="00083C9D">
        <w:rPr>
          <w:b/>
          <w:bCs/>
          <w:lang w:val="en-AU"/>
        </w:rPr>
        <w:t>Approximately one in five women</w:t>
      </w:r>
      <w:r w:rsidRPr="00083C9D">
        <w:rPr>
          <w:lang w:val="en-AU"/>
        </w:rPr>
        <w:t xml:space="preserve"> (18% or 1.7 million) has </w:t>
      </w:r>
      <w:r w:rsidRPr="00083C9D">
        <w:rPr>
          <w:b/>
          <w:bCs/>
          <w:lang w:val="en-AU"/>
        </w:rPr>
        <w:t>experienced sexual violence</w:t>
      </w:r>
      <w:r w:rsidRPr="00083C9D">
        <w:rPr>
          <w:lang w:val="en-AU"/>
        </w:rPr>
        <w:t xml:space="preserve"> (the occurrence, attempt or threat of sexual assault).</w:t>
      </w:r>
    </w:p>
    <w:p w14:paraId="031747D1" w14:textId="0D701A93" w:rsidR="00CC20F9" w:rsidRPr="00083C9D" w:rsidRDefault="00CC20F9" w:rsidP="00CC20F9">
      <w:pPr>
        <w:pStyle w:val="ListParagraph"/>
        <w:rPr>
          <w:lang w:val="en-AU"/>
        </w:rPr>
      </w:pPr>
      <w:r w:rsidRPr="00083C9D">
        <w:rPr>
          <w:b/>
          <w:bCs/>
          <w:lang w:val="en-AU"/>
        </w:rPr>
        <w:t>One in six women</w:t>
      </w:r>
      <w:r w:rsidRPr="00083C9D">
        <w:rPr>
          <w:lang w:val="en-AU"/>
        </w:rPr>
        <w:t xml:space="preserve"> (17% or 1.6 million) has </w:t>
      </w:r>
      <w:r w:rsidRPr="00083C9D">
        <w:rPr>
          <w:b/>
          <w:bCs/>
          <w:lang w:val="en-AU"/>
        </w:rPr>
        <w:t>experienced an episode of stalking</w:t>
      </w:r>
      <w:r w:rsidRPr="00083C9D">
        <w:rPr>
          <w:lang w:val="en-AU"/>
        </w:rPr>
        <w:t xml:space="preserve"> (any unwanted contact or attention on more than one occasion, or multiple types of unwanted contact or behaviour experienced on one occasion, that could have caused fear or distress).</w:t>
      </w:r>
    </w:p>
    <w:p w14:paraId="2F2AC58A" w14:textId="55733BD7" w:rsidR="00CC20F9" w:rsidRPr="00083C9D" w:rsidRDefault="00CC20F9" w:rsidP="00CC20F9">
      <w:pPr>
        <w:pStyle w:val="ListParagraph"/>
        <w:rPr>
          <w:lang w:val="en-AU"/>
        </w:rPr>
      </w:pPr>
      <w:r w:rsidRPr="00083C9D">
        <w:rPr>
          <w:b/>
          <w:bCs/>
          <w:lang w:val="en-AU"/>
        </w:rPr>
        <w:t>Approximately one in four women</w:t>
      </w:r>
      <w:r w:rsidRPr="00083C9D">
        <w:rPr>
          <w:lang w:val="en-AU"/>
        </w:rPr>
        <w:t xml:space="preserve"> (23% or 2.2 million) has </w:t>
      </w:r>
      <w:r w:rsidRPr="00083C9D">
        <w:rPr>
          <w:b/>
          <w:bCs/>
          <w:lang w:val="en-AU"/>
        </w:rPr>
        <w:t>experienced emotional abuse by a partner</w:t>
      </w:r>
      <w:r w:rsidRPr="00083C9D">
        <w:rPr>
          <w:lang w:val="en-AU"/>
        </w:rPr>
        <w:t>.</w:t>
      </w:r>
    </w:p>
    <w:p w14:paraId="16E903D9" w14:textId="77777777" w:rsidR="00CC20F9" w:rsidRPr="00083C9D" w:rsidRDefault="00CC20F9" w:rsidP="00CC20F9">
      <w:pPr>
        <w:rPr>
          <w:b/>
          <w:bCs/>
          <w:lang w:val="en-AU"/>
        </w:rPr>
      </w:pPr>
      <w:r w:rsidRPr="00083C9D">
        <w:rPr>
          <w:b/>
          <w:bCs/>
          <w:lang w:val="en-AU"/>
        </w:rPr>
        <w:t>Across their lifetime:</w:t>
      </w:r>
    </w:p>
    <w:p w14:paraId="292BEB79" w14:textId="1DE4288B" w:rsidR="00CC20F9" w:rsidRPr="00083C9D" w:rsidRDefault="00CC20F9" w:rsidP="00CC20F9">
      <w:pPr>
        <w:pStyle w:val="ListParagraph"/>
        <w:rPr>
          <w:lang w:val="en-AU"/>
        </w:rPr>
      </w:pPr>
      <w:r w:rsidRPr="00083C9D">
        <w:rPr>
          <w:b/>
          <w:bCs/>
          <w:lang w:val="en-AU"/>
        </w:rPr>
        <w:t>One in two women</w:t>
      </w:r>
      <w:r w:rsidRPr="00083C9D">
        <w:rPr>
          <w:lang w:val="en-AU"/>
        </w:rPr>
        <w:t xml:space="preserve"> (53% or 5 million) has </w:t>
      </w:r>
      <w:r w:rsidRPr="00083C9D">
        <w:rPr>
          <w:b/>
          <w:bCs/>
          <w:lang w:val="en-AU"/>
        </w:rPr>
        <w:t>experienced sexual harassment</w:t>
      </w:r>
      <w:r w:rsidRPr="00083C9D">
        <w:rPr>
          <w:lang w:val="en-AU"/>
        </w:rPr>
        <w:t xml:space="preserve"> (experienced or has been subjected to one or more selected behaviours which they found improper or unwanted, which made them feel uncomfortable, and/or were offensive due to their sexual nature).</w:t>
      </w:r>
    </w:p>
    <w:p w14:paraId="4C6FC7BE" w14:textId="77777777" w:rsidR="00CC20F9" w:rsidRPr="00083C9D" w:rsidRDefault="00CC20F9" w:rsidP="00083C9D">
      <w:pPr>
        <w:pStyle w:val="Heading3"/>
        <w:spacing w:before="240"/>
        <w:rPr>
          <w:lang w:val="en-AU"/>
        </w:rPr>
      </w:pPr>
      <w:r w:rsidRPr="00083C9D">
        <w:rPr>
          <w:lang w:val="en-AU"/>
        </w:rPr>
        <w:t>Compared to men, women are at greater risk of physical and sexual violence by a partner.</w:t>
      </w:r>
    </w:p>
    <w:p w14:paraId="774E9757" w14:textId="77777777" w:rsidR="00CC20F9" w:rsidRPr="00083C9D" w:rsidRDefault="00CC20F9" w:rsidP="00CC20F9">
      <w:pPr>
        <w:rPr>
          <w:lang w:val="en-AU"/>
        </w:rPr>
      </w:pPr>
      <w:r w:rsidRPr="00083C9D">
        <w:rPr>
          <w:lang w:val="en-AU"/>
        </w:rPr>
        <w:t>Source: 2016 Personal Safety Survey (ABS, 2017)</w:t>
      </w:r>
    </w:p>
    <w:p w14:paraId="1D10E436" w14:textId="77777777" w:rsidR="00CC20F9" w:rsidRPr="00083C9D" w:rsidRDefault="00CC20F9" w:rsidP="00CC20F9">
      <w:pPr>
        <w:rPr>
          <w:b/>
          <w:bCs/>
          <w:lang w:val="en-AU"/>
        </w:rPr>
      </w:pPr>
      <w:r w:rsidRPr="00083C9D">
        <w:rPr>
          <w:b/>
          <w:bCs/>
          <w:lang w:val="en-AU"/>
        </w:rPr>
        <w:t>Since the age of 15:</w:t>
      </w:r>
    </w:p>
    <w:p w14:paraId="2C0FABFB" w14:textId="6070AA93" w:rsidR="00CC20F9" w:rsidRPr="00083C9D" w:rsidRDefault="00CC20F9" w:rsidP="00CC20F9">
      <w:pPr>
        <w:pStyle w:val="ListParagraph"/>
        <w:rPr>
          <w:lang w:val="en-AU"/>
        </w:rPr>
      </w:pPr>
      <w:r w:rsidRPr="00083C9D">
        <w:rPr>
          <w:lang w:val="en-AU"/>
        </w:rPr>
        <w:t xml:space="preserve">Approximately one in four women (23% or 2.2 million) compared to one in thirteen men (7.8% or 703,700) has experienced at least one incident of violence by an intimate partner. </w:t>
      </w:r>
    </w:p>
    <w:p w14:paraId="70459725" w14:textId="77777777" w:rsidR="00CC20F9" w:rsidRPr="00083C9D" w:rsidRDefault="00CC20F9" w:rsidP="00CC20F9">
      <w:pPr>
        <w:rPr>
          <w:b/>
          <w:bCs/>
          <w:lang w:val="en-AU"/>
        </w:rPr>
      </w:pPr>
      <w:r w:rsidRPr="00083C9D">
        <w:rPr>
          <w:b/>
          <w:bCs/>
          <w:lang w:val="en-AU"/>
        </w:rPr>
        <w:t>Since the age of 15:</w:t>
      </w:r>
    </w:p>
    <w:p w14:paraId="38C453EA" w14:textId="64E21C5C" w:rsidR="00CC20F9" w:rsidRPr="00083C9D" w:rsidRDefault="00CC20F9" w:rsidP="00CC20F9">
      <w:pPr>
        <w:pStyle w:val="ListParagraph"/>
        <w:rPr>
          <w:lang w:val="en-AU"/>
        </w:rPr>
      </w:pPr>
      <w:r w:rsidRPr="00083C9D">
        <w:rPr>
          <w:b/>
          <w:bCs/>
          <w:lang w:val="en-AU"/>
        </w:rPr>
        <w:t>One in six women</w:t>
      </w:r>
      <w:r w:rsidRPr="00083C9D">
        <w:rPr>
          <w:lang w:val="en-AU"/>
        </w:rPr>
        <w:t xml:space="preserve"> (17% or 1.6 million) compared to one in sixteen men (6.1% or 547,600) has </w:t>
      </w:r>
      <w:r w:rsidRPr="00083C9D">
        <w:rPr>
          <w:b/>
          <w:bCs/>
          <w:lang w:val="en-AU"/>
        </w:rPr>
        <w:t>experienced at least one incident of violence by a partner</w:t>
      </w:r>
      <w:r w:rsidRPr="00083C9D">
        <w:rPr>
          <w:lang w:val="en-AU"/>
        </w:rPr>
        <w:t xml:space="preserve">. </w:t>
      </w:r>
    </w:p>
    <w:p w14:paraId="052B6CA2" w14:textId="26C63629" w:rsidR="00CC20F9" w:rsidRPr="00083C9D" w:rsidRDefault="00CC20F9" w:rsidP="00CC20F9">
      <w:pPr>
        <w:pStyle w:val="ListParagraph"/>
        <w:rPr>
          <w:lang w:val="en-AU"/>
        </w:rPr>
      </w:pPr>
      <w:r w:rsidRPr="00083C9D">
        <w:rPr>
          <w:b/>
          <w:bCs/>
          <w:lang w:val="en-AU"/>
        </w:rPr>
        <w:t>Women accounted for three-quarters of the people</w:t>
      </w:r>
      <w:r w:rsidRPr="00083C9D">
        <w:rPr>
          <w:lang w:val="en-AU"/>
        </w:rPr>
        <w:t xml:space="preserve"> (17.3% or 1,625,000) who </w:t>
      </w:r>
      <w:r w:rsidRPr="00083C9D">
        <w:rPr>
          <w:b/>
          <w:bCs/>
          <w:lang w:val="en-AU"/>
        </w:rPr>
        <w:t>experienced intimate partner violence since the age of 15</w:t>
      </w:r>
      <w:r w:rsidRPr="00083C9D">
        <w:rPr>
          <w:lang w:val="en-AU"/>
        </w:rPr>
        <w:t>, compared to men who accounted for one-quarter (6.1% or 547,600) of those people.</w:t>
      </w:r>
    </w:p>
    <w:p w14:paraId="54F42D91" w14:textId="37B7F997" w:rsidR="00CC20F9" w:rsidRPr="00083C9D" w:rsidRDefault="00CC20F9" w:rsidP="00CC20F9">
      <w:pPr>
        <w:pStyle w:val="ListParagraph"/>
        <w:rPr>
          <w:lang w:val="en-AU"/>
        </w:rPr>
      </w:pPr>
      <w:r w:rsidRPr="00083C9D">
        <w:rPr>
          <w:b/>
          <w:bCs/>
          <w:lang w:val="en-AU"/>
        </w:rPr>
        <w:t>Approximately one in five women</w:t>
      </w:r>
      <w:r w:rsidRPr="00083C9D">
        <w:rPr>
          <w:lang w:val="en-AU"/>
        </w:rPr>
        <w:t xml:space="preserve"> (18% or 1.7 million) compared to one in twenty men (4.7% or 428,800) has </w:t>
      </w:r>
      <w:r w:rsidRPr="00083C9D">
        <w:rPr>
          <w:b/>
          <w:bCs/>
          <w:lang w:val="en-AU"/>
        </w:rPr>
        <w:t>experienced sexual violence</w:t>
      </w:r>
      <w:r w:rsidRPr="00083C9D">
        <w:rPr>
          <w:lang w:val="en-AU"/>
        </w:rPr>
        <w:t>.</w:t>
      </w:r>
    </w:p>
    <w:p w14:paraId="0F03E544" w14:textId="77777777" w:rsidR="00CC20F9" w:rsidRPr="00083C9D" w:rsidRDefault="00CC20F9" w:rsidP="00CC20F9">
      <w:pPr>
        <w:pStyle w:val="Heading3"/>
        <w:rPr>
          <w:lang w:val="en-AU"/>
        </w:rPr>
      </w:pPr>
      <w:r w:rsidRPr="00083C9D">
        <w:rPr>
          <w:lang w:val="en-AU"/>
        </w:rPr>
        <w:lastRenderedPageBreak/>
        <w:t>On average one woman a week in Australia is killed by an intimate partner.</w:t>
      </w:r>
    </w:p>
    <w:p w14:paraId="5FC09BD6" w14:textId="27EEEC53" w:rsidR="00CC20F9" w:rsidRPr="00083C9D" w:rsidRDefault="00CC20F9" w:rsidP="00CC20F9">
      <w:pPr>
        <w:rPr>
          <w:lang w:val="en-AU"/>
        </w:rPr>
      </w:pPr>
      <w:r w:rsidRPr="00083C9D">
        <w:rPr>
          <w:lang w:val="en-AU"/>
        </w:rPr>
        <w:t>Source: Australian Institute of Criminology National Homicide Monitoring Program (</w:t>
      </w:r>
      <w:proofErr w:type="spellStart"/>
      <w:r w:rsidRPr="00083C9D">
        <w:rPr>
          <w:lang w:val="en-AU"/>
        </w:rPr>
        <w:t>Cussen</w:t>
      </w:r>
      <w:proofErr w:type="spellEnd"/>
      <w:r w:rsidRPr="00083C9D">
        <w:rPr>
          <w:lang w:val="en-AU"/>
        </w:rPr>
        <w:t xml:space="preserve"> &amp; Bryant, 2015).</w:t>
      </w:r>
    </w:p>
    <w:p w14:paraId="7B273EB3" w14:textId="77777777" w:rsidR="00CC20F9" w:rsidRPr="00083C9D" w:rsidRDefault="00CC20F9" w:rsidP="00CC20F9">
      <w:pPr>
        <w:rPr>
          <w:lang w:val="en-AU"/>
        </w:rPr>
      </w:pPr>
      <w:r w:rsidRPr="00083C9D">
        <w:rPr>
          <w:b/>
          <w:bCs/>
          <w:lang w:val="en-AU"/>
        </w:rPr>
        <w:t>In the 10 years from mid-2002 to mid-2012</w:t>
      </w:r>
      <w:r w:rsidRPr="00083C9D">
        <w:rPr>
          <w:lang w:val="en-AU"/>
        </w:rPr>
        <w:t>:</w:t>
      </w:r>
    </w:p>
    <w:p w14:paraId="2B9D50B0" w14:textId="04D28C8E" w:rsidR="00CC20F9" w:rsidRPr="00083C9D" w:rsidRDefault="00CC20F9" w:rsidP="00CC20F9">
      <w:pPr>
        <w:pStyle w:val="ListParagraph"/>
        <w:rPr>
          <w:lang w:val="en-AU"/>
        </w:rPr>
      </w:pPr>
      <w:r w:rsidRPr="00083C9D">
        <w:rPr>
          <w:b/>
          <w:bCs/>
          <w:lang w:val="en-AU"/>
        </w:rPr>
        <w:t>488 women</w:t>
      </w:r>
      <w:r w:rsidRPr="00083C9D">
        <w:rPr>
          <w:lang w:val="en-AU"/>
        </w:rPr>
        <w:t xml:space="preserve"> in Australia </w:t>
      </w:r>
      <w:r w:rsidRPr="00083C9D">
        <w:rPr>
          <w:b/>
          <w:bCs/>
          <w:lang w:val="en-AU"/>
        </w:rPr>
        <w:t>were killed by an intimate partner</w:t>
      </w:r>
      <w:r w:rsidRPr="00083C9D">
        <w:rPr>
          <w:lang w:val="en-AU"/>
        </w:rPr>
        <w:t>.</w:t>
      </w:r>
    </w:p>
    <w:p w14:paraId="4D2D4CEC" w14:textId="31D0C16A" w:rsidR="00CC20F9" w:rsidRPr="00083C9D" w:rsidRDefault="00CC20F9" w:rsidP="00CC20F9">
      <w:pPr>
        <w:pStyle w:val="ListParagraph"/>
        <w:rPr>
          <w:lang w:val="en-AU"/>
        </w:rPr>
      </w:pPr>
      <w:r w:rsidRPr="00083C9D">
        <w:rPr>
          <w:b/>
          <w:bCs/>
          <w:lang w:val="en-AU"/>
        </w:rPr>
        <w:t>75 percent</w:t>
      </w:r>
      <w:r w:rsidRPr="00083C9D">
        <w:rPr>
          <w:lang w:val="en-AU"/>
        </w:rPr>
        <w:t xml:space="preserve"> (488) </w:t>
      </w:r>
      <w:r w:rsidRPr="00083C9D">
        <w:rPr>
          <w:b/>
          <w:bCs/>
          <w:lang w:val="en-AU"/>
        </w:rPr>
        <w:t>of total victims</w:t>
      </w:r>
      <w:r w:rsidRPr="00083C9D">
        <w:rPr>
          <w:lang w:val="en-AU"/>
        </w:rPr>
        <w:t xml:space="preserve"> (654) </w:t>
      </w:r>
      <w:r w:rsidRPr="00083C9D">
        <w:rPr>
          <w:b/>
          <w:bCs/>
          <w:lang w:val="en-AU"/>
        </w:rPr>
        <w:t>killed by an intimate partner were women</w:t>
      </w:r>
      <w:r w:rsidRPr="00083C9D">
        <w:rPr>
          <w:lang w:val="en-AU"/>
        </w:rPr>
        <w:t>.</w:t>
      </w:r>
    </w:p>
    <w:p w14:paraId="63E1C487" w14:textId="3098D201" w:rsidR="00CC20F9" w:rsidRPr="00083C9D" w:rsidRDefault="00CC20F9" w:rsidP="00CC20F9">
      <w:pPr>
        <w:rPr>
          <w:lang w:val="en-AU"/>
        </w:rPr>
      </w:pPr>
      <w:r w:rsidRPr="00083C9D">
        <w:rPr>
          <w:lang w:val="en-AU"/>
        </w:rPr>
        <w:t xml:space="preserve">Source: Australian Institute of Criminology National Homicide Monitoring Program (Bryant &amp; </w:t>
      </w:r>
      <w:proofErr w:type="spellStart"/>
      <w:r w:rsidRPr="00083C9D">
        <w:rPr>
          <w:lang w:val="en-AU"/>
        </w:rPr>
        <w:t>Bricknell</w:t>
      </w:r>
      <w:proofErr w:type="spellEnd"/>
      <w:r w:rsidRPr="00083C9D">
        <w:rPr>
          <w:lang w:val="en-AU"/>
        </w:rPr>
        <w:t>, 2017).</w:t>
      </w:r>
    </w:p>
    <w:p w14:paraId="673D4D00" w14:textId="77777777" w:rsidR="00CC20F9" w:rsidRPr="00083C9D" w:rsidRDefault="00CC20F9" w:rsidP="00CC20F9">
      <w:pPr>
        <w:rPr>
          <w:b/>
          <w:bCs/>
          <w:lang w:val="en-AU"/>
        </w:rPr>
      </w:pPr>
      <w:r w:rsidRPr="00083C9D">
        <w:rPr>
          <w:b/>
          <w:bCs/>
          <w:lang w:val="en-AU"/>
        </w:rPr>
        <w:t>In the two years from 1 July 2012 to 30 June 2014:</w:t>
      </w:r>
    </w:p>
    <w:p w14:paraId="35BFF0A9" w14:textId="05C05F79" w:rsidR="00CC20F9" w:rsidRPr="00083C9D" w:rsidRDefault="00CC20F9" w:rsidP="00CC20F9">
      <w:pPr>
        <w:pStyle w:val="ListParagraph"/>
        <w:rPr>
          <w:lang w:val="en-AU"/>
        </w:rPr>
      </w:pPr>
      <w:r w:rsidRPr="00083C9D">
        <w:rPr>
          <w:b/>
          <w:bCs/>
          <w:lang w:val="en-AU"/>
        </w:rPr>
        <w:t>99 women</w:t>
      </w:r>
      <w:r w:rsidRPr="00083C9D">
        <w:rPr>
          <w:lang w:val="en-AU"/>
        </w:rPr>
        <w:t xml:space="preserve"> in Australia </w:t>
      </w:r>
      <w:r w:rsidRPr="00083C9D">
        <w:rPr>
          <w:b/>
          <w:bCs/>
          <w:lang w:val="en-AU"/>
        </w:rPr>
        <w:t>were killed by an intimate partner</w:t>
      </w:r>
      <w:r w:rsidRPr="00083C9D">
        <w:rPr>
          <w:lang w:val="en-AU"/>
        </w:rPr>
        <w:t>.</w:t>
      </w:r>
    </w:p>
    <w:p w14:paraId="41820006" w14:textId="401B4E8B" w:rsidR="00CC20F9" w:rsidRPr="00083C9D" w:rsidRDefault="00CC20F9" w:rsidP="00E872D1">
      <w:pPr>
        <w:rPr>
          <w:lang w:val="en-AU"/>
        </w:rPr>
      </w:pPr>
      <w:r w:rsidRPr="00083C9D">
        <w:rPr>
          <w:b/>
          <w:bCs/>
          <w:lang w:val="en-AU"/>
        </w:rPr>
        <w:t>Approximately four in five</w:t>
      </w:r>
      <w:r w:rsidRPr="00083C9D">
        <w:rPr>
          <w:lang w:val="en-AU"/>
        </w:rPr>
        <w:t xml:space="preserve"> (79% or 99) </w:t>
      </w:r>
      <w:r w:rsidRPr="00083C9D">
        <w:rPr>
          <w:b/>
          <w:bCs/>
          <w:lang w:val="en-AU"/>
        </w:rPr>
        <w:t>of total victims</w:t>
      </w:r>
      <w:r w:rsidRPr="00083C9D">
        <w:rPr>
          <w:lang w:val="en-AU"/>
        </w:rPr>
        <w:t xml:space="preserve"> (126) </w:t>
      </w:r>
      <w:r w:rsidRPr="00083C9D">
        <w:rPr>
          <w:b/>
          <w:bCs/>
          <w:lang w:val="en-AU"/>
        </w:rPr>
        <w:t>killed by an intimate partner were women.</w:t>
      </w:r>
    </w:p>
    <w:p w14:paraId="1092911C" w14:textId="7CDBED58" w:rsidR="00334E4E" w:rsidRPr="00083C9D" w:rsidRDefault="00334E4E" w:rsidP="00CC20F9">
      <w:pPr>
        <w:pStyle w:val="Heading2"/>
        <w:spacing w:before="480"/>
        <w:rPr>
          <w:lang w:val="en-AU"/>
        </w:rPr>
      </w:pPr>
      <w:r w:rsidRPr="00083C9D">
        <w:rPr>
          <w:lang w:val="en-AU"/>
        </w:rPr>
        <w:t>Dynamics</w:t>
      </w:r>
    </w:p>
    <w:p w14:paraId="61D58B74" w14:textId="77777777" w:rsidR="00334E4E" w:rsidRPr="00083C9D" w:rsidRDefault="00334E4E" w:rsidP="00334E4E">
      <w:pPr>
        <w:pStyle w:val="Heading3"/>
        <w:rPr>
          <w:lang w:val="en-AU"/>
        </w:rPr>
      </w:pPr>
      <w:r w:rsidRPr="00083C9D">
        <w:rPr>
          <w:lang w:val="en-AU"/>
        </w:rPr>
        <w:t>Women are much more likely to experience violence by someone they know than by a stranger.</w:t>
      </w:r>
    </w:p>
    <w:p w14:paraId="5853C864" w14:textId="77777777" w:rsidR="00334E4E" w:rsidRPr="00083C9D" w:rsidRDefault="00334E4E" w:rsidP="00334E4E">
      <w:pPr>
        <w:pStyle w:val="NormalWeb"/>
      </w:pPr>
      <w:r w:rsidRPr="00083C9D">
        <w:t>Source: 2016 Personal Safety Survey (ABS, 2017)</w:t>
      </w:r>
    </w:p>
    <w:p w14:paraId="213B89B5" w14:textId="77777777" w:rsidR="00334E4E" w:rsidRPr="00083C9D" w:rsidRDefault="00334E4E" w:rsidP="00334E4E">
      <w:pPr>
        <w:numPr>
          <w:ilvl w:val="0"/>
          <w:numId w:val="10"/>
        </w:numPr>
        <w:spacing w:before="100" w:beforeAutospacing="1" w:after="100" w:afterAutospacing="1" w:line="240" w:lineRule="auto"/>
        <w:rPr>
          <w:lang w:val="en-AU"/>
        </w:rPr>
      </w:pPr>
      <w:r w:rsidRPr="00083C9D">
        <w:rPr>
          <w:lang w:val="en-AU"/>
        </w:rPr>
        <w:t xml:space="preserve">When asked about their most recent incident of physical assault by a male, </w:t>
      </w:r>
      <w:r w:rsidRPr="00083C9D">
        <w:rPr>
          <w:rStyle w:val="Strong"/>
          <w:lang w:val="en-AU"/>
        </w:rPr>
        <w:t xml:space="preserve">just over nine out of ten women </w:t>
      </w:r>
      <w:r w:rsidRPr="00083C9D">
        <w:rPr>
          <w:lang w:val="en-AU"/>
        </w:rPr>
        <w:t>(92% or 977,600)</w:t>
      </w:r>
      <w:r w:rsidRPr="00083C9D">
        <w:rPr>
          <w:rStyle w:val="Strong"/>
          <w:lang w:val="en-AU"/>
        </w:rPr>
        <w:t xml:space="preserve"> reported they were physically assaulted by a man they know</w:t>
      </w:r>
      <w:r w:rsidRPr="00083C9D">
        <w:rPr>
          <w:lang w:val="en-AU"/>
        </w:rPr>
        <w:t xml:space="preserve">. </w:t>
      </w:r>
    </w:p>
    <w:p w14:paraId="041EB561" w14:textId="77777777" w:rsidR="00334E4E" w:rsidRPr="00083C9D" w:rsidRDefault="00334E4E" w:rsidP="00334E4E">
      <w:pPr>
        <w:numPr>
          <w:ilvl w:val="1"/>
          <w:numId w:val="10"/>
        </w:numPr>
        <w:spacing w:before="100" w:beforeAutospacing="1" w:after="100" w:afterAutospacing="1" w:line="240" w:lineRule="auto"/>
        <w:rPr>
          <w:lang w:val="en-AU"/>
        </w:rPr>
      </w:pPr>
      <w:r w:rsidRPr="00083C9D">
        <w:rPr>
          <w:lang w:val="en-AU"/>
        </w:rPr>
        <w:t>For those women,</w:t>
      </w:r>
      <w:r w:rsidRPr="00083C9D">
        <w:rPr>
          <w:rStyle w:val="Strong"/>
          <w:lang w:val="en-AU"/>
        </w:rPr>
        <w:t xml:space="preserve"> the most </w:t>
      </w:r>
      <w:proofErr w:type="gramStart"/>
      <w:r w:rsidRPr="00083C9D">
        <w:rPr>
          <w:rStyle w:val="Strong"/>
          <w:lang w:val="en-AU"/>
        </w:rPr>
        <w:t>common</w:t>
      </w:r>
      <w:proofErr w:type="gramEnd"/>
      <w:r w:rsidRPr="00083C9D">
        <w:rPr>
          <w:rStyle w:val="Strong"/>
          <w:lang w:val="en-AU"/>
        </w:rPr>
        <w:t xml:space="preserve"> known perpetrator</w:t>
      </w:r>
      <w:r w:rsidRPr="00083C9D">
        <w:rPr>
          <w:lang w:val="en-AU"/>
        </w:rPr>
        <w:t xml:space="preserve"> (42%)</w:t>
      </w:r>
      <w:r w:rsidRPr="00083C9D">
        <w:rPr>
          <w:rStyle w:val="Strong"/>
          <w:lang w:val="en-AU"/>
        </w:rPr>
        <w:t xml:space="preserve"> was a </w:t>
      </w:r>
      <w:r w:rsidRPr="00083C9D">
        <w:rPr>
          <w:b/>
          <w:bCs/>
          <w:lang w:val="en-AU"/>
        </w:rPr>
        <w:br/>
      </w:r>
      <w:r w:rsidRPr="00083C9D">
        <w:rPr>
          <w:rStyle w:val="Strong"/>
          <w:lang w:val="en-AU"/>
        </w:rPr>
        <w:t>former partner.</w:t>
      </w:r>
    </w:p>
    <w:p w14:paraId="29210ECD" w14:textId="77777777" w:rsidR="00334E4E" w:rsidRPr="00083C9D" w:rsidRDefault="00334E4E" w:rsidP="00334E4E">
      <w:pPr>
        <w:numPr>
          <w:ilvl w:val="0"/>
          <w:numId w:val="10"/>
        </w:numPr>
        <w:spacing w:before="100" w:beforeAutospacing="1" w:after="100" w:afterAutospacing="1" w:line="240" w:lineRule="auto"/>
        <w:rPr>
          <w:lang w:val="en-AU"/>
        </w:rPr>
      </w:pPr>
      <w:r w:rsidRPr="00083C9D">
        <w:rPr>
          <w:lang w:val="en-AU"/>
        </w:rPr>
        <w:t xml:space="preserve">Since the age of 15, </w:t>
      </w:r>
      <w:r w:rsidRPr="00083C9D">
        <w:rPr>
          <w:rStyle w:val="Strong"/>
          <w:lang w:val="en-AU"/>
        </w:rPr>
        <w:t>one in six women</w:t>
      </w:r>
      <w:r w:rsidRPr="00083C9D">
        <w:rPr>
          <w:lang w:val="en-AU"/>
        </w:rPr>
        <w:t xml:space="preserve"> (16% or 1.5 million) has</w:t>
      </w:r>
      <w:r w:rsidRPr="00083C9D">
        <w:rPr>
          <w:rStyle w:val="Strong"/>
          <w:lang w:val="en-AU"/>
        </w:rPr>
        <w:t xml:space="preserve"> experienced sexual violence</w:t>
      </w:r>
      <w:r w:rsidRPr="00083C9D">
        <w:rPr>
          <w:lang w:val="en-AU"/>
        </w:rPr>
        <w:t xml:space="preserve"> </w:t>
      </w:r>
      <w:r w:rsidRPr="00083C9D">
        <w:rPr>
          <w:rStyle w:val="Strong"/>
          <w:lang w:val="en-AU"/>
        </w:rPr>
        <w:t>by a male they know</w:t>
      </w:r>
      <w:r w:rsidRPr="00083C9D">
        <w:rPr>
          <w:lang w:val="en-AU"/>
        </w:rPr>
        <w:t>.</w:t>
      </w:r>
    </w:p>
    <w:p w14:paraId="744189AA" w14:textId="77777777" w:rsidR="00334E4E" w:rsidRPr="00083C9D" w:rsidRDefault="00334E4E" w:rsidP="00334E4E">
      <w:pPr>
        <w:numPr>
          <w:ilvl w:val="0"/>
          <w:numId w:val="10"/>
        </w:numPr>
        <w:spacing w:before="100" w:beforeAutospacing="1" w:after="100" w:afterAutospacing="1" w:line="240" w:lineRule="auto"/>
        <w:rPr>
          <w:lang w:val="en-AU"/>
        </w:rPr>
      </w:pPr>
      <w:r w:rsidRPr="00083C9D">
        <w:rPr>
          <w:lang w:val="en-AU"/>
        </w:rPr>
        <w:t xml:space="preserve">When asked about their most recent incident of sexual assault, </w:t>
      </w:r>
      <w:r w:rsidRPr="00083C9D">
        <w:rPr>
          <w:rStyle w:val="Strong"/>
          <w:lang w:val="en-AU"/>
        </w:rPr>
        <w:t>just under 9 out of ten women</w:t>
      </w:r>
      <w:r w:rsidRPr="00083C9D">
        <w:rPr>
          <w:lang w:val="en-AU"/>
        </w:rPr>
        <w:t xml:space="preserve"> (87% or 553,700) </w:t>
      </w:r>
      <w:r w:rsidRPr="00083C9D">
        <w:rPr>
          <w:rStyle w:val="Strong"/>
          <w:lang w:val="en-AU"/>
        </w:rPr>
        <w:t>reported they were sexually assaulted by a man they know.</w:t>
      </w:r>
    </w:p>
    <w:p w14:paraId="114B2BA2" w14:textId="77777777" w:rsidR="00334E4E" w:rsidRPr="00083C9D" w:rsidRDefault="00334E4E" w:rsidP="00CC20F9">
      <w:pPr>
        <w:numPr>
          <w:ilvl w:val="1"/>
          <w:numId w:val="10"/>
        </w:numPr>
        <w:spacing w:before="100" w:beforeAutospacing="1" w:after="100" w:afterAutospacing="1" w:line="240" w:lineRule="auto"/>
        <w:rPr>
          <w:lang w:val="en-AU"/>
        </w:rPr>
      </w:pPr>
      <w:r w:rsidRPr="00083C9D">
        <w:rPr>
          <w:lang w:val="en-AU"/>
        </w:rPr>
        <w:t xml:space="preserve">For these women, </w:t>
      </w:r>
      <w:r w:rsidRPr="00083C9D">
        <w:rPr>
          <w:rStyle w:val="Strong"/>
          <w:lang w:val="en-AU"/>
        </w:rPr>
        <w:t xml:space="preserve">the most </w:t>
      </w:r>
      <w:proofErr w:type="gramStart"/>
      <w:r w:rsidRPr="00083C9D">
        <w:rPr>
          <w:rStyle w:val="Strong"/>
          <w:lang w:val="en-AU"/>
        </w:rPr>
        <w:t>common</w:t>
      </w:r>
      <w:proofErr w:type="gramEnd"/>
      <w:r w:rsidRPr="00083C9D">
        <w:rPr>
          <w:rStyle w:val="Strong"/>
          <w:lang w:val="en-AU"/>
        </w:rPr>
        <w:t xml:space="preserve"> known perpetrator was a former partner</w:t>
      </w:r>
      <w:r w:rsidRPr="00083C9D">
        <w:rPr>
          <w:lang w:val="en-AU"/>
        </w:rPr>
        <w:t xml:space="preserve"> (26% or 163,100).</w:t>
      </w:r>
    </w:p>
    <w:p w14:paraId="0BD5967C" w14:textId="77777777" w:rsidR="00334E4E" w:rsidRPr="00083C9D" w:rsidRDefault="00334E4E" w:rsidP="00334E4E">
      <w:pPr>
        <w:pStyle w:val="Heading3"/>
        <w:rPr>
          <w:lang w:val="en-AU"/>
        </w:rPr>
      </w:pPr>
      <w:r w:rsidRPr="00083C9D">
        <w:rPr>
          <w:lang w:val="en-AU"/>
        </w:rPr>
        <w:t>Women often experience multiple incidents of violence across their lifetime.</w:t>
      </w:r>
    </w:p>
    <w:p w14:paraId="1BFAC21B" w14:textId="77777777" w:rsidR="00334E4E" w:rsidRPr="00083C9D" w:rsidRDefault="00334E4E" w:rsidP="00334E4E">
      <w:pPr>
        <w:pStyle w:val="NormalWeb"/>
      </w:pPr>
      <w:r w:rsidRPr="00083C9D">
        <w:t>Source: 2016 Personal Safety Survey (ABS, 2017)</w:t>
      </w:r>
    </w:p>
    <w:p w14:paraId="7DF53BFA" w14:textId="77777777" w:rsidR="00334E4E" w:rsidRPr="00083C9D" w:rsidRDefault="00334E4E" w:rsidP="00334E4E">
      <w:pPr>
        <w:pStyle w:val="NormalWeb"/>
      </w:pPr>
      <w:r w:rsidRPr="00083C9D">
        <w:rPr>
          <w:rStyle w:val="Strong"/>
          <w:rFonts w:eastAsiaTheme="majorEastAsia"/>
        </w:rPr>
        <w:t xml:space="preserve">Since the age of 15: </w:t>
      </w:r>
    </w:p>
    <w:p w14:paraId="440AF289" w14:textId="77777777" w:rsidR="00334E4E" w:rsidRPr="00083C9D" w:rsidRDefault="00334E4E" w:rsidP="00334E4E">
      <w:pPr>
        <w:numPr>
          <w:ilvl w:val="0"/>
          <w:numId w:val="11"/>
        </w:numPr>
        <w:spacing w:before="100" w:beforeAutospacing="1" w:after="100" w:afterAutospacing="1" w:line="240" w:lineRule="auto"/>
        <w:rPr>
          <w:lang w:val="en-AU"/>
        </w:rPr>
      </w:pPr>
      <w:r w:rsidRPr="00083C9D">
        <w:rPr>
          <w:lang w:val="en-AU"/>
        </w:rPr>
        <w:t>68 percent (931,800) of women who have experienced violence by a previous partner have experienced more than one incident of violence by that partner.</w:t>
      </w:r>
    </w:p>
    <w:p w14:paraId="73075067" w14:textId="77777777" w:rsidR="00334E4E" w:rsidRPr="00083C9D" w:rsidRDefault="00334E4E" w:rsidP="00334E4E">
      <w:pPr>
        <w:numPr>
          <w:ilvl w:val="0"/>
          <w:numId w:val="11"/>
        </w:numPr>
        <w:spacing w:before="100" w:beforeAutospacing="1" w:after="100" w:afterAutospacing="1" w:line="240" w:lineRule="auto"/>
        <w:rPr>
          <w:lang w:val="en-AU"/>
        </w:rPr>
      </w:pPr>
      <w:r w:rsidRPr="00083C9D">
        <w:rPr>
          <w:lang w:val="en-AU"/>
        </w:rPr>
        <w:t>54 percent (149,600) of women who experience violence from a current partner have experienced more than one incident of violence by that partner.</w:t>
      </w:r>
    </w:p>
    <w:p w14:paraId="7AA46910" w14:textId="77777777" w:rsidR="00334E4E" w:rsidRPr="00083C9D" w:rsidRDefault="00334E4E" w:rsidP="00334E4E">
      <w:pPr>
        <w:pStyle w:val="Heading3"/>
        <w:rPr>
          <w:lang w:val="en-AU"/>
        </w:rPr>
      </w:pPr>
      <w:r w:rsidRPr="00083C9D">
        <w:rPr>
          <w:lang w:val="en-AU"/>
        </w:rPr>
        <w:lastRenderedPageBreak/>
        <w:t>Partner violence often occurs when women are pregnant.</w:t>
      </w:r>
    </w:p>
    <w:p w14:paraId="105F8F84" w14:textId="77777777" w:rsidR="00334E4E" w:rsidRPr="00083C9D" w:rsidRDefault="00334E4E" w:rsidP="00334E4E">
      <w:pPr>
        <w:pStyle w:val="NormalWeb"/>
      </w:pPr>
      <w:r w:rsidRPr="00083C9D">
        <w:t>Source: 2016 Personal Safety Survey (ABS, 2017)</w:t>
      </w:r>
    </w:p>
    <w:p w14:paraId="3D116271" w14:textId="77777777" w:rsidR="00334E4E" w:rsidRPr="00083C9D" w:rsidRDefault="00334E4E" w:rsidP="00334E4E">
      <w:pPr>
        <w:numPr>
          <w:ilvl w:val="0"/>
          <w:numId w:val="12"/>
        </w:numPr>
        <w:spacing w:before="100" w:beforeAutospacing="1" w:after="100" w:afterAutospacing="1" w:line="240" w:lineRule="auto"/>
        <w:rPr>
          <w:lang w:val="en-AU"/>
        </w:rPr>
      </w:pPr>
      <w:r w:rsidRPr="00083C9D">
        <w:rPr>
          <w:lang w:val="en-AU"/>
        </w:rPr>
        <w:t>An estimated 187,800 women who have experienced violence by a current partner were pregnant at some stage during the relationship. Of these women, nearly one in five (18% or 34,500) experienced violence during their pregnancy.</w:t>
      </w:r>
    </w:p>
    <w:p w14:paraId="5EFA5853" w14:textId="77777777" w:rsidR="00334E4E" w:rsidRPr="00083C9D" w:rsidRDefault="00334E4E" w:rsidP="00334E4E">
      <w:pPr>
        <w:numPr>
          <w:ilvl w:val="0"/>
          <w:numId w:val="12"/>
        </w:numPr>
        <w:spacing w:before="100" w:beforeAutospacing="1" w:after="100" w:afterAutospacing="1" w:line="240" w:lineRule="auto"/>
        <w:rPr>
          <w:lang w:val="en-AU"/>
        </w:rPr>
      </w:pPr>
      <w:r w:rsidRPr="00083C9D">
        <w:rPr>
          <w:lang w:val="en-AU"/>
        </w:rPr>
        <w:t xml:space="preserve">Nearly half (48% or 325,900) of women who have experienced violence by a previous partner and who were pregnant at some point in that relationship, experienced violence during their pregnancy. </w:t>
      </w:r>
    </w:p>
    <w:p w14:paraId="451B48BC" w14:textId="083F019C" w:rsidR="00334E4E" w:rsidRPr="00083C9D" w:rsidRDefault="00334E4E" w:rsidP="00334E4E">
      <w:pPr>
        <w:pStyle w:val="Heading2"/>
        <w:rPr>
          <w:lang w:val="en-AU"/>
        </w:rPr>
      </w:pPr>
      <w:r w:rsidRPr="00083C9D">
        <w:rPr>
          <w:lang w:val="en-AU"/>
        </w:rPr>
        <w:t>Impacts</w:t>
      </w:r>
    </w:p>
    <w:p w14:paraId="42C2334E" w14:textId="77777777" w:rsidR="00334E4E" w:rsidRPr="00083C9D" w:rsidRDefault="00334E4E" w:rsidP="00334E4E">
      <w:pPr>
        <w:pStyle w:val="Heading3"/>
        <w:rPr>
          <w:lang w:val="en-AU"/>
        </w:rPr>
      </w:pPr>
      <w:r w:rsidRPr="00083C9D">
        <w:rPr>
          <w:lang w:val="en-AU"/>
        </w:rPr>
        <w:t xml:space="preserve">Intimate partner violence is the greatest health risk factor (greater than smoking, </w:t>
      </w:r>
      <w:proofErr w:type="gramStart"/>
      <w:r w:rsidRPr="00083C9D">
        <w:rPr>
          <w:lang w:val="en-AU"/>
        </w:rPr>
        <w:t>alcohol</w:t>
      </w:r>
      <w:proofErr w:type="gramEnd"/>
      <w:r w:rsidRPr="00083C9D">
        <w:rPr>
          <w:lang w:val="en-AU"/>
        </w:rPr>
        <w:t xml:space="preserve"> and obesity) for women in their reproductive years.</w:t>
      </w:r>
    </w:p>
    <w:p w14:paraId="2F371D77" w14:textId="77777777" w:rsidR="00334E4E" w:rsidRPr="00083C9D" w:rsidRDefault="00334E4E" w:rsidP="00334E4E">
      <w:pPr>
        <w:pStyle w:val="NormalWeb"/>
      </w:pPr>
      <w:r w:rsidRPr="00083C9D">
        <w:t>Source: 2011 Australian Institute of Health and Welfare Burden of Disease Study (Ayre et al. 2016; Webster, 2016)</w:t>
      </w:r>
    </w:p>
    <w:p w14:paraId="707227CF" w14:textId="77777777" w:rsidR="00334E4E" w:rsidRPr="00083C9D" w:rsidRDefault="00334E4E" w:rsidP="00334E4E">
      <w:pPr>
        <w:numPr>
          <w:ilvl w:val="0"/>
          <w:numId w:val="13"/>
        </w:numPr>
        <w:spacing w:before="100" w:beforeAutospacing="1" w:after="100" w:afterAutospacing="1" w:line="240" w:lineRule="auto"/>
        <w:rPr>
          <w:lang w:val="en-AU"/>
        </w:rPr>
      </w:pPr>
      <w:r w:rsidRPr="00083C9D">
        <w:rPr>
          <w:rStyle w:val="Strong"/>
          <w:lang w:val="en-AU"/>
        </w:rPr>
        <w:t>Intimate partner violence contributes more to the burden of disease</w:t>
      </w:r>
      <w:r w:rsidRPr="00083C9D">
        <w:rPr>
          <w:lang w:val="en-AU"/>
        </w:rPr>
        <w:t xml:space="preserve"> (the impact of illness, </w:t>
      </w:r>
      <w:proofErr w:type="gramStart"/>
      <w:r w:rsidRPr="00083C9D">
        <w:rPr>
          <w:lang w:val="en-AU"/>
        </w:rPr>
        <w:t>disability</w:t>
      </w:r>
      <w:proofErr w:type="gramEnd"/>
      <w:r w:rsidRPr="00083C9D">
        <w:rPr>
          <w:lang w:val="en-AU"/>
        </w:rPr>
        <w:t xml:space="preserve"> and premature death) </w:t>
      </w:r>
      <w:r w:rsidRPr="00083C9D">
        <w:rPr>
          <w:rStyle w:val="Strong"/>
          <w:lang w:val="en-AU"/>
        </w:rPr>
        <w:t>of adult women</w:t>
      </w:r>
      <w:r w:rsidRPr="00083C9D">
        <w:rPr>
          <w:lang w:val="en-AU"/>
        </w:rPr>
        <w:t xml:space="preserve"> in their reproductive age (18-44 years) </w:t>
      </w:r>
      <w:r w:rsidRPr="00083C9D">
        <w:rPr>
          <w:rStyle w:val="Strong"/>
          <w:lang w:val="en-AU"/>
        </w:rPr>
        <w:t>than any other risk factor</w:t>
      </w:r>
      <w:r w:rsidRPr="00083C9D">
        <w:rPr>
          <w:lang w:val="en-AU"/>
        </w:rPr>
        <w:t>. It contributes an estimated 5.1 percent of the burden for women aged 18-44 years.</w:t>
      </w:r>
    </w:p>
    <w:p w14:paraId="666E1846" w14:textId="77777777" w:rsidR="00334E4E" w:rsidRPr="00083C9D" w:rsidRDefault="00334E4E" w:rsidP="00334E4E">
      <w:pPr>
        <w:numPr>
          <w:ilvl w:val="0"/>
          <w:numId w:val="13"/>
        </w:numPr>
        <w:spacing w:before="100" w:beforeAutospacing="1" w:after="100" w:afterAutospacing="1" w:line="240" w:lineRule="auto"/>
        <w:rPr>
          <w:lang w:val="en-AU"/>
        </w:rPr>
      </w:pPr>
      <w:r w:rsidRPr="00083C9D">
        <w:rPr>
          <w:lang w:val="en-AU"/>
        </w:rPr>
        <w:t xml:space="preserve">In 2010-12, approximately </w:t>
      </w:r>
      <w:r w:rsidRPr="00083C9D">
        <w:rPr>
          <w:rStyle w:val="Strong"/>
          <w:lang w:val="en-AU"/>
        </w:rPr>
        <w:t>41 percent of hospitalised assaults on women were perpetrated by an intimate partner.</w:t>
      </w:r>
    </w:p>
    <w:p w14:paraId="28A61ACF" w14:textId="77777777" w:rsidR="00334E4E" w:rsidRPr="00083C9D" w:rsidRDefault="00334E4E" w:rsidP="00334E4E">
      <w:pPr>
        <w:pStyle w:val="Heading3"/>
        <w:rPr>
          <w:lang w:val="en-AU"/>
        </w:rPr>
      </w:pPr>
      <w:r w:rsidRPr="00083C9D">
        <w:rPr>
          <w:lang w:val="en-AU"/>
        </w:rPr>
        <w:t>Violence against women and their children results in major personal, government, and business costs.</w:t>
      </w:r>
    </w:p>
    <w:p w14:paraId="075F47D3" w14:textId="77777777" w:rsidR="00334E4E" w:rsidRPr="00083C9D" w:rsidRDefault="00334E4E" w:rsidP="00334E4E">
      <w:pPr>
        <w:pStyle w:val="NormalWeb"/>
      </w:pPr>
      <w:r w:rsidRPr="00083C9D">
        <w:t>Source: The cost of violence against women and their children in Australia (KPMG, 2016)</w:t>
      </w:r>
    </w:p>
    <w:p w14:paraId="6D532E36" w14:textId="77777777" w:rsidR="00334E4E" w:rsidRPr="00083C9D" w:rsidRDefault="00334E4E" w:rsidP="00334E4E">
      <w:pPr>
        <w:numPr>
          <w:ilvl w:val="0"/>
          <w:numId w:val="14"/>
        </w:numPr>
        <w:spacing w:before="100" w:beforeAutospacing="1" w:after="100" w:afterAutospacing="1" w:line="240" w:lineRule="auto"/>
        <w:rPr>
          <w:lang w:val="en-AU"/>
        </w:rPr>
      </w:pPr>
      <w:r w:rsidRPr="00083C9D">
        <w:rPr>
          <w:lang w:val="en-AU"/>
        </w:rPr>
        <w:t xml:space="preserve">The total </w:t>
      </w:r>
      <w:r w:rsidRPr="00083C9D">
        <w:rPr>
          <w:rStyle w:val="Strong"/>
          <w:lang w:val="en-AU"/>
        </w:rPr>
        <w:t>annual cost of violence</w:t>
      </w:r>
      <w:r w:rsidRPr="00083C9D">
        <w:rPr>
          <w:lang w:val="en-AU"/>
        </w:rPr>
        <w:t xml:space="preserve"> against women and their children in Australia was </w:t>
      </w:r>
      <w:r w:rsidRPr="00083C9D">
        <w:rPr>
          <w:rStyle w:val="Strong"/>
          <w:lang w:val="en-AU"/>
        </w:rPr>
        <w:t>estimated to be $22 billion in 2015-16</w:t>
      </w:r>
      <w:r w:rsidRPr="00083C9D">
        <w:rPr>
          <w:lang w:val="en-AU"/>
        </w:rPr>
        <w:t>.</w:t>
      </w:r>
    </w:p>
    <w:p w14:paraId="2B20AF2D" w14:textId="77777777" w:rsidR="00334E4E" w:rsidRPr="00083C9D" w:rsidRDefault="00334E4E" w:rsidP="00334E4E">
      <w:pPr>
        <w:pStyle w:val="NormalWeb"/>
      </w:pPr>
      <w:r w:rsidRPr="00083C9D">
        <w:t>Source: 2015-16 Specialist homelessness services collection (Australian Institute of Health and Welfare, 2017)</w:t>
      </w:r>
    </w:p>
    <w:p w14:paraId="1FED1802" w14:textId="0B177FA3" w:rsidR="00836FE7" w:rsidRPr="00083C9D" w:rsidRDefault="00334E4E" w:rsidP="00334E4E">
      <w:pPr>
        <w:numPr>
          <w:ilvl w:val="0"/>
          <w:numId w:val="15"/>
        </w:numPr>
        <w:spacing w:before="100" w:beforeAutospacing="1" w:after="100" w:afterAutospacing="1" w:line="240" w:lineRule="auto"/>
        <w:rPr>
          <w:lang w:val="en-AU"/>
        </w:rPr>
      </w:pPr>
      <w:r w:rsidRPr="00083C9D">
        <w:rPr>
          <w:lang w:val="en-AU"/>
        </w:rPr>
        <w:t xml:space="preserve">In 2015-16, </w:t>
      </w:r>
      <w:r w:rsidRPr="00083C9D">
        <w:rPr>
          <w:rStyle w:val="Strong"/>
          <w:lang w:val="en-AU"/>
        </w:rPr>
        <w:t>38 percent of all people requesting assistance from specialist homelessness agencies were escaping domestic or family violence</w:t>
      </w:r>
      <w:r w:rsidRPr="00083C9D">
        <w:rPr>
          <w:lang w:val="en-AU"/>
        </w:rPr>
        <w:t xml:space="preserve"> (106,000 clients). This included 31,000 children aged under 15 and 66,000 women.</w:t>
      </w:r>
    </w:p>
    <w:p w14:paraId="1F884AE3" w14:textId="77777777" w:rsidR="00836FE7" w:rsidRPr="00083C9D" w:rsidRDefault="00836FE7">
      <w:pPr>
        <w:spacing w:before="0"/>
        <w:rPr>
          <w:lang w:val="en-AU"/>
        </w:rPr>
      </w:pPr>
      <w:r w:rsidRPr="00083C9D">
        <w:rPr>
          <w:lang w:val="en-AU"/>
        </w:rPr>
        <w:br w:type="page"/>
      </w:r>
    </w:p>
    <w:p w14:paraId="65BEC337" w14:textId="77777777" w:rsidR="00334E4E" w:rsidRPr="00083C9D" w:rsidRDefault="00334E4E" w:rsidP="00334E4E">
      <w:pPr>
        <w:pStyle w:val="Heading3"/>
        <w:rPr>
          <w:lang w:val="en-AU"/>
        </w:rPr>
      </w:pPr>
      <w:r w:rsidRPr="00083C9D">
        <w:rPr>
          <w:lang w:val="en-AU"/>
        </w:rPr>
        <w:lastRenderedPageBreak/>
        <w:t>Aboriginal and Torres Strait Islander women experience high rates of violence with significant health impacts.</w:t>
      </w:r>
    </w:p>
    <w:p w14:paraId="6254018D" w14:textId="77777777" w:rsidR="00334E4E" w:rsidRPr="00083C9D" w:rsidRDefault="00334E4E" w:rsidP="00334E4E">
      <w:pPr>
        <w:pStyle w:val="NormalWeb"/>
      </w:pPr>
      <w:r w:rsidRPr="00083C9D">
        <w:t>Source: 2014-15 National Aboriginal and Torres Strait Islander Social Survey (ABS, 2016)</w:t>
      </w:r>
    </w:p>
    <w:p w14:paraId="4BCC5FA1" w14:textId="77777777" w:rsidR="00334E4E" w:rsidRPr="00083C9D" w:rsidRDefault="00334E4E" w:rsidP="00334E4E">
      <w:pPr>
        <w:pStyle w:val="NormalWeb"/>
      </w:pPr>
      <w:r w:rsidRPr="00083C9D">
        <w:t xml:space="preserve">In the 12 months prior to the ABS survey, </w:t>
      </w:r>
      <w:r w:rsidRPr="00083C9D">
        <w:rPr>
          <w:rStyle w:val="Strong"/>
          <w:rFonts w:eastAsiaTheme="majorEastAsia"/>
        </w:rPr>
        <w:t>one in seven Aboriginal and Torres Strait Islander women had experienced physical assault</w:t>
      </w:r>
      <w:r w:rsidRPr="00083C9D">
        <w:t xml:space="preserve">. Of these, approximately a quarter indicated their most recent incident was </w:t>
      </w:r>
      <w:r w:rsidRPr="00083C9D">
        <w:rPr>
          <w:rStyle w:val="Strong"/>
          <w:rFonts w:eastAsiaTheme="majorEastAsia"/>
        </w:rPr>
        <w:t>perpetrated by a partner they have lived with</w:t>
      </w:r>
      <w:r w:rsidRPr="00083C9D">
        <w:t>.</w:t>
      </w:r>
    </w:p>
    <w:p w14:paraId="7A7D826B" w14:textId="77777777" w:rsidR="00334E4E" w:rsidRPr="00083C9D" w:rsidRDefault="00334E4E" w:rsidP="00334E4E">
      <w:pPr>
        <w:pStyle w:val="NormalWeb"/>
      </w:pPr>
      <w:r w:rsidRPr="00083C9D">
        <w:t>Source: 2011 Australian Institute of Health and Welfare Burden of Disease Study (Webster, 2016)</w:t>
      </w:r>
    </w:p>
    <w:p w14:paraId="3C014865" w14:textId="77777777" w:rsidR="00334E4E" w:rsidRPr="00083C9D" w:rsidRDefault="00334E4E" w:rsidP="00334E4E">
      <w:pPr>
        <w:pStyle w:val="NormalWeb"/>
      </w:pPr>
      <w:r w:rsidRPr="00083C9D">
        <w:rPr>
          <w:rStyle w:val="Strong"/>
          <w:rFonts w:eastAsiaTheme="majorEastAsia"/>
        </w:rPr>
        <w:t>Intimate partner violence contributes</w:t>
      </w:r>
      <w:r w:rsidRPr="00083C9D">
        <w:t xml:space="preserve"> an estimated </w:t>
      </w:r>
      <w:r w:rsidRPr="00083C9D">
        <w:rPr>
          <w:rStyle w:val="Strong"/>
          <w:rFonts w:eastAsiaTheme="majorEastAsia"/>
        </w:rPr>
        <w:t>10.9 percent to burden of disease in Indigenous women</w:t>
      </w:r>
      <w:r w:rsidRPr="00083C9D">
        <w:t xml:space="preserve"> aged 18-44 years. </w:t>
      </w:r>
      <w:r w:rsidRPr="00083C9D">
        <w:rPr>
          <w:rStyle w:val="Strong"/>
          <w:rFonts w:eastAsiaTheme="majorEastAsia"/>
        </w:rPr>
        <w:t xml:space="preserve">This is more than any other </w:t>
      </w:r>
      <w:r w:rsidRPr="00083C9D">
        <w:rPr>
          <w:b/>
          <w:bCs/>
        </w:rPr>
        <w:br/>
      </w:r>
      <w:r w:rsidRPr="00083C9D">
        <w:rPr>
          <w:rStyle w:val="Strong"/>
          <w:rFonts w:eastAsiaTheme="majorEastAsia"/>
        </w:rPr>
        <w:t>risk factor.</w:t>
      </w:r>
      <w:r w:rsidRPr="00083C9D">
        <w:t xml:space="preserve"> </w:t>
      </w:r>
    </w:p>
    <w:p w14:paraId="1843188B" w14:textId="11402F1D" w:rsidR="00334E4E" w:rsidRPr="00083C9D" w:rsidRDefault="00334E4E" w:rsidP="00334E4E">
      <w:pPr>
        <w:pStyle w:val="Heading2"/>
        <w:rPr>
          <w:lang w:val="en-AU"/>
        </w:rPr>
      </w:pPr>
      <w:r w:rsidRPr="00083C9D">
        <w:rPr>
          <w:lang w:val="en-AU"/>
        </w:rPr>
        <w:t>Children</w:t>
      </w:r>
    </w:p>
    <w:p w14:paraId="61115BC5" w14:textId="77777777" w:rsidR="00334E4E" w:rsidRPr="00083C9D" w:rsidRDefault="00334E4E" w:rsidP="00334E4E">
      <w:pPr>
        <w:pStyle w:val="Heading3"/>
        <w:rPr>
          <w:lang w:val="en-AU"/>
        </w:rPr>
      </w:pPr>
      <w:r w:rsidRPr="00083C9D">
        <w:rPr>
          <w:lang w:val="en-AU"/>
        </w:rPr>
        <w:t>Children often see or hear violence between their parents.</w:t>
      </w:r>
    </w:p>
    <w:p w14:paraId="71FA7525" w14:textId="77777777" w:rsidR="00334E4E" w:rsidRPr="00083C9D" w:rsidRDefault="00334E4E" w:rsidP="00334E4E">
      <w:pPr>
        <w:pStyle w:val="NormalWeb"/>
      </w:pPr>
      <w:r w:rsidRPr="00083C9D">
        <w:t>Source: 2016 Personal Safety Survey (ABS, 2017)</w:t>
      </w:r>
    </w:p>
    <w:p w14:paraId="306D11D1" w14:textId="77777777" w:rsidR="00334E4E" w:rsidRPr="00083C9D" w:rsidRDefault="00334E4E" w:rsidP="00334E4E">
      <w:pPr>
        <w:pStyle w:val="NormalWeb"/>
      </w:pPr>
      <w:r w:rsidRPr="00083C9D">
        <w:rPr>
          <w:rStyle w:val="Strong"/>
          <w:rFonts w:eastAsiaTheme="majorEastAsia"/>
        </w:rPr>
        <w:t>Since the age of 15:</w:t>
      </w:r>
    </w:p>
    <w:p w14:paraId="63513EB0" w14:textId="77777777" w:rsidR="00334E4E" w:rsidRPr="00083C9D" w:rsidRDefault="00334E4E" w:rsidP="00334E4E">
      <w:pPr>
        <w:numPr>
          <w:ilvl w:val="0"/>
          <w:numId w:val="16"/>
        </w:numPr>
        <w:spacing w:before="100" w:beforeAutospacing="1" w:after="100" w:afterAutospacing="1" w:line="240" w:lineRule="auto"/>
        <w:rPr>
          <w:lang w:val="en-AU"/>
        </w:rPr>
      </w:pPr>
      <w:r w:rsidRPr="00083C9D">
        <w:rPr>
          <w:lang w:val="en-AU"/>
        </w:rPr>
        <w:t xml:space="preserve">50 percent (60,300) of women who had children in their care when they experienced violence by a </w:t>
      </w:r>
      <w:r w:rsidRPr="00083C9D">
        <w:rPr>
          <w:rStyle w:val="Emphasis"/>
          <w:lang w:val="en-AU"/>
        </w:rPr>
        <w:t>current</w:t>
      </w:r>
      <w:r w:rsidRPr="00083C9D">
        <w:rPr>
          <w:lang w:val="en-AU"/>
        </w:rPr>
        <w:t xml:space="preserve"> co-habiting partner reported that the children had seen or heard the violence.</w:t>
      </w:r>
    </w:p>
    <w:p w14:paraId="3EDED5E1" w14:textId="77777777" w:rsidR="00334E4E" w:rsidRPr="00083C9D" w:rsidRDefault="00334E4E" w:rsidP="00334E4E">
      <w:pPr>
        <w:numPr>
          <w:ilvl w:val="0"/>
          <w:numId w:val="16"/>
        </w:numPr>
        <w:spacing w:before="100" w:beforeAutospacing="1" w:after="100" w:afterAutospacing="1" w:line="240" w:lineRule="auto"/>
        <w:rPr>
          <w:lang w:val="en-AU"/>
        </w:rPr>
      </w:pPr>
      <w:r w:rsidRPr="00083C9D">
        <w:rPr>
          <w:lang w:val="en-AU"/>
        </w:rPr>
        <w:t xml:space="preserve">68 percent (418,200) of women who had children in their care when they experienced violence by a </w:t>
      </w:r>
      <w:r w:rsidRPr="00083C9D">
        <w:rPr>
          <w:rStyle w:val="Emphasis"/>
          <w:lang w:val="en-AU"/>
        </w:rPr>
        <w:t>previous</w:t>
      </w:r>
      <w:r w:rsidRPr="00083C9D">
        <w:rPr>
          <w:lang w:val="en-AU"/>
        </w:rPr>
        <w:t xml:space="preserve"> co-habiting partner reported that the children had seen or heard the violence.</w:t>
      </w:r>
    </w:p>
    <w:p w14:paraId="05C000D1" w14:textId="77777777" w:rsidR="00334E4E" w:rsidRPr="00083C9D" w:rsidRDefault="00334E4E" w:rsidP="00334E4E">
      <w:pPr>
        <w:numPr>
          <w:ilvl w:val="0"/>
          <w:numId w:val="16"/>
        </w:numPr>
        <w:spacing w:before="100" w:beforeAutospacing="1" w:after="100" w:afterAutospacing="1" w:line="240" w:lineRule="auto"/>
        <w:rPr>
          <w:lang w:val="en-AU"/>
        </w:rPr>
      </w:pPr>
      <w:r w:rsidRPr="00083C9D">
        <w:rPr>
          <w:lang w:val="en-AU"/>
        </w:rPr>
        <w:t>Therefore, 65 percent of women who had children in their care when they experienced violence by a current or former partner, reported that the children had seen or heard the violence.</w:t>
      </w:r>
    </w:p>
    <w:p w14:paraId="31EC10DE" w14:textId="77777777" w:rsidR="00334E4E" w:rsidRPr="00083C9D" w:rsidRDefault="00334E4E" w:rsidP="00334E4E">
      <w:pPr>
        <w:pStyle w:val="Heading3"/>
        <w:rPr>
          <w:lang w:val="en-AU"/>
        </w:rPr>
      </w:pPr>
      <w:r w:rsidRPr="00083C9D">
        <w:rPr>
          <w:lang w:val="en-AU"/>
        </w:rPr>
        <w:t xml:space="preserve">Domestic and family violence is a factor in many </w:t>
      </w:r>
      <w:proofErr w:type="gramStart"/>
      <w:r w:rsidRPr="00083C9D">
        <w:rPr>
          <w:lang w:val="en-AU"/>
        </w:rPr>
        <w:t>child</w:t>
      </w:r>
      <w:proofErr w:type="gramEnd"/>
      <w:r w:rsidRPr="00083C9D">
        <w:rPr>
          <w:lang w:val="en-AU"/>
        </w:rPr>
        <w:t xml:space="preserve"> protection cases.</w:t>
      </w:r>
    </w:p>
    <w:p w14:paraId="484FDE4E" w14:textId="77777777" w:rsidR="00334E4E" w:rsidRPr="00083C9D" w:rsidRDefault="00334E4E" w:rsidP="00334E4E">
      <w:pPr>
        <w:pStyle w:val="NormalWeb"/>
      </w:pPr>
      <w:r w:rsidRPr="00083C9D">
        <w:t>Source: PATRICIA project (Humphreys &amp; Healey, 2017; Slinky, Katz et al. 2017)</w:t>
      </w:r>
    </w:p>
    <w:p w14:paraId="3B101F04" w14:textId="77777777" w:rsidR="00334E4E" w:rsidRPr="00083C9D" w:rsidRDefault="00334E4E" w:rsidP="00334E4E">
      <w:pPr>
        <w:pStyle w:val="NormalWeb"/>
      </w:pPr>
      <w:r w:rsidRPr="00083C9D">
        <w:t>In the four years from July 2010 to June 2014, child protection services in New South Wales, Victoria, and Western Australia received more than 335,000 reports of child maltreatment concerns, 16 percent of which included a concern about domestic violence.</w:t>
      </w:r>
    </w:p>
    <w:p w14:paraId="0242155B" w14:textId="77777777" w:rsidR="00836FE7" w:rsidRPr="00083C9D" w:rsidRDefault="00836FE7">
      <w:pPr>
        <w:spacing w:before="0"/>
        <w:rPr>
          <w:rFonts w:eastAsiaTheme="majorEastAsia" w:cstheme="majorBidi"/>
          <w:b/>
          <w:color w:val="7E790A"/>
          <w:sz w:val="30"/>
          <w:szCs w:val="26"/>
          <w:lang w:val="en-AU"/>
        </w:rPr>
      </w:pPr>
      <w:r w:rsidRPr="00083C9D">
        <w:rPr>
          <w:lang w:val="en-AU"/>
        </w:rPr>
        <w:br w:type="page"/>
      </w:r>
    </w:p>
    <w:p w14:paraId="7482BDA2" w14:textId="4AADA28F" w:rsidR="00334E4E" w:rsidRPr="00083C9D" w:rsidRDefault="00334E4E" w:rsidP="00334E4E">
      <w:pPr>
        <w:pStyle w:val="Heading2"/>
        <w:rPr>
          <w:lang w:val="en-AU"/>
        </w:rPr>
      </w:pPr>
      <w:r w:rsidRPr="00083C9D">
        <w:rPr>
          <w:lang w:val="en-AU"/>
        </w:rPr>
        <w:lastRenderedPageBreak/>
        <w:t>Help seeking</w:t>
      </w:r>
    </w:p>
    <w:p w14:paraId="56B1E03E" w14:textId="37CD05EC" w:rsidR="00334E4E" w:rsidRPr="00083C9D" w:rsidRDefault="00334E4E" w:rsidP="00334E4E">
      <w:pPr>
        <w:pStyle w:val="Heading3"/>
        <w:rPr>
          <w:lang w:val="en-AU"/>
        </w:rPr>
      </w:pPr>
      <w:r w:rsidRPr="00083C9D">
        <w:rPr>
          <w:lang w:val="en-AU"/>
        </w:rPr>
        <w:t>Many women do not seek help about their experience of violence.</w:t>
      </w:r>
    </w:p>
    <w:p w14:paraId="00F4960D" w14:textId="77777777" w:rsidR="00334E4E" w:rsidRPr="00083C9D" w:rsidRDefault="00334E4E" w:rsidP="00334E4E">
      <w:pPr>
        <w:pStyle w:val="NormalWeb"/>
      </w:pPr>
      <w:r w:rsidRPr="00083C9D">
        <w:t>Source: 2016 Personal Safety Survey (ABS, 2017)</w:t>
      </w:r>
    </w:p>
    <w:p w14:paraId="422D16F0" w14:textId="77777777" w:rsidR="00334E4E" w:rsidRPr="00083C9D" w:rsidRDefault="00334E4E" w:rsidP="00334E4E">
      <w:pPr>
        <w:pStyle w:val="Heading4"/>
        <w:rPr>
          <w:lang w:val="en-AU"/>
        </w:rPr>
      </w:pPr>
      <w:r w:rsidRPr="00083C9D">
        <w:rPr>
          <w:lang w:val="en-AU"/>
        </w:rPr>
        <w:t>Of women who have experienced violence by a current partner since the age of 15:</w:t>
      </w:r>
    </w:p>
    <w:p w14:paraId="56D5C117" w14:textId="77777777" w:rsidR="00334E4E" w:rsidRPr="00083C9D" w:rsidRDefault="00334E4E" w:rsidP="00334E4E">
      <w:pPr>
        <w:numPr>
          <w:ilvl w:val="0"/>
          <w:numId w:val="17"/>
        </w:numPr>
        <w:spacing w:before="100" w:beforeAutospacing="1" w:after="100" w:afterAutospacing="1" w:line="240" w:lineRule="auto"/>
        <w:rPr>
          <w:lang w:val="en-AU"/>
        </w:rPr>
      </w:pPr>
      <w:r w:rsidRPr="00083C9D">
        <w:rPr>
          <w:rStyle w:val="Strong"/>
          <w:lang w:val="en-AU"/>
        </w:rPr>
        <w:t xml:space="preserve">Just over half </w:t>
      </w:r>
      <w:r w:rsidRPr="00083C9D">
        <w:rPr>
          <w:lang w:val="en-AU"/>
        </w:rPr>
        <w:t xml:space="preserve">(54% or 149,700) </w:t>
      </w:r>
      <w:r w:rsidRPr="00083C9D">
        <w:rPr>
          <w:rStyle w:val="Strong"/>
          <w:lang w:val="en-AU"/>
        </w:rPr>
        <w:t>had sought advice or support</w:t>
      </w:r>
      <w:r w:rsidRPr="00083C9D">
        <w:rPr>
          <w:lang w:val="en-AU"/>
        </w:rPr>
        <w:t xml:space="preserve"> about the violence they experienced.</w:t>
      </w:r>
    </w:p>
    <w:p w14:paraId="615D74BB" w14:textId="77777777" w:rsidR="00334E4E" w:rsidRPr="00083C9D" w:rsidRDefault="00334E4E" w:rsidP="00334E4E">
      <w:pPr>
        <w:numPr>
          <w:ilvl w:val="0"/>
          <w:numId w:val="17"/>
        </w:numPr>
        <w:spacing w:before="100" w:beforeAutospacing="1" w:after="100" w:afterAutospacing="1" w:line="240" w:lineRule="auto"/>
        <w:rPr>
          <w:lang w:val="en-AU"/>
        </w:rPr>
      </w:pPr>
      <w:r w:rsidRPr="00083C9D">
        <w:rPr>
          <w:rStyle w:val="Strong"/>
          <w:lang w:val="en-AU"/>
        </w:rPr>
        <w:t>82 percent</w:t>
      </w:r>
      <w:r w:rsidRPr="00083C9D">
        <w:rPr>
          <w:lang w:val="en-AU"/>
        </w:rPr>
        <w:t xml:space="preserve"> (225,700) </w:t>
      </w:r>
      <w:r w:rsidRPr="00083C9D">
        <w:rPr>
          <w:rStyle w:val="Strong"/>
          <w:lang w:val="en-AU"/>
        </w:rPr>
        <w:t>had never contacted the police</w:t>
      </w:r>
      <w:r w:rsidRPr="00083C9D">
        <w:rPr>
          <w:lang w:val="en-AU"/>
        </w:rPr>
        <w:t xml:space="preserve">. </w:t>
      </w:r>
    </w:p>
    <w:p w14:paraId="595420EB" w14:textId="77777777" w:rsidR="00334E4E" w:rsidRPr="00083C9D" w:rsidRDefault="00334E4E" w:rsidP="00334E4E">
      <w:pPr>
        <w:pStyle w:val="Heading4"/>
        <w:rPr>
          <w:lang w:val="en-AU"/>
        </w:rPr>
      </w:pPr>
      <w:r w:rsidRPr="00083C9D">
        <w:rPr>
          <w:lang w:val="en-AU"/>
        </w:rPr>
        <w:t>Of women who have experienced violence by a former partner since the age of 15:</w:t>
      </w:r>
    </w:p>
    <w:p w14:paraId="0B7FC24C" w14:textId="77777777" w:rsidR="00334E4E" w:rsidRPr="00083C9D" w:rsidRDefault="00334E4E" w:rsidP="00334E4E">
      <w:pPr>
        <w:numPr>
          <w:ilvl w:val="0"/>
          <w:numId w:val="17"/>
        </w:numPr>
        <w:spacing w:before="100" w:beforeAutospacing="1" w:after="100" w:afterAutospacing="1" w:line="240" w:lineRule="auto"/>
        <w:rPr>
          <w:lang w:val="en-AU"/>
        </w:rPr>
      </w:pPr>
      <w:r w:rsidRPr="00083C9D">
        <w:rPr>
          <w:rStyle w:val="Strong"/>
          <w:lang w:val="en-AU"/>
        </w:rPr>
        <w:t xml:space="preserve">63 percent </w:t>
      </w:r>
      <w:r w:rsidRPr="00083C9D">
        <w:rPr>
          <w:lang w:val="en-AU"/>
        </w:rPr>
        <w:t xml:space="preserve">(864,100) </w:t>
      </w:r>
      <w:r w:rsidRPr="00083C9D">
        <w:rPr>
          <w:rStyle w:val="Strong"/>
          <w:lang w:val="en-AU"/>
        </w:rPr>
        <w:t xml:space="preserve">had sought advice or support </w:t>
      </w:r>
      <w:r w:rsidRPr="00083C9D">
        <w:rPr>
          <w:lang w:val="en-AU"/>
        </w:rPr>
        <w:t xml:space="preserve">about the violence </w:t>
      </w:r>
      <w:r w:rsidRPr="00083C9D">
        <w:rPr>
          <w:lang w:val="en-AU"/>
        </w:rPr>
        <w:br/>
        <w:t>they experienced.</w:t>
      </w:r>
    </w:p>
    <w:p w14:paraId="3F4D98CE" w14:textId="607ACB0E" w:rsidR="00334E4E" w:rsidRPr="00083C9D" w:rsidRDefault="00334E4E" w:rsidP="00334E4E">
      <w:pPr>
        <w:numPr>
          <w:ilvl w:val="0"/>
          <w:numId w:val="17"/>
        </w:numPr>
        <w:spacing w:before="100" w:beforeAutospacing="1" w:after="100" w:afterAutospacing="1" w:line="240" w:lineRule="auto"/>
        <w:rPr>
          <w:lang w:val="en-AU"/>
        </w:rPr>
      </w:pPr>
      <w:r w:rsidRPr="00083C9D">
        <w:rPr>
          <w:rStyle w:val="Strong"/>
          <w:lang w:val="en-AU"/>
        </w:rPr>
        <w:t xml:space="preserve">65 percent </w:t>
      </w:r>
      <w:r w:rsidRPr="00083C9D">
        <w:rPr>
          <w:lang w:val="en-AU"/>
        </w:rPr>
        <w:t>(888,100)</w:t>
      </w:r>
      <w:r w:rsidRPr="00083C9D">
        <w:rPr>
          <w:rStyle w:val="Strong"/>
          <w:lang w:val="en-AU"/>
        </w:rPr>
        <w:t xml:space="preserve"> had never contacted the police. </w:t>
      </w:r>
    </w:p>
    <w:p w14:paraId="1EEBDD59" w14:textId="77777777" w:rsidR="00334E4E" w:rsidRPr="00083C9D" w:rsidRDefault="00334E4E" w:rsidP="00EE1AB1">
      <w:pPr>
        <w:pStyle w:val="NormalWeb"/>
      </w:pPr>
      <w:r w:rsidRPr="00083C9D">
        <w:t xml:space="preserve">Nine out of ten women who experienced sexual assault by a male (87% or 553,900) did </w:t>
      </w:r>
      <w:r w:rsidRPr="00083C9D">
        <w:rPr>
          <w:rStyle w:val="Emphasis"/>
          <w:rFonts w:eastAsiaTheme="majorEastAsia"/>
        </w:rPr>
        <w:t>not</w:t>
      </w:r>
      <w:r w:rsidRPr="00083C9D">
        <w:t xml:space="preserve"> contact the police about the most recent incident. </w:t>
      </w:r>
    </w:p>
    <w:p w14:paraId="59974FE2" w14:textId="77777777" w:rsidR="00334E4E" w:rsidRPr="00083C9D" w:rsidRDefault="00334E4E" w:rsidP="00EE1AB1">
      <w:pPr>
        <w:pStyle w:val="NormalWeb"/>
      </w:pPr>
      <w:r w:rsidRPr="00083C9D">
        <w:t>Of the 85,700 women who did contact the police, one quarter (27% or 23,500) reported that the perpetrator was charged.</w:t>
      </w:r>
    </w:p>
    <w:p w14:paraId="1CE085EB" w14:textId="77777777" w:rsidR="00334E4E" w:rsidRPr="00083C9D" w:rsidRDefault="00334E4E" w:rsidP="00334E4E">
      <w:pPr>
        <w:pStyle w:val="Heading1"/>
        <w:rPr>
          <w:lang w:val="en-AU"/>
        </w:rPr>
      </w:pPr>
      <w:r w:rsidRPr="00083C9D">
        <w:rPr>
          <w:lang w:val="en-AU"/>
        </w:rPr>
        <w:lastRenderedPageBreak/>
        <w:t>References</w:t>
      </w:r>
    </w:p>
    <w:p w14:paraId="6C7E42AA" w14:textId="77777777" w:rsidR="00334E4E" w:rsidRPr="00083C9D" w:rsidRDefault="00334E4E" w:rsidP="00083C9D">
      <w:pPr>
        <w:pStyle w:val="NormalWeb"/>
        <w:ind w:left="714" w:hanging="714"/>
      </w:pPr>
      <w:r w:rsidRPr="00083C9D">
        <w:t xml:space="preserve">Australian Bureau of Statistics. (2016). </w:t>
      </w:r>
      <w:r w:rsidRPr="00083C9D">
        <w:rPr>
          <w:rStyle w:val="Emphasis"/>
          <w:rFonts w:eastAsiaTheme="majorEastAsia"/>
        </w:rPr>
        <w:t>National Aboriginal and Torres Strait Islander social survey, 2014-15</w:t>
      </w:r>
      <w:r w:rsidRPr="00083C9D">
        <w:t xml:space="preserve">. Canberra, ACT: Author. Retrieved from </w:t>
      </w:r>
      <w:hyperlink r:id="rId11" w:history="1">
        <w:r w:rsidRPr="00083C9D">
          <w:rPr>
            <w:rStyle w:val="Hyperlink"/>
          </w:rPr>
          <w:t>http://www.abs.gov.au/ausstats/abs@.nsf/mf/4714.0</w:t>
        </w:r>
      </w:hyperlink>
      <w:r w:rsidRPr="00083C9D">
        <w:t>.</w:t>
      </w:r>
    </w:p>
    <w:p w14:paraId="42D059BC" w14:textId="77777777" w:rsidR="00334E4E" w:rsidRPr="00083C9D" w:rsidRDefault="00334E4E" w:rsidP="00083C9D">
      <w:pPr>
        <w:pStyle w:val="NormalWeb"/>
        <w:ind w:left="714" w:hanging="714"/>
      </w:pPr>
      <w:r w:rsidRPr="00083C9D">
        <w:t xml:space="preserve">Australian Bureau of Statistics. (2017). </w:t>
      </w:r>
      <w:r w:rsidRPr="00083C9D">
        <w:rPr>
          <w:rStyle w:val="Emphasis"/>
          <w:rFonts w:eastAsiaTheme="majorEastAsia"/>
        </w:rPr>
        <w:t>Personal safety, Australia, 2016.</w:t>
      </w:r>
      <w:r w:rsidRPr="00083C9D">
        <w:t xml:space="preserve"> Canberra, ACT: Author. Retrieved from: </w:t>
      </w:r>
      <w:hyperlink r:id="rId12" w:history="1">
        <w:r w:rsidRPr="00083C9D">
          <w:rPr>
            <w:rStyle w:val="Hyperlink"/>
          </w:rPr>
          <w:t>http://www.abs.gov.au/ausstats/abs@.nsf/mf/4906.0</w:t>
        </w:r>
      </w:hyperlink>
    </w:p>
    <w:p w14:paraId="4E0F6361" w14:textId="77777777" w:rsidR="00334E4E" w:rsidRPr="00083C9D" w:rsidRDefault="00334E4E" w:rsidP="00083C9D">
      <w:pPr>
        <w:pStyle w:val="NormalWeb"/>
        <w:ind w:left="714" w:hanging="714"/>
      </w:pPr>
      <w:r w:rsidRPr="00083C9D">
        <w:t xml:space="preserve">Australian Institute of Health and Welfare. (2016a). </w:t>
      </w:r>
      <w:r w:rsidRPr="00083C9D">
        <w:rPr>
          <w:rStyle w:val="Emphasis"/>
          <w:rFonts w:eastAsiaTheme="majorEastAsia"/>
        </w:rPr>
        <w:t>Australian burden of disease study: Impact and causes of illness and death in Australia 2011</w:t>
      </w:r>
      <w:r w:rsidRPr="00083C9D">
        <w:t>. Canberra, ACT: Author.</w:t>
      </w:r>
    </w:p>
    <w:p w14:paraId="3F645129" w14:textId="77777777" w:rsidR="00334E4E" w:rsidRPr="00083C9D" w:rsidRDefault="00334E4E" w:rsidP="00083C9D">
      <w:pPr>
        <w:pStyle w:val="NormalWeb"/>
        <w:ind w:left="714" w:hanging="714"/>
      </w:pPr>
      <w:r w:rsidRPr="00083C9D">
        <w:t xml:space="preserve">Australian Institute of Health and Welfare. (2016b). Burden of disease. Retrieved from </w:t>
      </w:r>
      <w:hyperlink r:id="rId13" w:history="1">
        <w:r w:rsidRPr="00083C9D">
          <w:rPr>
            <w:rStyle w:val="Hyperlink"/>
          </w:rPr>
          <w:t>https://www.aihw.gov.au/reports-statistics/health-conditions-disability-deaths/burden-of-disease/overview</w:t>
        </w:r>
      </w:hyperlink>
    </w:p>
    <w:p w14:paraId="068A7255" w14:textId="77777777" w:rsidR="00334E4E" w:rsidRPr="00083C9D" w:rsidRDefault="00334E4E" w:rsidP="00083C9D">
      <w:pPr>
        <w:pStyle w:val="NormalWeb"/>
        <w:ind w:left="714" w:hanging="714"/>
      </w:pPr>
      <w:r w:rsidRPr="00083C9D">
        <w:t xml:space="preserve">Australian Institute of Health and Welfare. (2016c). </w:t>
      </w:r>
      <w:r w:rsidRPr="00083C9D">
        <w:rPr>
          <w:rStyle w:val="Emphasis"/>
          <w:rFonts w:eastAsiaTheme="majorEastAsia"/>
        </w:rPr>
        <w:t>National hospital morbidity database (NHMD)</w:t>
      </w:r>
      <w:r w:rsidRPr="00083C9D">
        <w:t xml:space="preserve">. Retrieved from </w:t>
      </w:r>
      <w:hyperlink r:id="rId14" w:history="1">
        <w:r w:rsidRPr="00083C9D">
          <w:rPr>
            <w:rStyle w:val="Hyperlink"/>
          </w:rPr>
          <w:t>http://meteor.aihw.gov.au/content/index.phtml/itemId/394352</w:t>
        </w:r>
      </w:hyperlink>
    </w:p>
    <w:p w14:paraId="0850D197" w14:textId="77777777" w:rsidR="00334E4E" w:rsidRPr="00083C9D" w:rsidRDefault="00334E4E" w:rsidP="00083C9D">
      <w:pPr>
        <w:pStyle w:val="NormalWeb"/>
        <w:ind w:left="714" w:hanging="714"/>
      </w:pPr>
      <w:r w:rsidRPr="00083C9D">
        <w:t xml:space="preserve">Australian Institute of Health and Welfare. (2017). Specialist Homelessness Services 2015-16. Retrieved from </w:t>
      </w:r>
      <w:hyperlink r:id="rId15" w:history="1">
        <w:r w:rsidRPr="00083C9D">
          <w:rPr>
            <w:rStyle w:val="Hyperlink"/>
          </w:rPr>
          <w:t>https://www.aihw.gov.au/reports/homelessness-services/specialist-homelessness-services/data</w:t>
        </w:r>
      </w:hyperlink>
    </w:p>
    <w:p w14:paraId="1F8555DD" w14:textId="77777777" w:rsidR="00334E4E" w:rsidRPr="00083C9D" w:rsidRDefault="00334E4E" w:rsidP="00083C9D">
      <w:pPr>
        <w:pStyle w:val="NormalWeb"/>
        <w:ind w:left="714" w:hanging="714"/>
      </w:pPr>
      <w:r w:rsidRPr="00083C9D">
        <w:t xml:space="preserve">Australian Institute of Health and Welfare. (2018). </w:t>
      </w:r>
      <w:r w:rsidRPr="00083C9D">
        <w:rPr>
          <w:rStyle w:val="Emphasis"/>
          <w:rFonts w:eastAsiaTheme="majorEastAsia"/>
        </w:rPr>
        <w:t xml:space="preserve">Family, </w:t>
      </w:r>
      <w:proofErr w:type="gramStart"/>
      <w:r w:rsidRPr="00083C9D">
        <w:rPr>
          <w:rStyle w:val="Emphasis"/>
          <w:rFonts w:eastAsiaTheme="majorEastAsia"/>
        </w:rPr>
        <w:t>domestic</w:t>
      </w:r>
      <w:proofErr w:type="gramEnd"/>
      <w:r w:rsidRPr="00083C9D">
        <w:rPr>
          <w:rStyle w:val="Emphasis"/>
          <w:rFonts w:eastAsiaTheme="majorEastAsia"/>
        </w:rPr>
        <w:t xml:space="preserve"> and sexual violence in Australia </w:t>
      </w:r>
      <w:r w:rsidRPr="00083C9D">
        <w:t>(Cat. no. FDV 2)</w:t>
      </w:r>
      <w:r w:rsidRPr="00083C9D">
        <w:rPr>
          <w:rStyle w:val="Emphasis"/>
          <w:rFonts w:eastAsiaTheme="majorEastAsia"/>
        </w:rPr>
        <w:t xml:space="preserve">. </w:t>
      </w:r>
      <w:r w:rsidRPr="00083C9D">
        <w:t>Canberra, ACT: Author.</w:t>
      </w:r>
    </w:p>
    <w:p w14:paraId="593BC81D" w14:textId="77777777" w:rsidR="00334E4E" w:rsidRPr="00083C9D" w:rsidRDefault="00334E4E" w:rsidP="00083C9D">
      <w:pPr>
        <w:pStyle w:val="NormalWeb"/>
        <w:ind w:left="714" w:hanging="714"/>
      </w:pPr>
      <w:r w:rsidRPr="00083C9D">
        <w:t xml:space="preserve">Australia’s National Research Organisation for Women’s Safety. (2017). </w:t>
      </w:r>
      <w:r w:rsidRPr="00083C9D">
        <w:rPr>
          <w:rStyle w:val="Emphasis"/>
          <w:rFonts w:eastAsiaTheme="majorEastAsia"/>
        </w:rPr>
        <w:t xml:space="preserve">Personal Safety Survey 2016 fact sheet. </w:t>
      </w:r>
      <w:r w:rsidRPr="00083C9D">
        <w:t xml:space="preserve">Retrieved from </w:t>
      </w:r>
      <w:hyperlink r:id="rId16" w:history="1">
        <w:r w:rsidRPr="00083C9D">
          <w:rPr>
            <w:rStyle w:val="Hyperlink"/>
          </w:rPr>
          <w:t>https://d2c0ikyv46o3b1.cloudfront.net/anrows.org.au/ANROWS%20PSS2016%20Fact%20Sheet%20HR.pdf</w:t>
        </w:r>
      </w:hyperlink>
    </w:p>
    <w:p w14:paraId="6578EFA7" w14:textId="77777777" w:rsidR="00334E4E" w:rsidRPr="00083C9D" w:rsidRDefault="00334E4E" w:rsidP="00083C9D">
      <w:pPr>
        <w:pStyle w:val="NormalWeb"/>
        <w:ind w:left="714" w:hanging="714"/>
      </w:pPr>
      <w:r w:rsidRPr="00083C9D">
        <w:t xml:space="preserve">Ayre, J., Lum On, M., Webster, K., Gourley, M., &amp; Moon, L. (2016). </w:t>
      </w:r>
      <w:r w:rsidRPr="00083C9D">
        <w:rPr>
          <w:rStyle w:val="Emphasis"/>
          <w:rFonts w:eastAsiaTheme="majorEastAsia"/>
        </w:rPr>
        <w:t xml:space="preserve">Examination of the burden of disease of intimate partner violence against women in 2011: Final report </w:t>
      </w:r>
      <w:r w:rsidRPr="00083C9D">
        <w:t>(ANROWS Horizons, 06/2016). Sydney, NSW: ANROWS.</w:t>
      </w:r>
    </w:p>
    <w:p w14:paraId="6B8EC1D1" w14:textId="77777777" w:rsidR="00334E4E" w:rsidRPr="00083C9D" w:rsidRDefault="00334E4E" w:rsidP="00083C9D">
      <w:pPr>
        <w:pStyle w:val="NormalWeb"/>
        <w:ind w:left="714" w:hanging="714"/>
      </w:pPr>
      <w:r w:rsidRPr="00083C9D">
        <w:t xml:space="preserve">Bryant, W., &amp; </w:t>
      </w:r>
      <w:proofErr w:type="spellStart"/>
      <w:r w:rsidRPr="00083C9D">
        <w:t>Bricknell</w:t>
      </w:r>
      <w:proofErr w:type="spellEnd"/>
      <w:r w:rsidRPr="00083C9D">
        <w:t xml:space="preserve">, S. (2017). </w:t>
      </w:r>
      <w:r w:rsidRPr="00083C9D">
        <w:rPr>
          <w:rStyle w:val="Emphasis"/>
          <w:rFonts w:eastAsiaTheme="majorEastAsia"/>
        </w:rPr>
        <w:t xml:space="preserve">Homicide in Australia 2012-13 and 2013-14: National Homicide Monitoring Program report. </w:t>
      </w:r>
      <w:r w:rsidRPr="00083C9D">
        <w:t xml:space="preserve">Canberra, ACT: Australian Institute of Criminology. </w:t>
      </w:r>
    </w:p>
    <w:p w14:paraId="5EAE5B32" w14:textId="77777777" w:rsidR="00334E4E" w:rsidRPr="00083C9D" w:rsidRDefault="00334E4E" w:rsidP="00083C9D">
      <w:pPr>
        <w:pStyle w:val="NormalWeb"/>
        <w:ind w:left="714" w:hanging="714"/>
      </w:pPr>
      <w:r w:rsidRPr="00083C9D">
        <w:t xml:space="preserve">Council of Australian Governments. (2011). </w:t>
      </w:r>
      <w:r w:rsidRPr="00083C9D">
        <w:rPr>
          <w:rStyle w:val="Emphasis"/>
          <w:rFonts w:eastAsiaTheme="majorEastAsia"/>
        </w:rPr>
        <w:t xml:space="preserve">The national plan to reduce violence against women and their children: Including the first three-year action plan. </w:t>
      </w:r>
      <w:r w:rsidRPr="00083C9D">
        <w:t>Canberra: FAHCSIA.</w:t>
      </w:r>
    </w:p>
    <w:p w14:paraId="61ED7922" w14:textId="77777777" w:rsidR="00334E4E" w:rsidRPr="00083C9D" w:rsidRDefault="00334E4E" w:rsidP="00083C9D">
      <w:pPr>
        <w:pStyle w:val="NormalWeb"/>
        <w:ind w:left="714" w:hanging="714"/>
      </w:pPr>
      <w:r w:rsidRPr="00083C9D">
        <w:t xml:space="preserve">Cox, P. (2016). </w:t>
      </w:r>
      <w:r w:rsidRPr="00083C9D">
        <w:rPr>
          <w:rStyle w:val="Emphasis"/>
          <w:rFonts w:eastAsiaTheme="majorEastAsia"/>
        </w:rPr>
        <w:t xml:space="preserve">Violence against women in Australia: Additional analysis of the Australian Bureau of Statistics’ Personal Safety Survey, 2012 </w:t>
      </w:r>
      <w:r w:rsidRPr="00083C9D">
        <w:t>(ANROWS Horizons, 01.01/2016 Rev. Ed.). Sydney, NSW: ANROWS.</w:t>
      </w:r>
    </w:p>
    <w:p w14:paraId="6E4D03BC" w14:textId="77777777" w:rsidR="00334E4E" w:rsidRPr="00083C9D" w:rsidRDefault="00334E4E" w:rsidP="00083C9D">
      <w:pPr>
        <w:pStyle w:val="NormalWeb"/>
        <w:ind w:left="714" w:hanging="714"/>
      </w:pPr>
      <w:proofErr w:type="spellStart"/>
      <w:r w:rsidRPr="00083C9D">
        <w:t>Cussen</w:t>
      </w:r>
      <w:proofErr w:type="spellEnd"/>
      <w:r w:rsidRPr="00083C9D">
        <w:t xml:space="preserve">, T., &amp; Bryant, W. (2015). </w:t>
      </w:r>
      <w:r w:rsidRPr="00083C9D">
        <w:rPr>
          <w:rStyle w:val="Emphasis"/>
          <w:rFonts w:eastAsiaTheme="majorEastAsia"/>
        </w:rPr>
        <w:t>Domestic/family homicide in Australia</w:t>
      </w:r>
      <w:r w:rsidRPr="00083C9D">
        <w:t xml:space="preserve"> (Research in practice, no. 38). Canberra, ACT: Australian Institute of Criminology.</w:t>
      </w:r>
    </w:p>
    <w:p w14:paraId="1B954334" w14:textId="77777777" w:rsidR="00334E4E" w:rsidRPr="00083C9D" w:rsidRDefault="00334E4E" w:rsidP="00083C9D">
      <w:pPr>
        <w:pStyle w:val="NormalWeb"/>
        <w:ind w:left="714" w:hanging="714"/>
      </w:pPr>
      <w:r w:rsidRPr="00083C9D">
        <w:lastRenderedPageBreak/>
        <w:t xml:space="preserve">Humphreys, C., &amp; Healey, L. (2017) </w:t>
      </w:r>
      <w:proofErr w:type="spellStart"/>
      <w:r w:rsidRPr="00083C9D">
        <w:rPr>
          <w:rStyle w:val="Emphasis"/>
          <w:rFonts w:eastAsiaTheme="majorEastAsia"/>
        </w:rPr>
        <w:t>PAThways</w:t>
      </w:r>
      <w:proofErr w:type="spellEnd"/>
      <w:r w:rsidRPr="00083C9D">
        <w:rPr>
          <w:rStyle w:val="Emphasis"/>
          <w:rFonts w:eastAsiaTheme="majorEastAsia"/>
        </w:rPr>
        <w:t xml:space="preserve"> and Research </w:t>
      </w:r>
      <w:proofErr w:type="gramStart"/>
      <w:r w:rsidRPr="00083C9D">
        <w:rPr>
          <w:rStyle w:val="Emphasis"/>
          <w:rFonts w:eastAsiaTheme="majorEastAsia"/>
        </w:rPr>
        <w:t>In</w:t>
      </w:r>
      <w:proofErr w:type="gramEnd"/>
      <w:r w:rsidRPr="00083C9D">
        <w:rPr>
          <w:rStyle w:val="Emphasis"/>
          <w:rFonts w:eastAsiaTheme="majorEastAsia"/>
        </w:rPr>
        <w:t xml:space="preserve"> Collaborative Inter-Agency practice: Collaborative work across the child protection and specialist domestic and family violence interface: Final Report.</w:t>
      </w:r>
      <w:r w:rsidRPr="00083C9D">
        <w:t xml:space="preserve"> (ANROWS Horizons, </w:t>
      </w:r>
      <w:r w:rsidRPr="00083C9D">
        <w:rPr>
          <w:rStyle w:val="Emphasis"/>
          <w:rFonts w:eastAsiaTheme="majorEastAsia"/>
        </w:rPr>
        <w:t>03/2017)</w:t>
      </w:r>
      <w:r w:rsidRPr="00083C9D">
        <w:t>. Sydney: ANROWS.</w:t>
      </w:r>
    </w:p>
    <w:p w14:paraId="483FD7C4" w14:textId="77777777" w:rsidR="00334E4E" w:rsidRPr="00083C9D" w:rsidRDefault="00334E4E" w:rsidP="00083C9D">
      <w:pPr>
        <w:pStyle w:val="NormalWeb"/>
        <w:ind w:left="714" w:hanging="714"/>
      </w:pPr>
      <w:r w:rsidRPr="00083C9D">
        <w:t>KPMG. (2016).</w:t>
      </w:r>
      <w:r w:rsidRPr="00083C9D">
        <w:rPr>
          <w:rStyle w:val="Emphasis"/>
          <w:rFonts w:eastAsiaTheme="majorEastAsia"/>
        </w:rPr>
        <w:t xml:space="preserve"> The cost of violence against women and their children in Australia: Final detailed report.</w:t>
      </w:r>
      <w:r w:rsidRPr="00083C9D">
        <w:t xml:space="preserve"> Sydney, NSW: Author.</w:t>
      </w:r>
    </w:p>
    <w:p w14:paraId="544544AE" w14:textId="77777777" w:rsidR="00334E4E" w:rsidRPr="00083C9D" w:rsidRDefault="00334E4E" w:rsidP="00083C9D">
      <w:pPr>
        <w:pStyle w:val="NormalWeb"/>
        <w:ind w:left="714" w:hanging="714"/>
      </w:pPr>
      <w:proofErr w:type="spellStart"/>
      <w:r w:rsidRPr="00083C9D">
        <w:t>Mouzos</w:t>
      </w:r>
      <w:proofErr w:type="spellEnd"/>
      <w:r w:rsidRPr="00083C9D">
        <w:t xml:space="preserve">, J., &amp; </w:t>
      </w:r>
      <w:proofErr w:type="spellStart"/>
      <w:r w:rsidRPr="00083C9D">
        <w:t>Makkai</w:t>
      </w:r>
      <w:proofErr w:type="spellEnd"/>
      <w:r w:rsidRPr="00083C9D">
        <w:t xml:space="preserve">, T. (2004). Women’s experiences of male violence. </w:t>
      </w:r>
      <w:r w:rsidRPr="00083C9D">
        <w:rPr>
          <w:rStyle w:val="Emphasis"/>
          <w:rFonts w:eastAsiaTheme="majorEastAsia"/>
        </w:rPr>
        <w:t xml:space="preserve">Australian Institute of Criminology, Research and Public Policy Series </w:t>
      </w:r>
      <w:r w:rsidRPr="00083C9D">
        <w:t>(56), 28.</w:t>
      </w:r>
    </w:p>
    <w:p w14:paraId="0068B62F" w14:textId="77777777" w:rsidR="00334E4E" w:rsidRPr="00083C9D" w:rsidRDefault="00334E4E" w:rsidP="00083C9D">
      <w:pPr>
        <w:pStyle w:val="NormalWeb"/>
        <w:ind w:left="714" w:hanging="714"/>
      </w:pPr>
      <w:r w:rsidRPr="00083C9D">
        <w:t xml:space="preserve">Slinky, A., Ma, J., Katz, I., Humphreys, C., &amp; Healey, L. (2017). </w:t>
      </w:r>
      <w:r w:rsidRPr="00083C9D">
        <w:rPr>
          <w:rStyle w:val="Emphasis"/>
          <w:rFonts w:eastAsiaTheme="majorEastAsia"/>
        </w:rPr>
        <w:t xml:space="preserve">The PATRICIA Project: Summary of the Pathways component. </w:t>
      </w:r>
      <w:r w:rsidRPr="00083C9D">
        <w:t>Sydney, NSW: ANROWS.</w:t>
      </w:r>
    </w:p>
    <w:p w14:paraId="4C21DCED" w14:textId="77777777" w:rsidR="00334E4E" w:rsidRPr="00083C9D" w:rsidRDefault="00334E4E" w:rsidP="00083C9D">
      <w:pPr>
        <w:pStyle w:val="NormalWeb"/>
        <w:ind w:left="714" w:hanging="714"/>
      </w:pPr>
      <w:r w:rsidRPr="00083C9D">
        <w:t xml:space="preserve">Steering Committee for the Review of Government Service Provision. (2016). </w:t>
      </w:r>
      <w:r w:rsidRPr="00083C9D">
        <w:rPr>
          <w:rStyle w:val="Emphasis"/>
          <w:rFonts w:eastAsiaTheme="majorEastAsia"/>
        </w:rPr>
        <w:t>Overcoming Indigenous disadvantage: Key indicators 2016</w:t>
      </w:r>
      <w:r w:rsidRPr="00083C9D">
        <w:t>. Canberra, ACT: Productivity Commission.</w:t>
      </w:r>
    </w:p>
    <w:p w14:paraId="4A253E40" w14:textId="77777777" w:rsidR="00334E4E" w:rsidRPr="00083C9D" w:rsidRDefault="00334E4E" w:rsidP="00083C9D">
      <w:pPr>
        <w:pStyle w:val="NormalWeb"/>
        <w:ind w:left="714" w:hanging="714"/>
      </w:pPr>
      <w:r w:rsidRPr="00083C9D">
        <w:t xml:space="preserve">Sutherland, G., McCormack, A., </w:t>
      </w:r>
      <w:proofErr w:type="spellStart"/>
      <w:r w:rsidRPr="00083C9D">
        <w:t>Pirkis</w:t>
      </w:r>
      <w:proofErr w:type="spellEnd"/>
      <w:r w:rsidRPr="00083C9D">
        <w:t xml:space="preserve">, J., Vaughan, C., Dunne-Breen, M., </w:t>
      </w:r>
      <w:proofErr w:type="spellStart"/>
      <w:r w:rsidRPr="00083C9D">
        <w:t>Easteal</w:t>
      </w:r>
      <w:proofErr w:type="spellEnd"/>
      <w:r w:rsidRPr="00083C9D">
        <w:t xml:space="preserve">, P., &amp; Holland, K. (2016). </w:t>
      </w:r>
      <w:r w:rsidRPr="00083C9D">
        <w:rPr>
          <w:rStyle w:val="Emphasis"/>
          <w:rFonts w:eastAsiaTheme="majorEastAsia"/>
        </w:rPr>
        <w:t xml:space="preserve">Media representations of violence against women and their children: Final Report </w:t>
      </w:r>
      <w:r w:rsidRPr="00083C9D">
        <w:t>(ANROWS Horizons, 03/2016). Sydney: ANROWS.</w:t>
      </w:r>
    </w:p>
    <w:p w14:paraId="11D1F06C" w14:textId="77777777" w:rsidR="00334E4E" w:rsidRPr="00083C9D" w:rsidRDefault="00334E4E" w:rsidP="00083C9D">
      <w:pPr>
        <w:pStyle w:val="NormalWeb"/>
        <w:ind w:left="714" w:hanging="714"/>
      </w:pPr>
      <w:r w:rsidRPr="00083C9D">
        <w:t>UN Women. (2011).</w:t>
      </w:r>
      <w:r w:rsidRPr="00083C9D">
        <w:rPr>
          <w:rStyle w:val="Emphasis"/>
          <w:rFonts w:eastAsiaTheme="majorEastAsia"/>
        </w:rPr>
        <w:t xml:space="preserve"> Violence against women prevalence data: Surveys by country. </w:t>
      </w:r>
      <w:r w:rsidRPr="00083C9D">
        <w:t xml:space="preserve">Retrieved from </w:t>
      </w:r>
      <w:hyperlink r:id="rId17" w:history="1">
        <w:r w:rsidRPr="00083C9D">
          <w:rPr>
            <w:rStyle w:val="Hyperlink"/>
          </w:rPr>
          <w:t>http://www.endvawnow.org/uploads/browser/files/vaw_prevalence_matrix_15april_2011.pdf</w:t>
        </w:r>
      </w:hyperlink>
      <w:r w:rsidRPr="00083C9D">
        <w:t xml:space="preserve"> </w:t>
      </w:r>
    </w:p>
    <w:p w14:paraId="3E012A8A" w14:textId="77777777" w:rsidR="00334E4E" w:rsidRPr="00083C9D" w:rsidRDefault="00334E4E" w:rsidP="00083C9D">
      <w:pPr>
        <w:pStyle w:val="NormalWeb"/>
        <w:ind w:left="714" w:hanging="714"/>
      </w:pPr>
      <w:r w:rsidRPr="00083C9D">
        <w:t>Webster, K. (2016).</w:t>
      </w:r>
      <w:r w:rsidRPr="00083C9D">
        <w:rPr>
          <w:rStyle w:val="Emphasis"/>
          <w:rFonts w:eastAsiaTheme="majorEastAsia"/>
        </w:rPr>
        <w:t xml:space="preserve"> A preventable burden: Measuring and addressing the prevalence and health impacts of intimate partner violence in Australian women: Key findings and future directions </w:t>
      </w:r>
      <w:r w:rsidRPr="00083C9D">
        <w:t>(ANROWS Compass, 07/2016). Sydney: ANROWS.</w:t>
      </w:r>
    </w:p>
    <w:p w14:paraId="4DC9B8AA" w14:textId="77777777" w:rsidR="00334E4E" w:rsidRPr="00083C9D" w:rsidRDefault="00334E4E" w:rsidP="00083C9D">
      <w:pPr>
        <w:pStyle w:val="NormalWeb"/>
        <w:ind w:left="714" w:hanging="714"/>
      </w:pPr>
      <w:r w:rsidRPr="00083C9D">
        <w:t xml:space="preserve">Webster, K., </w:t>
      </w:r>
      <w:proofErr w:type="spellStart"/>
      <w:r w:rsidRPr="00083C9D">
        <w:t>Pennay</w:t>
      </w:r>
      <w:proofErr w:type="spellEnd"/>
      <w:r w:rsidRPr="00083C9D">
        <w:t xml:space="preserve">, P., </w:t>
      </w:r>
      <w:proofErr w:type="spellStart"/>
      <w:r w:rsidRPr="00083C9D">
        <w:t>Bricknall</w:t>
      </w:r>
      <w:proofErr w:type="spellEnd"/>
      <w:r w:rsidRPr="00083C9D">
        <w:t xml:space="preserve">, R., Diemer, K., Flood, M., Powell, A., &amp; Ward, A. (2014). </w:t>
      </w:r>
      <w:r w:rsidRPr="00083C9D">
        <w:rPr>
          <w:rStyle w:val="Emphasis"/>
          <w:rFonts w:eastAsiaTheme="majorEastAsia"/>
        </w:rPr>
        <w:t>Australians’ attitudes to violence against women: Findings from the 2013 National Community Attitudes towards Violence Against Women Survey (NCAS)</w:t>
      </w:r>
      <w:r w:rsidRPr="00083C9D">
        <w:t xml:space="preserve">. Retrieved from </w:t>
      </w:r>
      <w:hyperlink r:id="rId18" w:history="1">
        <w:r w:rsidRPr="00083C9D">
          <w:rPr>
            <w:rStyle w:val="Hyperlink"/>
          </w:rPr>
          <w:t>https://www.vichealth.vic.gov.au/media-and-resources/publications/2013-national-</w:t>
        </w:r>
      </w:hyperlink>
      <w:r w:rsidRPr="00083C9D">
        <w:t xml:space="preserve"> </w:t>
      </w:r>
      <w:hyperlink r:id="rId19" w:history="1">
        <w:r w:rsidRPr="00083C9D">
          <w:rPr>
            <w:rStyle w:val="Hyperlink"/>
          </w:rPr>
          <w:t>community-attitudes-towards-violence-against-women-survey</w:t>
        </w:r>
      </w:hyperlink>
      <w:r w:rsidRPr="00083C9D">
        <w:t xml:space="preserve"> </w:t>
      </w:r>
    </w:p>
    <w:p w14:paraId="35FB098D" w14:textId="77777777" w:rsidR="00334E4E" w:rsidRPr="00083C9D" w:rsidRDefault="00334E4E">
      <w:pPr>
        <w:spacing w:before="0"/>
        <w:rPr>
          <w:rStyle w:val="Strong"/>
          <w:rFonts w:eastAsiaTheme="majorEastAsia" w:cs="Times New Roman"/>
          <w:sz w:val="24"/>
          <w:szCs w:val="24"/>
          <w:lang w:val="en-AU" w:eastAsia="en-AU"/>
        </w:rPr>
      </w:pPr>
      <w:r w:rsidRPr="00083C9D">
        <w:rPr>
          <w:rStyle w:val="Strong"/>
          <w:rFonts w:eastAsiaTheme="majorEastAsia"/>
          <w:lang w:val="en-AU"/>
        </w:rPr>
        <w:br w:type="page"/>
      </w:r>
    </w:p>
    <w:p w14:paraId="4EBE2501" w14:textId="3C4201C0" w:rsidR="00334E4E" w:rsidRPr="00083C9D" w:rsidRDefault="00334E4E" w:rsidP="00334E4E">
      <w:pPr>
        <w:pStyle w:val="AcknowledgementStrong"/>
        <w:rPr>
          <w:lang w:val="en-AU"/>
        </w:rPr>
      </w:pPr>
      <w:r w:rsidRPr="00083C9D">
        <w:rPr>
          <w:lang w:val="en-AU"/>
        </w:rPr>
        <w:lastRenderedPageBreak/>
        <w:t>ANROWS acknowledgements</w:t>
      </w:r>
    </w:p>
    <w:p w14:paraId="6F9E69A2" w14:textId="77777777" w:rsidR="00334E4E" w:rsidRPr="00083C9D" w:rsidRDefault="00334E4E" w:rsidP="00334E4E">
      <w:pPr>
        <w:pStyle w:val="Acknowledgement"/>
        <w:rPr>
          <w:lang w:val="en-AU"/>
        </w:rPr>
      </w:pPr>
      <w:r w:rsidRPr="00083C9D">
        <w:rPr>
          <w:lang w:val="en-AU"/>
        </w:rPr>
        <w:t>This material was produced with funding from the Australian Government and the Australian state and territory governments. Australia’s National Research Organisation for Women’s Safety (ANROWS) gratefully acknowledges the financial and other support it has received from these governments, without which this work would not have been possible. The findings and views reported in this publication are those of ANROWS and cannot be attributed to the Australian Government, or any Australian state or territory government.</w:t>
      </w:r>
    </w:p>
    <w:p w14:paraId="2B4756A0" w14:textId="77777777" w:rsidR="00334E4E" w:rsidRPr="00083C9D" w:rsidRDefault="00334E4E" w:rsidP="00334E4E">
      <w:pPr>
        <w:pStyle w:val="Acknowledgement"/>
        <w:rPr>
          <w:lang w:val="en-AU"/>
        </w:rPr>
      </w:pPr>
      <w:r w:rsidRPr="00083C9D">
        <w:rPr>
          <w:lang w:val="en-AU"/>
        </w:rPr>
        <w:t xml:space="preserve">ANROWS would like to thank the following staff </w:t>
      </w:r>
      <w:proofErr w:type="gramStart"/>
      <w:r w:rsidRPr="00083C9D">
        <w:rPr>
          <w:lang w:val="en-AU"/>
        </w:rPr>
        <w:t>in particular for</w:t>
      </w:r>
      <w:proofErr w:type="gramEnd"/>
      <w:r w:rsidRPr="00083C9D">
        <w:rPr>
          <w:lang w:val="en-AU"/>
        </w:rPr>
        <w:t xml:space="preserve"> preparing this resource – Dr Peta Cox, Corina Backhouse, Dr </w:t>
      </w:r>
      <w:proofErr w:type="spellStart"/>
      <w:r w:rsidRPr="00083C9D">
        <w:rPr>
          <w:lang w:val="en-AU"/>
        </w:rPr>
        <w:t>Mayet</w:t>
      </w:r>
      <w:proofErr w:type="spellEnd"/>
      <w:r w:rsidRPr="00083C9D">
        <w:rPr>
          <w:lang w:val="en-AU"/>
        </w:rPr>
        <w:t xml:space="preserve"> Costello and Cassandra Dawes. ANROWS would also like to thank all the external contributors, including the Australian Bureau of Statistics, the ANROWS Practitioner Engagement Group, the Australian Institute of Health and Welfare, the Australian Institute of Criminology, the University of Melbourne, and the National Community Attitudes towards Violence against Women Survey team at ANROWS.</w:t>
      </w:r>
    </w:p>
    <w:p w14:paraId="6AD30BD1" w14:textId="518C57FE" w:rsidR="00334E4E" w:rsidRPr="00083C9D" w:rsidRDefault="00334E4E" w:rsidP="00334E4E">
      <w:pPr>
        <w:pStyle w:val="AcknowledgementStrong"/>
        <w:rPr>
          <w:lang w:val="en-AU"/>
        </w:rPr>
      </w:pPr>
      <w:r w:rsidRPr="00083C9D">
        <w:rPr>
          <w:lang w:val="en-AU"/>
        </w:rPr>
        <w:t>Acknowledgement of Country</w:t>
      </w:r>
    </w:p>
    <w:p w14:paraId="3D794D02" w14:textId="77777777" w:rsidR="00334E4E" w:rsidRPr="00083C9D" w:rsidRDefault="00334E4E" w:rsidP="00334E4E">
      <w:pPr>
        <w:pStyle w:val="Acknowledgement"/>
        <w:rPr>
          <w:lang w:val="en-AU"/>
        </w:rPr>
      </w:pPr>
      <w:r w:rsidRPr="00083C9D">
        <w:rPr>
          <w:lang w:val="en-AU"/>
        </w:rPr>
        <w:t>ANROWS acknowledges the traditional owners of the land across Australia on which we work and live. We pay our respects to Aboriginal and Torres Strait Islander elders past, present, and future; and we value Aboriginal and Torres Strait Islander history, culture, and knowledge.</w:t>
      </w:r>
    </w:p>
    <w:p w14:paraId="718C17C5" w14:textId="68F18D5B" w:rsidR="00334E4E" w:rsidRPr="00083C9D" w:rsidRDefault="00334E4E" w:rsidP="00334E4E">
      <w:pPr>
        <w:pStyle w:val="AcknowledgementStrong"/>
        <w:rPr>
          <w:lang w:val="en-AU"/>
        </w:rPr>
      </w:pPr>
      <w:r w:rsidRPr="00083C9D">
        <w:rPr>
          <w:lang w:val="en-AU"/>
        </w:rPr>
        <w:t>Suggested citation</w:t>
      </w:r>
    </w:p>
    <w:p w14:paraId="2678DCCD" w14:textId="77777777" w:rsidR="00334E4E" w:rsidRPr="00083C9D" w:rsidRDefault="00334E4E" w:rsidP="00334E4E">
      <w:pPr>
        <w:pStyle w:val="Acknowledgement"/>
        <w:rPr>
          <w:lang w:val="en-AU"/>
        </w:rPr>
      </w:pPr>
      <w:r w:rsidRPr="00083C9D">
        <w:rPr>
          <w:lang w:val="en-AU"/>
        </w:rPr>
        <w:t xml:space="preserve">Australia’s National Research Organisation for Women’s Safety. (2018). </w:t>
      </w:r>
      <w:r w:rsidRPr="00083C9D">
        <w:rPr>
          <w:rStyle w:val="Emphasis"/>
          <w:lang w:val="en-AU"/>
        </w:rPr>
        <w:t>Violence against women: Accurate use of key statistics</w:t>
      </w:r>
      <w:r w:rsidRPr="00083C9D">
        <w:rPr>
          <w:lang w:val="en-AU"/>
        </w:rPr>
        <w:t xml:space="preserve"> (ANROWS Insights 05/2018). Sydney, NSW: ANROWS.</w:t>
      </w:r>
    </w:p>
    <w:p w14:paraId="05BB5E3F" w14:textId="56681CBE" w:rsidR="00334E4E" w:rsidRPr="00083C9D" w:rsidRDefault="00334E4E" w:rsidP="00334E4E">
      <w:pPr>
        <w:pStyle w:val="AcknowledgementStrong"/>
        <w:rPr>
          <w:lang w:val="en-AU"/>
        </w:rPr>
      </w:pPr>
      <w:r w:rsidRPr="00083C9D">
        <w:rPr>
          <w:lang w:val="en-AU"/>
        </w:rPr>
        <w:t>Creative Commons licence</w:t>
      </w:r>
    </w:p>
    <w:p w14:paraId="001B4C17" w14:textId="4BFB78A0" w:rsidR="00334E4E" w:rsidRPr="00083C9D" w:rsidRDefault="00334E4E" w:rsidP="00334E4E">
      <w:pPr>
        <w:pStyle w:val="Acknowledgement"/>
        <w:rPr>
          <w:lang w:val="en-AU"/>
        </w:rPr>
      </w:pPr>
      <w:r w:rsidRPr="00083C9D">
        <w:rPr>
          <w:lang w:val="en-AU"/>
        </w:rPr>
        <w:t>Attribution-</w:t>
      </w:r>
      <w:proofErr w:type="gramStart"/>
      <w:r w:rsidRPr="00083C9D">
        <w:rPr>
          <w:lang w:val="en-AU"/>
        </w:rPr>
        <w:t>Non Commercial</w:t>
      </w:r>
      <w:proofErr w:type="gramEnd"/>
    </w:p>
    <w:p w14:paraId="496EB790" w14:textId="77777777" w:rsidR="009B5172" w:rsidRPr="00083C9D" w:rsidRDefault="009B5172" w:rsidP="009B5172">
      <w:pPr>
        <w:rPr>
          <w:lang w:val="en-AU"/>
        </w:rPr>
      </w:pPr>
      <w:r w:rsidRPr="00083C9D">
        <w:rPr>
          <w:noProof/>
          <w:lang w:val="en-AU"/>
        </w:rPr>
        <w:drawing>
          <wp:inline distT="0" distB="0" distL="0" distR="0" wp14:anchorId="01222CA5" wp14:editId="1A6D48F9">
            <wp:extent cx="1381125" cy="493857"/>
            <wp:effectExtent l="0" t="0" r="0" b="1905"/>
            <wp:docPr id="1" name="Picture 1" descr="CC BY-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C BY-NC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7525" cy="503297"/>
                    </a:xfrm>
                    <a:prstGeom prst="rect">
                      <a:avLst/>
                    </a:prstGeom>
                    <a:noFill/>
                    <a:ln>
                      <a:noFill/>
                    </a:ln>
                  </pic:spPr>
                </pic:pic>
              </a:graphicData>
            </a:graphic>
          </wp:inline>
        </w:drawing>
      </w:r>
    </w:p>
    <w:p w14:paraId="094F7CAD" w14:textId="270C1FFE" w:rsidR="009B5172" w:rsidRPr="00083C9D" w:rsidRDefault="009B5172" w:rsidP="009B5172">
      <w:pPr>
        <w:pStyle w:val="AcknowledgementStrong"/>
        <w:rPr>
          <w:lang w:val="en-AU"/>
        </w:rPr>
      </w:pPr>
      <w:r w:rsidRPr="00083C9D">
        <w:rPr>
          <w:lang w:val="en-AU"/>
        </w:rPr>
        <w:t>CC BY-NC</w:t>
      </w:r>
    </w:p>
    <w:p w14:paraId="3242C07C" w14:textId="77777777" w:rsidR="00334E4E" w:rsidRPr="00083C9D" w:rsidRDefault="00334E4E" w:rsidP="00334E4E">
      <w:pPr>
        <w:pStyle w:val="Acknowledgement"/>
        <w:rPr>
          <w:lang w:val="en-AU"/>
        </w:rPr>
      </w:pPr>
      <w:r w:rsidRPr="00083C9D">
        <w:rPr>
          <w:lang w:val="en-AU"/>
        </w:rPr>
        <w:t xml:space="preserve">This licence lets others distribute, </w:t>
      </w:r>
      <w:proofErr w:type="gramStart"/>
      <w:r w:rsidRPr="00083C9D">
        <w:rPr>
          <w:lang w:val="en-AU"/>
        </w:rPr>
        <w:t>remix</w:t>
      </w:r>
      <w:proofErr w:type="gramEnd"/>
      <w:r w:rsidRPr="00083C9D">
        <w:rPr>
          <w:lang w:val="en-AU"/>
        </w:rPr>
        <w:t xml:space="preserve"> and build upon the work, but only if it is for non-commercial purposes and they credit the original creator/s (and any other nominated parties). They do not have to license their Derivative Works on the same terms.</w:t>
      </w:r>
    </w:p>
    <w:p w14:paraId="45DF1C61" w14:textId="77777777" w:rsidR="00334E4E" w:rsidRPr="00083C9D" w:rsidRDefault="00334E4E" w:rsidP="00334E4E">
      <w:pPr>
        <w:pStyle w:val="Acknowledgement"/>
        <w:rPr>
          <w:lang w:val="en-AU"/>
        </w:rPr>
      </w:pPr>
      <w:r w:rsidRPr="00083C9D">
        <w:rPr>
          <w:lang w:val="en-AU"/>
        </w:rPr>
        <w:t>Version 3.0 (CC Australia ported licence): View CC BY-NC Australia Licence Deed | View CC BY-NC 3.0 Australia Legal Code</w:t>
      </w:r>
    </w:p>
    <w:p w14:paraId="1B509A78" w14:textId="77777777" w:rsidR="00334E4E" w:rsidRPr="00083C9D" w:rsidRDefault="00334E4E" w:rsidP="00334E4E">
      <w:pPr>
        <w:pStyle w:val="Acknowledgement"/>
        <w:rPr>
          <w:lang w:val="en-AU"/>
        </w:rPr>
      </w:pPr>
      <w:r w:rsidRPr="00083C9D">
        <w:rPr>
          <w:lang w:val="en-AU"/>
        </w:rPr>
        <w:t>Version 4.0 (international licence): View CC BY-NC 4.0 Licence Deed | View CC BY-NC 4.0 Legal Code</w:t>
      </w:r>
    </w:p>
    <w:p w14:paraId="78F7333C" w14:textId="3F98CA97" w:rsidR="00334E4E" w:rsidRPr="00083C9D" w:rsidRDefault="00334E4E" w:rsidP="00083C9D">
      <w:pPr>
        <w:pStyle w:val="Acknowledgement"/>
        <w:rPr>
          <w:lang w:val="en-AU"/>
        </w:rPr>
      </w:pPr>
      <w:r w:rsidRPr="00083C9D">
        <w:rPr>
          <w:lang w:val="en-AU"/>
        </w:rPr>
        <w:t xml:space="preserve">Please note that there is the potential for minor revisions of this report. Please check the online version at </w:t>
      </w:r>
      <w:hyperlink r:id="rId21" w:history="1">
        <w:r w:rsidRPr="00083C9D">
          <w:rPr>
            <w:rStyle w:val="Hyperlink"/>
            <w:lang w:val="en-AU"/>
          </w:rPr>
          <w:t xml:space="preserve">www.anrows.org.au </w:t>
        </w:r>
      </w:hyperlink>
      <w:r w:rsidRPr="00083C9D">
        <w:rPr>
          <w:lang w:val="en-AU"/>
        </w:rPr>
        <w:t>for any amendment.</w:t>
      </w:r>
    </w:p>
    <w:bookmarkEnd w:id="0"/>
    <w:sectPr w:rsidR="00334E4E" w:rsidRPr="00083C9D" w:rsidSect="006F035F">
      <w:headerReference w:type="default" r:id="rId22"/>
      <w:footerReference w:type="default" r:id="rId23"/>
      <w:headerReference w:type="first" r:id="rId24"/>
      <w:footerReference w:type="first" r:id="rId25"/>
      <w:pgSz w:w="11906" w:h="16838" w:code="9"/>
      <w:pgMar w:top="1418" w:right="851"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38F1" w14:textId="77777777" w:rsidR="00D810D5" w:rsidRDefault="00D810D5" w:rsidP="00D810D5">
      <w:pPr>
        <w:spacing w:before="0" w:after="0" w:line="240" w:lineRule="auto"/>
      </w:pPr>
      <w:r>
        <w:separator/>
      </w:r>
    </w:p>
  </w:endnote>
  <w:endnote w:type="continuationSeparator" w:id="0">
    <w:p w14:paraId="1B25CCF1" w14:textId="77777777" w:rsidR="00D810D5" w:rsidRDefault="00D810D5"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w:altName w:val="Calibri"/>
    <w:panose1 w:val="020B0803020202090204"/>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C368" w14:textId="3BE5343A" w:rsidR="00083C9D" w:rsidRDefault="00083C9D" w:rsidP="00083C9D">
    <w:pPr>
      <w:pStyle w:val="Footer"/>
      <w:ind w:right="0"/>
      <w:jc w:val="right"/>
    </w:pPr>
    <w:r>
      <w:fldChar w:fldCharType="begin"/>
    </w:r>
    <w:r>
      <w:instrText xml:space="preserve"> PAGE   \* MERGEFORMAT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77B" w14:textId="0707F218" w:rsidR="008C0A90" w:rsidRPr="006177C0" w:rsidRDefault="00083C9D" w:rsidP="00083C9D">
    <w:pPr>
      <w:pStyle w:val="Footer"/>
      <w:ind w:right="0"/>
      <w:jc w:val="right"/>
    </w:pPr>
    <w:r>
      <w:tab/>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9C05" w14:textId="77777777" w:rsidR="00D810D5" w:rsidRDefault="00D810D5" w:rsidP="00D810D5">
      <w:pPr>
        <w:spacing w:before="0" w:after="0" w:line="240" w:lineRule="auto"/>
      </w:pPr>
      <w:r>
        <w:separator/>
      </w:r>
    </w:p>
  </w:footnote>
  <w:footnote w:type="continuationSeparator" w:id="0">
    <w:p w14:paraId="7E9DCC7C" w14:textId="77777777" w:rsidR="00D810D5" w:rsidRDefault="00D810D5" w:rsidP="00D810D5">
      <w:pPr>
        <w:spacing w:before="0" w:after="0" w:line="240" w:lineRule="auto"/>
      </w:pPr>
      <w:r>
        <w:continuationSeparator/>
      </w:r>
    </w:p>
  </w:footnote>
  <w:footnote w:id="1">
    <w:p w14:paraId="6B5A2C6A" w14:textId="7C4CCE9E" w:rsidR="00836FE7" w:rsidRPr="00836FE7" w:rsidRDefault="00836FE7">
      <w:pPr>
        <w:pStyle w:val="FootnoteText"/>
        <w:rPr>
          <w:lang w:val="en-AU"/>
        </w:rPr>
      </w:pPr>
      <w:r>
        <w:rPr>
          <w:rStyle w:val="FootnoteReference"/>
        </w:rPr>
        <w:footnoteRef/>
      </w:r>
      <w:r>
        <w:t xml:space="preserve"> The most reliable prevalence data is, by necessity and methodology, focused on the whole Australian population. ANROWS has identified key limitations and possible solutions to data gaps related to priority populations in its publication, </w:t>
      </w:r>
      <w:hyperlink r:id="rId1" w:history="1">
        <w:r>
          <w:rPr>
            <w:rStyle w:val="Hyperlink"/>
          </w:rPr>
          <w:t>Invisible women, invisible violence: Understanding and improving data on the experiences of domestic and family violence and sexual assault for diverse groups of women: State of knowledge paper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20F7" w14:textId="0DFADFC4" w:rsidR="00083C9D" w:rsidRPr="00083C9D" w:rsidRDefault="00083C9D">
    <w:pPr>
      <w:pStyle w:val="Header"/>
      <w:rPr>
        <w:lang w:val="en-AU"/>
      </w:rPr>
    </w:pPr>
    <w:r>
      <w:rPr>
        <w:lang w:val="en-AU"/>
      </w:rPr>
      <w:t>Accurate use of key statistics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B6A" w14:textId="0D12EA75" w:rsidR="008C0A90" w:rsidRDefault="008C0A90" w:rsidP="00D20D24">
    <w:pPr>
      <w:pStyle w:val="Foo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2CA"/>
    <w:multiLevelType w:val="hybridMultilevel"/>
    <w:tmpl w:val="30CE93FC"/>
    <w:lvl w:ilvl="0" w:tplc="AC4EC3C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75240"/>
    <w:multiLevelType w:val="multilevel"/>
    <w:tmpl w:val="B0E6F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32F59"/>
    <w:multiLevelType w:val="multilevel"/>
    <w:tmpl w:val="60C0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56AC7"/>
    <w:multiLevelType w:val="multilevel"/>
    <w:tmpl w:val="5CAA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23BCB"/>
    <w:multiLevelType w:val="multilevel"/>
    <w:tmpl w:val="17B0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039E6"/>
    <w:multiLevelType w:val="multilevel"/>
    <w:tmpl w:val="C3C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C561D"/>
    <w:multiLevelType w:val="multilevel"/>
    <w:tmpl w:val="9B4E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B2E38"/>
    <w:multiLevelType w:val="hybridMultilevel"/>
    <w:tmpl w:val="BB76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83D37"/>
    <w:multiLevelType w:val="multilevel"/>
    <w:tmpl w:val="6160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BF1"/>
    <w:multiLevelType w:val="multilevel"/>
    <w:tmpl w:val="8D0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E28F9"/>
    <w:multiLevelType w:val="multilevel"/>
    <w:tmpl w:val="1AFC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C05D7"/>
    <w:multiLevelType w:val="multilevel"/>
    <w:tmpl w:val="84BC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0190D"/>
    <w:multiLevelType w:val="multilevel"/>
    <w:tmpl w:val="831A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2B7605"/>
    <w:multiLevelType w:val="multilevel"/>
    <w:tmpl w:val="BCB6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E56CE1"/>
    <w:multiLevelType w:val="multilevel"/>
    <w:tmpl w:val="6034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5396D"/>
    <w:multiLevelType w:val="multilevel"/>
    <w:tmpl w:val="850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D7B86"/>
    <w:multiLevelType w:val="multilevel"/>
    <w:tmpl w:val="28EA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2"/>
  </w:num>
  <w:num w:numId="4">
    <w:abstractNumId w:val="6"/>
  </w:num>
  <w:num w:numId="5">
    <w:abstractNumId w:val="13"/>
  </w:num>
  <w:num w:numId="6">
    <w:abstractNumId w:val="2"/>
  </w:num>
  <w:num w:numId="7">
    <w:abstractNumId w:val="3"/>
  </w:num>
  <w:num w:numId="8">
    <w:abstractNumId w:val="9"/>
  </w:num>
  <w:num w:numId="9">
    <w:abstractNumId w:val="8"/>
  </w:num>
  <w:num w:numId="10">
    <w:abstractNumId w:val="1"/>
  </w:num>
  <w:num w:numId="11">
    <w:abstractNumId w:val="16"/>
  </w:num>
  <w:num w:numId="12">
    <w:abstractNumId w:val="10"/>
  </w:num>
  <w:num w:numId="13">
    <w:abstractNumId w:val="14"/>
  </w:num>
  <w:num w:numId="14">
    <w:abstractNumId w:val="4"/>
  </w:num>
  <w:num w:numId="15">
    <w:abstractNumId w:val="15"/>
  </w:num>
  <w:num w:numId="16">
    <w:abstractNumId w:val="5"/>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5"/>
    <w:rsid w:val="00000D2D"/>
    <w:rsid w:val="00015420"/>
    <w:rsid w:val="000176B1"/>
    <w:rsid w:val="00024B15"/>
    <w:rsid w:val="00053F7C"/>
    <w:rsid w:val="00083C9D"/>
    <w:rsid w:val="000E3644"/>
    <w:rsid w:val="000E65B4"/>
    <w:rsid w:val="000F2B64"/>
    <w:rsid w:val="001031C8"/>
    <w:rsid w:val="00122787"/>
    <w:rsid w:val="0017360A"/>
    <w:rsid w:val="00180CF4"/>
    <w:rsid w:val="001B5DFB"/>
    <w:rsid w:val="001F060A"/>
    <w:rsid w:val="001F2E2A"/>
    <w:rsid w:val="001F71DA"/>
    <w:rsid w:val="001F7319"/>
    <w:rsid w:val="00213DAF"/>
    <w:rsid w:val="00214811"/>
    <w:rsid w:val="0022726B"/>
    <w:rsid w:val="00227A80"/>
    <w:rsid w:val="00242327"/>
    <w:rsid w:val="002C6645"/>
    <w:rsid w:val="002D178B"/>
    <w:rsid w:val="002E000E"/>
    <w:rsid w:val="003043D9"/>
    <w:rsid w:val="00334E4E"/>
    <w:rsid w:val="00392B4E"/>
    <w:rsid w:val="003B6010"/>
    <w:rsid w:val="004117C9"/>
    <w:rsid w:val="00422518"/>
    <w:rsid w:val="0042474E"/>
    <w:rsid w:val="00441202"/>
    <w:rsid w:val="0044243E"/>
    <w:rsid w:val="00462366"/>
    <w:rsid w:val="00462396"/>
    <w:rsid w:val="00464462"/>
    <w:rsid w:val="00474633"/>
    <w:rsid w:val="004B7D84"/>
    <w:rsid w:val="00517061"/>
    <w:rsid w:val="0055304C"/>
    <w:rsid w:val="00563263"/>
    <w:rsid w:val="005A33BD"/>
    <w:rsid w:val="005C0EC0"/>
    <w:rsid w:val="005F1636"/>
    <w:rsid w:val="006070A4"/>
    <w:rsid w:val="00607549"/>
    <w:rsid w:val="00613B14"/>
    <w:rsid w:val="00616CEF"/>
    <w:rsid w:val="006177C0"/>
    <w:rsid w:val="00651CFA"/>
    <w:rsid w:val="00660517"/>
    <w:rsid w:val="00673A07"/>
    <w:rsid w:val="00694553"/>
    <w:rsid w:val="006C6228"/>
    <w:rsid w:val="006F035F"/>
    <w:rsid w:val="006F35E3"/>
    <w:rsid w:val="00710559"/>
    <w:rsid w:val="00717A85"/>
    <w:rsid w:val="00776FB1"/>
    <w:rsid w:val="007C456D"/>
    <w:rsid w:val="007C6755"/>
    <w:rsid w:val="007C6C4F"/>
    <w:rsid w:val="007E758A"/>
    <w:rsid w:val="00836FE7"/>
    <w:rsid w:val="00847B1A"/>
    <w:rsid w:val="008956A3"/>
    <w:rsid w:val="008C0A90"/>
    <w:rsid w:val="008D0B51"/>
    <w:rsid w:val="008F12D4"/>
    <w:rsid w:val="00907E5F"/>
    <w:rsid w:val="0093001E"/>
    <w:rsid w:val="0093571B"/>
    <w:rsid w:val="0094657E"/>
    <w:rsid w:val="009572A4"/>
    <w:rsid w:val="00997B71"/>
    <w:rsid w:val="009B5172"/>
    <w:rsid w:val="009F76CD"/>
    <w:rsid w:val="00A0048F"/>
    <w:rsid w:val="00A354BA"/>
    <w:rsid w:val="00A53A7D"/>
    <w:rsid w:val="00A5648E"/>
    <w:rsid w:val="00A75D2F"/>
    <w:rsid w:val="00A95A80"/>
    <w:rsid w:val="00AB0CCC"/>
    <w:rsid w:val="00B23828"/>
    <w:rsid w:val="00BE34B3"/>
    <w:rsid w:val="00C05946"/>
    <w:rsid w:val="00C31646"/>
    <w:rsid w:val="00C440FA"/>
    <w:rsid w:val="00C92D92"/>
    <w:rsid w:val="00CC20F9"/>
    <w:rsid w:val="00CF3127"/>
    <w:rsid w:val="00CF77A0"/>
    <w:rsid w:val="00D02AB0"/>
    <w:rsid w:val="00D033AF"/>
    <w:rsid w:val="00D20D24"/>
    <w:rsid w:val="00D2385E"/>
    <w:rsid w:val="00D810D5"/>
    <w:rsid w:val="00DB0A0D"/>
    <w:rsid w:val="00DC2886"/>
    <w:rsid w:val="00E04E68"/>
    <w:rsid w:val="00E17271"/>
    <w:rsid w:val="00E343D7"/>
    <w:rsid w:val="00E872D1"/>
    <w:rsid w:val="00EA45C3"/>
    <w:rsid w:val="00EA6423"/>
    <w:rsid w:val="00ED3A20"/>
    <w:rsid w:val="00EE178D"/>
    <w:rsid w:val="00EE1AB1"/>
    <w:rsid w:val="00EE250F"/>
    <w:rsid w:val="00F13768"/>
    <w:rsid w:val="00F40481"/>
    <w:rsid w:val="00F81A83"/>
    <w:rsid w:val="00F96B3A"/>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C8D6254"/>
  <w15:chartTrackingRefBased/>
  <w15:docId w15:val="{A425E5DB-77C9-45D5-83C2-44843F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F9"/>
    <w:pPr>
      <w:spacing w:before="120"/>
    </w:pPr>
    <w:rPr>
      <w:rFonts w:ascii="Arial" w:hAnsi="Arial"/>
    </w:rPr>
  </w:style>
  <w:style w:type="paragraph" w:styleId="Heading1">
    <w:name w:val="heading 1"/>
    <w:basedOn w:val="Normal"/>
    <w:next w:val="Normal"/>
    <w:link w:val="Heading1Char"/>
    <w:uiPriority w:val="9"/>
    <w:qFormat/>
    <w:rsid w:val="00000D2D"/>
    <w:pPr>
      <w:keepNext/>
      <w:keepLines/>
      <w:pageBreakBefore/>
      <w:spacing w:before="240" w:after="480"/>
      <w:outlineLvl w:val="0"/>
    </w:pPr>
    <w:rPr>
      <w:rFonts w:ascii="Times New Roman" w:eastAsiaTheme="majorEastAsia" w:hAnsi="Times New Roman" w:cstheme="majorBidi"/>
      <w:sz w:val="44"/>
      <w:szCs w:val="32"/>
    </w:rPr>
  </w:style>
  <w:style w:type="paragraph" w:styleId="Heading2">
    <w:name w:val="heading 2"/>
    <w:basedOn w:val="Normal"/>
    <w:next w:val="Normal"/>
    <w:link w:val="Heading2Char"/>
    <w:uiPriority w:val="9"/>
    <w:unhideWhenUsed/>
    <w:qFormat/>
    <w:rsid w:val="008D0B51"/>
    <w:pPr>
      <w:keepNext/>
      <w:keepLines/>
      <w:spacing w:after="240"/>
      <w:outlineLvl w:val="1"/>
    </w:pPr>
    <w:rPr>
      <w:rFonts w:eastAsiaTheme="majorEastAsia" w:cstheme="majorBidi"/>
      <w:b/>
      <w:color w:val="7E790A"/>
      <w:sz w:val="30"/>
      <w:szCs w:val="26"/>
    </w:rPr>
  </w:style>
  <w:style w:type="paragraph" w:styleId="Heading3">
    <w:name w:val="heading 3"/>
    <w:basedOn w:val="Normal"/>
    <w:next w:val="Normal"/>
    <w:link w:val="Heading3Char"/>
    <w:uiPriority w:val="9"/>
    <w:unhideWhenUsed/>
    <w:qFormat/>
    <w:rsid w:val="00CC20F9"/>
    <w:pPr>
      <w:keepNext/>
      <w:keepLines/>
      <w:spacing w:before="480" w:after="120"/>
      <w:outlineLvl w:val="2"/>
    </w:pPr>
    <w:rPr>
      <w:rFonts w:eastAsiaTheme="majorEastAsia" w:cstheme="majorBidi"/>
      <w:b/>
      <w:color w:val="DF642F"/>
      <w:sz w:val="26"/>
      <w:szCs w:val="24"/>
    </w:rPr>
  </w:style>
  <w:style w:type="paragraph" w:styleId="Heading4">
    <w:name w:val="heading 4"/>
    <w:basedOn w:val="Normal"/>
    <w:next w:val="Normal"/>
    <w:link w:val="Heading4Char"/>
    <w:uiPriority w:val="9"/>
    <w:unhideWhenUsed/>
    <w:qFormat/>
    <w:rsid w:val="00462396"/>
    <w:pPr>
      <w:keepNext/>
      <w:keepLines/>
      <w:spacing w:before="480" w:after="12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D2D"/>
    <w:rPr>
      <w:rFonts w:ascii="Times New Roman" w:eastAsiaTheme="majorEastAsia" w:hAnsi="Times New Roman" w:cstheme="majorBidi"/>
      <w:sz w:val="44"/>
      <w:szCs w:val="32"/>
    </w:rPr>
  </w:style>
  <w:style w:type="character" w:customStyle="1" w:styleId="Heading2Char">
    <w:name w:val="Heading 2 Char"/>
    <w:basedOn w:val="DefaultParagraphFont"/>
    <w:link w:val="Heading2"/>
    <w:uiPriority w:val="9"/>
    <w:rsid w:val="008D0B51"/>
    <w:rPr>
      <w:rFonts w:ascii="Arial" w:eastAsiaTheme="majorEastAsia" w:hAnsi="Arial" w:cstheme="majorBidi"/>
      <w:b/>
      <w:color w:val="7E790A"/>
      <w:sz w:val="30"/>
      <w:szCs w:val="26"/>
    </w:rPr>
  </w:style>
  <w:style w:type="character" w:customStyle="1" w:styleId="Heading3Char">
    <w:name w:val="Heading 3 Char"/>
    <w:basedOn w:val="DefaultParagraphFont"/>
    <w:link w:val="Heading3"/>
    <w:uiPriority w:val="9"/>
    <w:rsid w:val="00CC20F9"/>
    <w:rPr>
      <w:rFonts w:ascii="Arial" w:eastAsiaTheme="majorEastAsia" w:hAnsi="Arial" w:cstheme="majorBidi"/>
      <w:b/>
      <w:color w:val="DF642F"/>
      <w:sz w:val="26"/>
      <w:szCs w:val="24"/>
    </w:rPr>
  </w:style>
  <w:style w:type="character" w:customStyle="1" w:styleId="Heading4Char">
    <w:name w:val="Heading 4 Char"/>
    <w:basedOn w:val="DefaultParagraphFont"/>
    <w:link w:val="Heading4"/>
    <w:uiPriority w:val="9"/>
    <w:rsid w:val="00462396"/>
    <w:rPr>
      <w:rFonts w:ascii="Arial" w:eastAsiaTheme="majorEastAsia" w:hAnsi="Arial" w:cstheme="majorBidi"/>
      <w:b/>
      <w:iCs/>
      <w:sz w:val="24"/>
    </w:rPr>
  </w:style>
  <w:style w:type="character" w:styleId="Strong">
    <w:name w:val="Strong"/>
    <w:basedOn w:val="DefaultParagraphFont"/>
    <w:uiPriority w:val="22"/>
    <w:qFormat/>
    <w:rsid w:val="00ED3A20"/>
    <w:rPr>
      <w:rFonts w:ascii="Arial" w:hAnsi="Arial"/>
      <w:b/>
      <w:bCs/>
    </w:rPr>
  </w:style>
  <w:style w:type="character" w:styleId="IntenseEmphasis">
    <w:name w:val="Intense Emphasis"/>
    <w:basedOn w:val="DefaultParagraphFont"/>
    <w:uiPriority w:val="21"/>
    <w:qFormat/>
    <w:rsid w:val="007C6755"/>
    <w:rPr>
      <w:i/>
      <w:iCs/>
      <w:color w:val="7F790B" w:themeColor="accent1"/>
    </w:rPr>
  </w:style>
  <w:style w:type="paragraph" w:styleId="ListParagraph">
    <w:name w:val="List Paragraph"/>
    <w:basedOn w:val="Normal"/>
    <w:uiPriority w:val="34"/>
    <w:qFormat/>
    <w:rsid w:val="00CC20F9"/>
    <w:pPr>
      <w:numPr>
        <w:numId w:val="1"/>
      </w:numPr>
      <w:ind w:hanging="357"/>
      <w:contextualSpacing/>
    </w:pPr>
  </w:style>
  <w:style w:type="paragraph" w:customStyle="1" w:styleId="Listnumbered">
    <w:name w:val="List numbered"/>
    <w:basedOn w:val="ListParagraph"/>
    <w:qFormat/>
    <w:rsid w:val="00227A80"/>
    <w:pPr>
      <w:numPr>
        <w:numId w:val="2"/>
      </w:numPr>
      <w:ind w:left="35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ABABAE" w:themeColor="accent4" w:themeTint="99"/>
        <w:left w:val="single" w:sz="4" w:space="0" w:color="ABABAE" w:themeColor="accent4" w:themeTint="99"/>
        <w:bottom w:val="single" w:sz="4" w:space="0" w:color="ABABAE" w:themeColor="accent4" w:themeTint="99"/>
        <w:right w:val="single" w:sz="4" w:space="0" w:color="ABABAE" w:themeColor="accent4" w:themeTint="99"/>
        <w:insideH w:val="single" w:sz="4" w:space="0" w:color="ABABAE" w:themeColor="accent4" w:themeTint="99"/>
        <w:insideV w:val="single" w:sz="4" w:space="0" w:color="ABABAE" w:themeColor="accent4" w:themeTint="99"/>
      </w:tblBorders>
    </w:tblPr>
    <w:tblStylePr w:type="firstRow">
      <w:rPr>
        <w:b/>
        <w:bCs/>
        <w:color w:val="FFFFFF" w:themeColor="background1"/>
      </w:rPr>
      <w:tblPr/>
      <w:tcPr>
        <w:tcBorders>
          <w:top w:val="single" w:sz="4" w:space="0" w:color="747579" w:themeColor="accent4"/>
          <w:left w:val="single" w:sz="4" w:space="0" w:color="747579" w:themeColor="accent4"/>
          <w:bottom w:val="single" w:sz="4" w:space="0" w:color="747579" w:themeColor="accent4"/>
          <w:right w:val="single" w:sz="4" w:space="0" w:color="747579" w:themeColor="accent4"/>
          <w:insideH w:val="nil"/>
          <w:insideV w:val="nil"/>
        </w:tcBorders>
        <w:shd w:val="clear" w:color="auto" w:fill="747579" w:themeFill="accent4"/>
      </w:tcPr>
    </w:tblStylePr>
    <w:tblStylePr w:type="lastRow">
      <w:rPr>
        <w:b/>
        <w:bCs/>
      </w:rPr>
      <w:tblPr/>
      <w:tcPr>
        <w:tcBorders>
          <w:top w:val="double" w:sz="4" w:space="0" w:color="747579"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customStyle="1" w:styleId="ANROWStablestyle">
    <w:name w:val="ANROWS table style"/>
    <w:basedOn w:val="TableNormal"/>
    <w:uiPriority w:val="99"/>
    <w:rsid w:val="00E17271"/>
    <w:pPr>
      <w:spacing w:after="0" w:line="360" w:lineRule="auto"/>
    </w:pPr>
    <w:rPr>
      <w:rFonts w:ascii="Arial" w:hAnsi="Arial"/>
    </w:rPr>
    <w:tblPr>
      <w:tblStyleRowBandSize w:val="1"/>
      <w:tblBorders>
        <w:top w:val="single" w:sz="4" w:space="0" w:color="auto"/>
        <w:bottom w:val="single" w:sz="4" w:space="0" w:color="auto"/>
      </w:tblBorders>
    </w:tblPr>
    <w:tcPr>
      <w:shd w:val="clear" w:color="auto" w:fill="000000" w:themeFill="text1"/>
      <w:vAlign w:val="center"/>
    </w:tcPr>
    <w:tblStylePr w:type="firstRow">
      <w:rPr>
        <w:rFonts w:ascii="Arial" w:hAnsi="Arial"/>
        <w:b/>
        <w:color w:val="FFFFFF" w:themeColor="background1"/>
      </w:rPr>
      <w:tblPr/>
      <w:tcPr>
        <w:shd w:val="clear" w:color="auto" w:fill="647480"/>
      </w:tcPr>
    </w:tblStylePr>
    <w:tblStylePr w:type="band1Horz">
      <w:tblPr/>
      <w:tcPr>
        <w:shd w:val="clear" w:color="auto" w:fill="FFFFFF" w:themeFill="background1"/>
      </w:tcPr>
    </w:tblStylePr>
    <w:tblStylePr w:type="band2Horz">
      <w:tblPr/>
      <w:tcPr>
        <w:shd w:val="clear" w:color="auto" w:fill="E8EAEA"/>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6F035F"/>
    <w:pPr>
      <w:tabs>
        <w:tab w:val="left" w:pos="284"/>
        <w:tab w:val="left" w:pos="9923"/>
      </w:tabs>
      <w:spacing w:after="0" w:line="240" w:lineRule="auto"/>
      <w:ind w:right="-340"/>
    </w:pPr>
    <w:rPr>
      <w:color w:val="7E790A"/>
    </w:rPr>
  </w:style>
  <w:style w:type="character" w:customStyle="1" w:styleId="FooterChar">
    <w:name w:val="Footer Char"/>
    <w:basedOn w:val="DefaultParagraphFont"/>
    <w:link w:val="Footer"/>
    <w:uiPriority w:val="99"/>
    <w:rsid w:val="006F035F"/>
    <w:rPr>
      <w:rFonts w:ascii="Arial" w:hAnsi="Arial"/>
      <w:color w:val="7E790A"/>
    </w:rPr>
  </w:style>
  <w:style w:type="paragraph" w:styleId="TOC1">
    <w:name w:val="toc 1"/>
    <w:basedOn w:val="Normal"/>
    <w:next w:val="Normal"/>
    <w:autoRedefine/>
    <w:uiPriority w:val="39"/>
    <w:unhideWhenUsed/>
    <w:rsid w:val="008D0B51"/>
    <w:pPr>
      <w:tabs>
        <w:tab w:val="right" w:pos="9350"/>
      </w:tabs>
      <w:spacing w:after="100"/>
    </w:pPr>
    <w:rPr>
      <w:b/>
      <w:noProof/>
      <w:color w:val="7E790A"/>
      <w:sz w:val="24"/>
      <w:szCs w:val="24"/>
    </w:rPr>
  </w:style>
  <w:style w:type="paragraph" w:styleId="TOC2">
    <w:name w:val="toc 2"/>
    <w:basedOn w:val="Normal"/>
    <w:next w:val="Normal"/>
    <w:autoRedefine/>
    <w:uiPriority w:val="39"/>
    <w:unhideWhenUsed/>
    <w:rsid w:val="00DC2886"/>
    <w:pPr>
      <w:tabs>
        <w:tab w:val="right" w:pos="9350"/>
      </w:tabs>
      <w:spacing w:after="100"/>
      <w:ind w:left="220"/>
    </w:pPr>
    <w:rPr>
      <w:noProof/>
    </w:rPr>
  </w:style>
  <w:style w:type="character" w:styleId="Hyperlink">
    <w:name w:val="Hyperlink"/>
    <w:basedOn w:val="DefaultParagraphFont"/>
    <w:uiPriority w:val="99"/>
    <w:unhideWhenUsed/>
    <w:rsid w:val="00ED3A20"/>
    <w:rPr>
      <w:rFonts w:ascii="Arial" w:hAnsi="Arial"/>
      <w:color w:val="7F790B" w:themeColor="hyperlink"/>
      <w:sz w:val="22"/>
      <w:u w:val="single"/>
    </w:rPr>
  </w:style>
  <w:style w:type="paragraph" w:customStyle="1" w:styleId="PullQuote">
    <w:name w:val="Pull Quote"/>
    <w:basedOn w:val="Normal"/>
    <w:qFormat/>
    <w:rsid w:val="008D0B51"/>
    <w:pPr>
      <w:spacing w:before="240" w:after="240"/>
    </w:pPr>
    <w:rPr>
      <w:color w:val="7E790A"/>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loutbox">
    <w:name w:val="Call out box"/>
    <w:basedOn w:val="TableNormal"/>
    <w:uiPriority w:val="99"/>
    <w:rsid w:val="001031C8"/>
    <w:pPr>
      <w:spacing w:before="120" w:after="120" w:line="240" w:lineRule="auto"/>
      <w:ind w:left="170" w:right="170"/>
    </w:pPr>
    <w:rPr>
      <w:rFonts w:ascii="Times New Roman" w:hAnsi="Times New Roman"/>
    </w:rPr>
    <w:tblPr/>
    <w:tcPr>
      <w:shd w:val="clear" w:color="auto" w:fill="E8EAEA"/>
    </w:tcPr>
    <w:tblStylePr w:type="firstRow">
      <w:pPr>
        <w:wordWrap/>
        <w:spacing w:beforeLines="0" w:before="120" w:beforeAutospacing="0" w:afterLines="0" w:after="120" w:afterAutospacing="0"/>
        <w:ind w:leftChars="0" w:left="170" w:rightChars="0" w:right="170"/>
      </w:pPr>
      <w:rPr>
        <w:rFonts w:ascii="Arial" w:hAnsi="Arial"/>
        <w:b/>
        <w:color w:val="797700"/>
        <w:sz w:val="22"/>
      </w:r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style>
  <w:style w:type="paragraph" w:customStyle="1" w:styleId="AcknowledgementStrong">
    <w:name w:val="Acknowledgement Strong"/>
    <w:basedOn w:val="Acknowledgement"/>
    <w:qFormat/>
    <w:rsid w:val="00651CFA"/>
    <w:rPr>
      <w:b/>
    </w:rPr>
  </w:style>
  <w:style w:type="paragraph" w:customStyle="1" w:styleId="Calloutbox-heading">
    <w:name w:val="Call out box - heading"/>
    <w:basedOn w:val="Normal"/>
    <w:qFormat/>
    <w:rsid w:val="00462396"/>
    <w:pPr>
      <w:spacing w:before="240" w:after="120" w:line="240" w:lineRule="auto"/>
      <w:ind w:left="170" w:right="170"/>
    </w:pPr>
    <w:rPr>
      <w:b/>
      <w:sz w:val="32"/>
    </w:rPr>
  </w:style>
  <w:style w:type="paragraph" w:customStyle="1" w:styleId="DocumentAuthors">
    <w:name w:val="Document Authors"/>
    <w:basedOn w:val="Heading3"/>
    <w:qFormat/>
    <w:rsid w:val="008D0B51"/>
    <w:pPr>
      <w:spacing w:before="240" w:after="240"/>
      <w:jc w:val="right"/>
    </w:pPr>
    <w:rPr>
      <w:b w:val="0"/>
      <w:color w:val="7E790A"/>
    </w:rPr>
  </w:style>
  <w:style w:type="paragraph" w:customStyle="1" w:styleId="DocumentDate">
    <w:name w:val="Document Date"/>
    <w:basedOn w:val="Normal"/>
    <w:qFormat/>
    <w:rsid w:val="00122787"/>
    <w:pPr>
      <w:spacing w:before="0"/>
      <w:jc w:val="right"/>
    </w:pPr>
    <w:rPr>
      <w:color w:val="647480"/>
      <w:sz w:val="24"/>
    </w:rPr>
  </w:style>
  <w:style w:type="paragraph" w:customStyle="1" w:styleId="Cover-title">
    <w:name w:val="Cover - title"/>
    <w:basedOn w:val="Heading1"/>
    <w:qFormat/>
    <w:rsid w:val="00C31646"/>
    <w:pPr>
      <w:spacing w:before="8000" w:after="120"/>
      <w:jc w:val="right"/>
    </w:pPr>
    <w:rPr>
      <w:b/>
      <w:sz w:val="48"/>
    </w:rPr>
  </w:style>
  <w:style w:type="paragraph" w:customStyle="1" w:styleId="Cover-subtitle">
    <w:name w:val="Cover - sub title"/>
    <w:basedOn w:val="Heading2"/>
    <w:qFormat/>
    <w:rsid w:val="00C31646"/>
    <w:pPr>
      <w:spacing w:before="240" w:after="960"/>
      <w:jc w:val="right"/>
    </w:pPr>
    <w:rPr>
      <w:rFonts w:ascii="Times New Roman" w:hAnsi="Times New Roman"/>
      <w:b w:val="0"/>
      <w:color w:val="auto"/>
      <w:sz w:val="36"/>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 w:val="18"/>
      <w:szCs w:val="18"/>
      <w:lang w:val="en-GB"/>
    </w:rPr>
  </w:style>
  <w:style w:type="paragraph" w:customStyle="1" w:styleId="Calloutbox-title">
    <w:name w:val="Call out box - title"/>
    <w:basedOn w:val="Normal"/>
    <w:autoRedefine/>
    <w:qFormat/>
    <w:rsid w:val="00E872D1"/>
    <w:pPr>
      <w:spacing w:after="120" w:line="240" w:lineRule="auto"/>
      <w:ind w:left="170" w:right="170"/>
    </w:pPr>
    <w:rPr>
      <w:b/>
      <w:bCs/>
      <w:color w:val="7E790A"/>
      <w:sz w:val="28"/>
    </w:rPr>
  </w:style>
  <w:style w:type="paragraph" w:styleId="TOCHeading">
    <w:name w:val="TOC Heading"/>
    <w:basedOn w:val="Heading2"/>
    <w:next w:val="Normal"/>
    <w:uiPriority w:val="39"/>
    <w:unhideWhenUsed/>
    <w:qFormat/>
    <w:rsid w:val="00DB0A0D"/>
    <w:rPr>
      <w:rFonts w:ascii="Times New Roman" w:hAnsi="Times New Roman"/>
      <w:b w:val="0"/>
      <w:bCs/>
      <w:color w:val="auto"/>
      <w:sz w:val="60"/>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contextualSpacing w:val="0"/>
    </w:pPr>
  </w:style>
  <w:style w:type="paragraph" w:customStyle="1" w:styleId="Partheading">
    <w:name w:val="'Part' heading"/>
    <w:basedOn w:val="Heading1"/>
    <w:qFormat/>
    <w:rsid w:val="008D0B51"/>
    <w:pPr>
      <w:spacing w:before="1440" w:after="120"/>
    </w:pPr>
    <w:rPr>
      <w:b/>
      <w:color w:val="7E790A"/>
      <w:sz w:val="30"/>
    </w:rPr>
  </w:style>
  <w:style w:type="table" w:customStyle="1" w:styleId="Style1">
    <w:name w:val="Style1"/>
    <w:basedOn w:val="TableNormal"/>
    <w:uiPriority w:val="99"/>
    <w:rsid w:val="00464462"/>
    <w:pPr>
      <w:spacing w:after="0" w:line="240" w:lineRule="auto"/>
    </w:pPr>
    <w:tblPr>
      <w:tblCellMar>
        <w:top w:w="113" w:type="dxa"/>
        <w:left w:w="227" w:type="dxa"/>
        <w:bottom w:w="113" w:type="dxa"/>
      </w:tblCellMar>
    </w:tblPr>
    <w:tblStylePr w:type="firstCol">
      <w:pPr>
        <w:jc w:val="right"/>
      </w:pPr>
      <w:rPr>
        <w:b/>
      </w:rPr>
      <w:tblPr>
        <w:tblCellMar>
          <w:top w:w="113" w:type="dxa"/>
          <w:left w:w="108" w:type="dxa"/>
          <w:bottom w:w="113" w:type="dxa"/>
          <w:right w:w="227" w:type="dxa"/>
        </w:tblCellMar>
      </w:tbl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paragraph" w:styleId="NormalWeb">
    <w:name w:val="Normal (Web)"/>
    <w:basedOn w:val="Normal"/>
    <w:uiPriority w:val="99"/>
    <w:unhideWhenUsed/>
    <w:rsid w:val="00A95A80"/>
    <w:pPr>
      <w:spacing w:before="100" w:beforeAutospacing="1" w:after="100" w:afterAutospacing="1" w:line="240" w:lineRule="auto"/>
    </w:pPr>
    <w:rPr>
      <w:rFonts w:eastAsia="Times New Roman" w:cs="Times New Roman"/>
      <w:sz w:val="24"/>
      <w:szCs w:val="24"/>
      <w:lang w:val="en-AU" w:eastAsia="en-AU"/>
    </w:rPr>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Revision">
    <w:name w:val="Revision"/>
    <w:hidden/>
    <w:uiPriority w:val="99"/>
    <w:semiHidden/>
    <w:rsid w:val="00213DAF"/>
    <w:pPr>
      <w:spacing w:after="0" w:line="240" w:lineRule="auto"/>
    </w:pPr>
    <w:rPr>
      <w:rFonts w:ascii="Times New Roman" w:hAnsi="Times New Roman"/>
    </w:rPr>
  </w:style>
  <w:style w:type="character" w:styleId="Emphasis">
    <w:name w:val="Emphasis"/>
    <w:basedOn w:val="DefaultParagraphFont"/>
    <w:uiPriority w:val="20"/>
    <w:qFormat/>
    <w:rsid w:val="00334E4E"/>
    <w:rPr>
      <w:i/>
      <w:iCs/>
    </w:rPr>
  </w:style>
  <w:style w:type="table" w:customStyle="1" w:styleId="TickandCros">
    <w:name w:val="Tick and Cros"/>
    <w:basedOn w:val="TableNormal"/>
    <w:uiPriority w:val="99"/>
    <w:rsid w:val="00673A07"/>
    <w:pPr>
      <w:spacing w:after="0" w:line="240" w:lineRule="auto"/>
    </w:pPr>
    <w:tblPr>
      <w:tblCellSpacing w:w="2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13" w:type="dxa"/>
        <w:bottom w:w="113" w:type="dxa"/>
      </w:tblCellMar>
    </w:tblPr>
    <w:trPr>
      <w:tblCellSpacing w:w="28" w:type="dxa"/>
    </w:trPr>
    <w:tcPr>
      <w:shd w:val="clear" w:color="auto" w:fill="F2F2F2" w:themeFill="background2" w:themeFillShade="F2"/>
    </w:tcPr>
  </w:style>
  <w:style w:type="paragraph" w:customStyle="1" w:styleId="Calloutbox-subheading">
    <w:name w:val="Call out box - subheading"/>
    <w:basedOn w:val="Heading3"/>
    <w:qFormat/>
    <w:rsid w:val="00E872D1"/>
    <w:pPr>
      <w:spacing w:before="120" w:line="240" w:lineRule="auto"/>
      <w:ind w:left="170" w:right="170"/>
    </w:pPr>
    <w:rPr>
      <w:sz w:val="28"/>
    </w:rPr>
  </w:style>
  <w:style w:type="paragraph" w:styleId="FootnoteText">
    <w:name w:val="footnote text"/>
    <w:basedOn w:val="Normal"/>
    <w:link w:val="FootnoteTextChar"/>
    <w:uiPriority w:val="99"/>
    <w:semiHidden/>
    <w:unhideWhenUsed/>
    <w:rsid w:val="00836FE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36FE7"/>
    <w:rPr>
      <w:rFonts w:ascii="Arial" w:hAnsi="Arial"/>
      <w:sz w:val="20"/>
      <w:szCs w:val="20"/>
    </w:rPr>
  </w:style>
  <w:style w:type="character" w:styleId="FootnoteReference">
    <w:name w:val="footnote reference"/>
    <w:basedOn w:val="DefaultParagraphFont"/>
    <w:uiPriority w:val="99"/>
    <w:semiHidden/>
    <w:unhideWhenUsed/>
    <w:rsid w:val="00836F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3199">
      <w:bodyDiv w:val="1"/>
      <w:marLeft w:val="0"/>
      <w:marRight w:val="0"/>
      <w:marTop w:val="0"/>
      <w:marBottom w:val="0"/>
      <w:divBdr>
        <w:top w:val="none" w:sz="0" w:space="0" w:color="auto"/>
        <w:left w:val="none" w:sz="0" w:space="0" w:color="auto"/>
        <w:bottom w:val="none" w:sz="0" w:space="0" w:color="auto"/>
        <w:right w:val="none" w:sz="0" w:space="0" w:color="auto"/>
      </w:divBdr>
    </w:div>
    <w:div w:id="261256693">
      <w:bodyDiv w:val="1"/>
      <w:marLeft w:val="0"/>
      <w:marRight w:val="0"/>
      <w:marTop w:val="0"/>
      <w:marBottom w:val="0"/>
      <w:divBdr>
        <w:top w:val="none" w:sz="0" w:space="0" w:color="auto"/>
        <w:left w:val="none" w:sz="0" w:space="0" w:color="auto"/>
        <w:bottom w:val="none" w:sz="0" w:space="0" w:color="auto"/>
        <w:right w:val="none" w:sz="0" w:space="0" w:color="auto"/>
      </w:divBdr>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 w:id="1212183767">
      <w:bodyDiv w:val="1"/>
      <w:marLeft w:val="0"/>
      <w:marRight w:val="0"/>
      <w:marTop w:val="0"/>
      <w:marBottom w:val="0"/>
      <w:divBdr>
        <w:top w:val="none" w:sz="0" w:space="0" w:color="auto"/>
        <w:left w:val="none" w:sz="0" w:space="0" w:color="auto"/>
        <w:bottom w:val="none" w:sz="0" w:space="0" w:color="auto"/>
        <w:right w:val="none" w:sz="0" w:space="0" w:color="auto"/>
      </w:divBdr>
    </w:div>
    <w:div w:id="1819301037">
      <w:bodyDiv w:val="1"/>
      <w:marLeft w:val="0"/>
      <w:marRight w:val="0"/>
      <w:marTop w:val="0"/>
      <w:marBottom w:val="0"/>
      <w:divBdr>
        <w:top w:val="none" w:sz="0" w:space="0" w:color="auto"/>
        <w:left w:val="none" w:sz="0" w:space="0" w:color="auto"/>
        <w:bottom w:val="none" w:sz="0" w:space="0" w:color="auto"/>
        <w:right w:val="none" w:sz="0" w:space="0" w:color="auto"/>
      </w:divBdr>
    </w:div>
    <w:div w:id="2012053251">
      <w:bodyDiv w:val="1"/>
      <w:marLeft w:val="0"/>
      <w:marRight w:val="0"/>
      <w:marTop w:val="0"/>
      <w:marBottom w:val="0"/>
      <w:divBdr>
        <w:top w:val="none" w:sz="0" w:space="0" w:color="auto"/>
        <w:left w:val="none" w:sz="0" w:space="0" w:color="auto"/>
        <w:bottom w:val="none" w:sz="0" w:space="0" w:color="auto"/>
        <w:right w:val="none" w:sz="0" w:space="0" w:color="auto"/>
      </w:divBdr>
    </w:div>
    <w:div w:id="2118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ihw.gov.au/reports-statistics/health-conditions-disability-deaths/burden-of-disease/overview" TargetMode="External"/><Relationship Id="rId18" Type="http://schemas.openxmlformats.org/officeDocument/2006/relationships/hyperlink" Target="https://www.vichealth.vic.gov.au/media-and-resources/publications/2013-national-community-attitud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nrows.org.au/" TargetMode="External"/><Relationship Id="rId7" Type="http://schemas.openxmlformats.org/officeDocument/2006/relationships/endnotes" Target="endnotes.xml"/><Relationship Id="rId12" Type="http://schemas.openxmlformats.org/officeDocument/2006/relationships/hyperlink" Target="http://www.abs.gov.au/ausstats/abs@.nsf/mf/4906.0" TargetMode="External"/><Relationship Id="rId17" Type="http://schemas.openxmlformats.org/officeDocument/2006/relationships/hyperlink" Target="http://www.endvawnow.org/uploads/browser/files/vaw_prevalence_matrix_15april_201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2c0ikyv46o3b1.cloudfront.net/anrows.org.au/ANROWS%20PSS2016%20Fact%20Sheet%20HR.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ausstats/abs%40.nsf/mf/471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ihw.gov.au/reports/homelessness-services/specialist-homelessness-services/data"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vichealth.vic.gov.au/media-and-resources/publications/2013-national-community-attitud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teor.aihw.gov.au/content/index.phtml/itemId/394352"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nrows.org.au/publications/landscapes-0/invisible-women-invisible-violence-understanding-and-improving-data-the" TargetMode="External"/></Relationships>
</file>

<file path=word/theme/theme1.xml><?xml version="1.0" encoding="utf-8"?>
<a:theme xmlns:a="http://schemas.openxmlformats.org/drawingml/2006/main" name="Office Theme">
  <a:themeElements>
    <a:clrScheme name="ANROWS">
      <a:dk1>
        <a:sysClr val="windowText" lastClr="000000"/>
      </a:dk1>
      <a:lt1>
        <a:sysClr val="window" lastClr="FFFFFF"/>
      </a:lt1>
      <a:dk2>
        <a:srgbClr val="6C7982"/>
      </a:dk2>
      <a:lt2>
        <a:srgbClr val="FFFFFF"/>
      </a:lt2>
      <a:accent1>
        <a:srgbClr val="7F790B"/>
      </a:accent1>
      <a:accent2>
        <a:srgbClr val="6C7982"/>
      </a:accent2>
      <a:accent3>
        <a:srgbClr val="906B7D"/>
      </a:accent3>
      <a:accent4>
        <a:srgbClr val="747579"/>
      </a:accent4>
      <a:accent5>
        <a:srgbClr val="1C345A"/>
      </a:accent5>
      <a:accent6>
        <a:srgbClr val="6C7982"/>
      </a:accent6>
      <a:hlink>
        <a:srgbClr val="7F790B"/>
      </a:hlink>
      <a:folHlink>
        <a:srgbClr val="7F79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66E3-3908-4F54-9CEF-01BA4B1B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Accurate use of key statistics</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Accurate use of key statistics</dc:title>
  <dc:subject/>
  <dc:creator>Australia's National Research Organisation for Women's Safety</dc:creator>
  <cp:keywords/>
  <dc:description/>
  <cp:lastModifiedBy>Larry Hudson</cp:lastModifiedBy>
  <cp:revision>17</cp:revision>
  <dcterms:created xsi:type="dcterms:W3CDTF">2021-05-19T05:21:00Z</dcterms:created>
  <dcterms:modified xsi:type="dcterms:W3CDTF">2021-07-27T02:25:00Z</dcterms:modified>
</cp:coreProperties>
</file>