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14DA" w14:textId="3CF1AEFC" w:rsidR="00A81535" w:rsidRPr="009B25AE" w:rsidRDefault="007B0154" w:rsidP="007B0154">
      <w:pPr>
        <w:pStyle w:val="NoSpacing"/>
        <w:rPr>
          <w:lang w:val="en-AU"/>
        </w:rPr>
      </w:pPr>
      <w:bookmarkStart w:id="0" w:name="_Toc72147802"/>
      <w:r w:rsidRPr="009B25AE">
        <w:rPr>
          <w:noProof/>
          <w:lang w:val="en-AU"/>
        </w:rPr>
        <w:drawing>
          <wp:anchor distT="0" distB="0" distL="114300" distR="114300" simplePos="0" relativeHeight="251658240" behindDoc="1" locked="0" layoutInCell="1" allowOverlap="1" wp14:anchorId="4858B010" wp14:editId="53645D7F">
            <wp:simplePos x="0" y="0"/>
            <wp:positionH relativeFrom="margin">
              <wp:posOffset>-737870</wp:posOffset>
            </wp:positionH>
            <wp:positionV relativeFrom="paragraph">
              <wp:posOffset>-1614805</wp:posOffset>
            </wp:positionV>
            <wp:extent cx="7776000" cy="3235098"/>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6000" cy="3235098"/>
                    </a:xfrm>
                    <a:prstGeom prst="rect">
                      <a:avLst/>
                    </a:prstGeom>
                    <a:noFill/>
                    <a:ln>
                      <a:noFill/>
                    </a:ln>
                  </pic:spPr>
                </pic:pic>
              </a:graphicData>
            </a:graphic>
            <wp14:sizeRelH relativeFrom="page">
              <wp14:pctWidth>0</wp14:pctWidth>
            </wp14:sizeRelH>
            <wp14:sizeRelV relativeFrom="page">
              <wp14:pctHeight>0</wp14:pctHeight>
            </wp14:sizeRelV>
          </wp:anchor>
        </w:drawing>
      </w:r>
      <w:r w:rsidR="00A81535" w:rsidRPr="009B25AE">
        <w:rPr>
          <w:noProof/>
          <w:lang w:val="en-AU"/>
        </w:rPr>
        <w:drawing>
          <wp:inline distT="0" distB="0" distL="0" distR="0" wp14:anchorId="62483C08" wp14:editId="460ED4DC">
            <wp:extent cx="1440000" cy="213017"/>
            <wp:effectExtent l="0" t="0" r="0" b="0"/>
            <wp:docPr id="4" name="Picture 4" descr="Australia's National Research Organisation for Women's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s National Research Organisation for Women's Safe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213017"/>
                    </a:xfrm>
                    <a:prstGeom prst="rect">
                      <a:avLst/>
                    </a:prstGeom>
                    <a:noFill/>
                    <a:ln>
                      <a:noFill/>
                    </a:ln>
                  </pic:spPr>
                </pic:pic>
              </a:graphicData>
            </a:graphic>
          </wp:inline>
        </w:drawing>
      </w:r>
    </w:p>
    <w:bookmarkEnd w:id="0"/>
    <w:p w14:paraId="0BB5FE77" w14:textId="174DBFE3" w:rsidR="00694553" w:rsidRPr="009B25AE" w:rsidRDefault="00A81535" w:rsidP="00E9672B">
      <w:pPr>
        <w:pStyle w:val="DocumentAuthors"/>
        <w:spacing w:before="480"/>
        <w:jc w:val="left"/>
        <w:outlineLvl w:val="9"/>
        <w:rPr>
          <w:b/>
          <w:bCs/>
          <w:sz w:val="24"/>
          <w:lang w:val="en-AU"/>
        </w:rPr>
      </w:pPr>
      <w:r w:rsidRPr="009B25AE">
        <w:rPr>
          <w:b/>
          <w:bCs/>
          <w:sz w:val="24"/>
          <w:lang w:val="en-AU"/>
        </w:rPr>
        <w:t>Domestic &amp; Family Violence Lethality</w:t>
      </w:r>
    </w:p>
    <w:p w14:paraId="7C00995B" w14:textId="67065287" w:rsidR="00651CFA" w:rsidRPr="009B25AE" w:rsidRDefault="00A81535" w:rsidP="00E9672B">
      <w:pPr>
        <w:pStyle w:val="NoSpacing"/>
        <w:outlineLvl w:val="0"/>
        <w:rPr>
          <w:rFonts w:ascii="Arial" w:hAnsi="Arial" w:cs="Arial"/>
          <w:b/>
          <w:bCs/>
          <w:sz w:val="48"/>
          <w:szCs w:val="48"/>
          <w:lang w:val="en-AU"/>
        </w:rPr>
      </w:pPr>
      <w:r w:rsidRPr="009B25AE">
        <w:rPr>
          <w:rFonts w:ascii="Arial" w:hAnsi="Arial" w:cs="Arial"/>
          <w:b/>
          <w:bCs/>
          <w:sz w:val="48"/>
          <w:szCs w:val="48"/>
          <w:lang w:val="en-AU"/>
        </w:rPr>
        <w:t>The Facts About Intimate Partner Homicide</w:t>
      </w:r>
    </w:p>
    <w:p w14:paraId="33C2D51E" w14:textId="77777777" w:rsidR="007B0154" w:rsidRPr="009B25AE" w:rsidRDefault="007B0154" w:rsidP="007B0154">
      <w:pPr>
        <w:spacing w:before="1080"/>
        <w:rPr>
          <w:lang w:val="en-AU"/>
        </w:rPr>
      </w:pPr>
      <w:r w:rsidRPr="009B25AE">
        <w:rPr>
          <w:lang w:val="en-AU"/>
        </w:rPr>
        <w:t xml:space="preserve">Between 1 July 2010 and 30 June 2014 there were </w:t>
      </w:r>
      <w:r w:rsidRPr="009B25AE">
        <w:rPr>
          <w:b/>
          <w:bCs/>
          <w:lang w:val="en-AU"/>
        </w:rPr>
        <w:t>152 intimate partner homicides</w:t>
      </w:r>
      <w:r w:rsidRPr="009B25AE">
        <w:rPr>
          <w:lang w:val="en-AU"/>
        </w:rPr>
        <w:t xml:space="preserve"> in Australia that followed an identifiable history of domestic violence (DV</w:t>
      </w:r>
      <w:proofErr w:type="gramStart"/>
      <w:r w:rsidRPr="009B25AE">
        <w:rPr>
          <w:lang w:val="en-AU"/>
        </w:rPr>
        <w:t>).¹</w:t>
      </w:r>
      <w:proofErr w:type="gramEnd"/>
    </w:p>
    <w:p w14:paraId="5476C19B" w14:textId="77777777" w:rsidR="007B0154" w:rsidRPr="009B25AE" w:rsidRDefault="007B0154" w:rsidP="007B0154">
      <w:pPr>
        <w:rPr>
          <w:lang w:val="en-AU"/>
        </w:rPr>
      </w:pPr>
      <w:proofErr w:type="gramStart"/>
      <w:r w:rsidRPr="009B25AE">
        <w:rPr>
          <w:lang w:val="en-AU"/>
        </w:rPr>
        <w:t>The majority of</w:t>
      </w:r>
      <w:proofErr w:type="gramEnd"/>
      <w:r w:rsidRPr="009B25AE">
        <w:rPr>
          <w:lang w:val="en-AU"/>
        </w:rPr>
        <w:t xml:space="preserve"> these homicides involved a man killing his female intimate partner</w:t>
      </w:r>
      <w:r w:rsidRPr="009B25AE">
        <w:rPr>
          <w:vertAlign w:val="superscript"/>
          <w:lang w:val="en-AU"/>
        </w:rPr>
        <w:t>²</w:t>
      </w:r>
      <w:r w:rsidRPr="009B25AE">
        <w:rPr>
          <w:lang w:val="en-AU"/>
        </w:rPr>
        <w:t xml:space="preserve"> (121 cases, or 80%). </w:t>
      </w:r>
      <w:proofErr w:type="gramStart"/>
      <w:r w:rsidRPr="009B25AE">
        <w:rPr>
          <w:lang w:val="en-AU"/>
        </w:rPr>
        <w:t>The majority of</w:t>
      </w:r>
      <w:proofErr w:type="gramEnd"/>
      <w:r w:rsidRPr="009B25AE">
        <w:rPr>
          <w:lang w:val="en-AU"/>
        </w:rPr>
        <w:t xml:space="preserve"> men who killed a female intimate partner in the context of DV had been the </w:t>
      </w:r>
      <w:r w:rsidRPr="009B25AE">
        <w:rPr>
          <w:b/>
          <w:bCs/>
          <w:lang w:val="en-AU"/>
        </w:rPr>
        <w:t>primary DV abuser³</w:t>
      </w:r>
      <w:r w:rsidRPr="009B25AE">
        <w:rPr>
          <w:lang w:val="en-AU"/>
        </w:rPr>
        <w:t xml:space="preserve"> against their partner prior to killing her.</w:t>
      </w:r>
    </w:p>
    <w:p w14:paraId="6AEE2BC0" w14:textId="77777777" w:rsidR="007B0154" w:rsidRPr="009B25AE" w:rsidRDefault="007B0154" w:rsidP="007B0154">
      <w:pPr>
        <w:rPr>
          <w:lang w:val="en-AU"/>
        </w:rPr>
      </w:pPr>
      <w:r w:rsidRPr="009B25AE">
        <w:rPr>
          <w:lang w:val="en-AU"/>
        </w:rPr>
        <w:t xml:space="preserve">Fewer intimate partner homicides involved a woman killing her male intimate partner (28 cases, or 18%) and </w:t>
      </w:r>
      <w:proofErr w:type="gramStart"/>
      <w:r w:rsidRPr="009B25AE">
        <w:rPr>
          <w:lang w:val="en-AU"/>
        </w:rPr>
        <w:t>the majority of</w:t>
      </w:r>
      <w:proofErr w:type="gramEnd"/>
      <w:r w:rsidRPr="009B25AE">
        <w:rPr>
          <w:lang w:val="en-AU"/>
        </w:rPr>
        <w:t xml:space="preserve"> these women were primary </w:t>
      </w:r>
      <w:r w:rsidRPr="009B25AE">
        <w:rPr>
          <w:b/>
          <w:bCs/>
          <w:lang w:val="en-AU"/>
        </w:rPr>
        <w:t>DV victims</w:t>
      </w:r>
      <w:r w:rsidRPr="009B25AE">
        <w:rPr>
          <w:b/>
          <w:bCs/>
          <w:vertAlign w:val="superscript"/>
          <w:lang w:val="en-AU"/>
        </w:rPr>
        <w:t>4</w:t>
      </w:r>
      <w:r w:rsidRPr="009B25AE">
        <w:rPr>
          <w:b/>
          <w:bCs/>
          <w:lang w:val="en-AU"/>
        </w:rPr>
        <w:t xml:space="preserve"> who killed a male abuser</w:t>
      </w:r>
      <w:r w:rsidRPr="009B25AE">
        <w:rPr>
          <w:lang w:val="en-AU"/>
        </w:rPr>
        <w:t>.</w:t>
      </w:r>
    </w:p>
    <w:p w14:paraId="54D86BA0" w14:textId="2170ACD6" w:rsidR="00265D2C" w:rsidRPr="009B25AE" w:rsidRDefault="007B0154" w:rsidP="00E9672B">
      <w:pPr>
        <w:rPr>
          <w:lang w:val="en-AU"/>
        </w:rPr>
      </w:pPr>
      <w:r w:rsidRPr="009B25AE">
        <w:rPr>
          <w:lang w:val="en-AU"/>
        </w:rPr>
        <w:t>In this period, three men killed their male intimate partners—two were primary DV abusers and one was a primary DV victim. No women killed a female intimate partner.</w:t>
      </w:r>
    </w:p>
    <w:p w14:paraId="020955B3" w14:textId="2A3C8EFB" w:rsidR="00265D2C" w:rsidRPr="009B25AE" w:rsidRDefault="000A0EEC" w:rsidP="00265D2C">
      <w:pPr>
        <w:rPr>
          <w:lang w:val="en-AU"/>
        </w:rPr>
      </w:pPr>
      <w:r w:rsidRPr="009B25AE">
        <w:rPr>
          <w:noProof/>
          <w:lang w:val="en-AU"/>
        </w:rPr>
        <w:drawing>
          <wp:inline distT="0" distB="0" distL="0" distR="0" wp14:anchorId="5231C30A" wp14:editId="3903DA13">
            <wp:extent cx="6283576" cy="3399039"/>
            <wp:effectExtent l="0" t="0" r="0" b="0"/>
            <wp:docPr id="5" name="Picture 5" descr="Information is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nformation is in the table below"/>
                    <pic:cNvPicPr>
                      <a:picLocks noChangeAspect="1" noChangeArrowheads="1"/>
                    </pic:cNvPicPr>
                  </pic:nvPicPr>
                  <pic:blipFill rotWithShape="1">
                    <a:blip r:embed="rId10">
                      <a:extLst>
                        <a:ext uri="{28A0092B-C50C-407E-A947-70E740481C1C}">
                          <a14:useLocalDpi xmlns:a14="http://schemas.microsoft.com/office/drawing/2010/main" val="0"/>
                        </a:ext>
                      </a:extLst>
                    </a:blip>
                    <a:srcRect b="53504"/>
                    <a:stretch/>
                  </pic:blipFill>
                  <pic:spPr bwMode="auto">
                    <a:xfrm>
                      <a:off x="0" y="0"/>
                      <a:ext cx="6283576" cy="3399039"/>
                    </a:xfrm>
                    <a:prstGeom prst="rect">
                      <a:avLst/>
                    </a:prstGeom>
                    <a:noFill/>
                    <a:ln>
                      <a:noFill/>
                    </a:ln>
                    <a:extLst>
                      <a:ext uri="{53640926-AAD7-44D8-BBD7-CCE9431645EC}">
                        <a14:shadowObscured xmlns:a14="http://schemas.microsoft.com/office/drawing/2010/main"/>
                      </a:ext>
                    </a:extLst>
                  </pic:spPr>
                </pic:pic>
              </a:graphicData>
            </a:graphic>
          </wp:inline>
        </w:drawing>
      </w:r>
    </w:p>
    <w:p w14:paraId="65826212" w14:textId="77777777" w:rsidR="00E9672B" w:rsidRPr="009B25AE" w:rsidRDefault="00E9672B">
      <w:pPr>
        <w:spacing w:before="0"/>
        <w:rPr>
          <w:lang w:val="en-AU"/>
        </w:rPr>
      </w:pPr>
      <w:r w:rsidRPr="009B25AE">
        <w:rPr>
          <w:lang w:val="en-AU"/>
        </w:rPr>
        <w:br w:type="page"/>
      </w:r>
    </w:p>
    <w:p w14:paraId="3A138D74" w14:textId="4118210F" w:rsidR="000A0EEC" w:rsidRPr="009B25AE" w:rsidRDefault="00265D2C" w:rsidP="00E9672B">
      <w:pPr>
        <w:rPr>
          <w:lang w:val="en-AU"/>
        </w:rPr>
      </w:pPr>
      <w:r w:rsidRPr="009B25AE">
        <w:rPr>
          <w:lang w:val="en-AU"/>
        </w:rPr>
        <w:lastRenderedPageBreak/>
        <w:t>Text alternative for image above</w:t>
      </w:r>
    </w:p>
    <w:tbl>
      <w:tblPr>
        <w:tblStyle w:val="ANROWStablestyle"/>
        <w:tblW w:w="5000" w:type="pct"/>
        <w:tblLook w:val="04A0" w:firstRow="1" w:lastRow="0" w:firstColumn="1" w:lastColumn="0" w:noHBand="0" w:noVBand="1"/>
      </w:tblPr>
      <w:tblGrid>
        <w:gridCol w:w="4855"/>
        <w:gridCol w:w="2534"/>
        <w:gridCol w:w="2532"/>
      </w:tblGrid>
      <w:tr w:rsidR="00265D2C" w:rsidRPr="009B25AE" w14:paraId="65FA5355" w14:textId="4B80E108" w:rsidTr="00265D2C">
        <w:trPr>
          <w:cnfStyle w:val="100000000000" w:firstRow="1" w:lastRow="0" w:firstColumn="0" w:lastColumn="0" w:oddVBand="0" w:evenVBand="0" w:oddHBand="0" w:evenHBand="0" w:firstRowFirstColumn="0" w:firstRowLastColumn="0" w:lastRowFirstColumn="0" w:lastRowLastColumn="0"/>
          <w:tblHeader/>
        </w:trPr>
        <w:tc>
          <w:tcPr>
            <w:tcW w:w="2447" w:type="pct"/>
          </w:tcPr>
          <w:p w14:paraId="1D2FA24F" w14:textId="7D335F90" w:rsidR="00265D2C" w:rsidRPr="009B25AE" w:rsidRDefault="00265D2C" w:rsidP="000A0EEC">
            <w:pPr>
              <w:pStyle w:val="NormalWeb"/>
              <w:spacing w:before="120" w:beforeAutospacing="0" w:after="120" w:afterAutospacing="0"/>
            </w:pPr>
            <w:bookmarkStart w:id="1" w:name="_Toc72147807"/>
            <w:r w:rsidRPr="009B25AE">
              <w:t>Question</w:t>
            </w:r>
          </w:p>
        </w:tc>
        <w:tc>
          <w:tcPr>
            <w:tcW w:w="1277" w:type="pct"/>
          </w:tcPr>
          <w:p w14:paraId="47726BAB" w14:textId="432030AF" w:rsidR="00265D2C" w:rsidRPr="009B25AE" w:rsidRDefault="00265D2C" w:rsidP="00265D2C">
            <w:pPr>
              <w:rPr>
                <w:b w:val="0"/>
                <w:bCs/>
                <w:lang w:val="en-AU"/>
              </w:rPr>
            </w:pPr>
            <w:r w:rsidRPr="009B25AE">
              <w:rPr>
                <w:bCs/>
                <w:lang w:val="en-AU"/>
              </w:rPr>
              <w:t>Men who killed their female partners</w:t>
            </w:r>
          </w:p>
        </w:tc>
        <w:tc>
          <w:tcPr>
            <w:tcW w:w="1276" w:type="pct"/>
          </w:tcPr>
          <w:p w14:paraId="2A45D3CA" w14:textId="1D7EE6D8" w:rsidR="00265D2C" w:rsidRPr="009B25AE" w:rsidRDefault="00265D2C" w:rsidP="00265D2C">
            <w:pPr>
              <w:rPr>
                <w:b w:val="0"/>
                <w:bCs/>
                <w:lang w:val="en-AU"/>
              </w:rPr>
            </w:pPr>
            <w:r w:rsidRPr="009B25AE">
              <w:rPr>
                <w:bCs/>
                <w:lang w:val="en-AU"/>
              </w:rPr>
              <w:t>Women who killed their male partners</w:t>
            </w:r>
          </w:p>
        </w:tc>
      </w:tr>
      <w:tr w:rsidR="00265D2C" w:rsidRPr="009B25AE" w14:paraId="356BDCE9" w14:textId="53DAA4BA" w:rsidTr="00265D2C">
        <w:trPr>
          <w:cnfStyle w:val="000000100000" w:firstRow="0" w:lastRow="0" w:firstColumn="0" w:lastColumn="0" w:oddVBand="0" w:evenVBand="0" w:oddHBand="1" w:evenHBand="0" w:firstRowFirstColumn="0" w:firstRowLastColumn="0" w:lastRowFirstColumn="0" w:lastRowLastColumn="0"/>
          <w:trHeight w:val="363"/>
        </w:trPr>
        <w:tc>
          <w:tcPr>
            <w:tcW w:w="2447" w:type="pct"/>
            <w:hideMark/>
          </w:tcPr>
          <w:p w14:paraId="4F5BE14F" w14:textId="0870068D" w:rsidR="00265D2C" w:rsidRPr="009B25AE" w:rsidRDefault="00265D2C" w:rsidP="00265D2C">
            <w:pPr>
              <w:pStyle w:val="NormalWeb"/>
              <w:spacing w:before="120" w:beforeAutospacing="0" w:after="120" w:afterAutospacing="0"/>
            </w:pPr>
            <w:r w:rsidRPr="009B25AE">
              <w:t>Total number of cases</w:t>
            </w:r>
          </w:p>
        </w:tc>
        <w:tc>
          <w:tcPr>
            <w:tcW w:w="1277" w:type="pct"/>
            <w:hideMark/>
          </w:tcPr>
          <w:p w14:paraId="12DF7017" w14:textId="392CEB12" w:rsidR="00265D2C" w:rsidRPr="009B25AE" w:rsidRDefault="00265D2C" w:rsidP="00265D2C">
            <w:pPr>
              <w:pStyle w:val="NormalWeb"/>
              <w:spacing w:before="120" w:beforeAutospacing="0" w:after="120" w:afterAutospacing="0"/>
              <w:jc w:val="center"/>
            </w:pPr>
            <w:r w:rsidRPr="009B25AE">
              <w:t>121</w:t>
            </w:r>
          </w:p>
        </w:tc>
        <w:tc>
          <w:tcPr>
            <w:tcW w:w="1276" w:type="pct"/>
          </w:tcPr>
          <w:p w14:paraId="05EE6431" w14:textId="5F45264E" w:rsidR="00265D2C" w:rsidRPr="009B25AE" w:rsidRDefault="00265D2C" w:rsidP="00265D2C">
            <w:pPr>
              <w:pStyle w:val="NormalWeb"/>
              <w:spacing w:before="120" w:beforeAutospacing="0" w:after="120" w:afterAutospacing="0"/>
              <w:jc w:val="center"/>
            </w:pPr>
            <w:r w:rsidRPr="009B25AE">
              <w:t>28</w:t>
            </w:r>
          </w:p>
        </w:tc>
      </w:tr>
      <w:tr w:rsidR="00265D2C" w:rsidRPr="009B25AE" w14:paraId="777AC680" w14:textId="25865F81" w:rsidTr="00265D2C">
        <w:trPr>
          <w:cnfStyle w:val="000000010000" w:firstRow="0" w:lastRow="0" w:firstColumn="0" w:lastColumn="0" w:oddVBand="0" w:evenVBand="0" w:oddHBand="0" w:evenHBand="1" w:firstRowFirstColumn="0" w:firstRowLastColumn="0" w:lastRowFirstColumn="0" w:lastRowLastColumn="0"/>
          <w:trHeight w:val="363"/>
        </w:trPr>
        <w:tc>
          <w:tcPr>
            <w:tcW w:w="2447" w:type="pct"/>
          </w:tcPr>
          <w:p w14:paraId="7D0BEF04" w14:textId="610EF6C7" w:rsidR="00265D2C" w:rsidRPr="009B25AE" w:rsidRDefault="00265D2C" w:rsidP="00265D2C">
            <w:pPr>
              <w:pStyle w:val="NormalWeb"/>
              <w:spacing w:before="120" w:beforeAutospacing="0" w:after="120" w:afterAutospacing="0"/>
            </w:pPr>
            <w:r w:rsidRPr="009B25AE">
              <w:t>How many offenders were primary DV abusers?</w:t>
            </w:r>
          </w:p>
        </w:tc>
        <w:tc>
          <w:tcPr>
            <w:tcW w:w="1277" w:type="pct"/>
          </w:tcPr>
          <w:p w14:paraId="4DDD586D" w14:textId="6A026818" w:rsidR="00265D2C" w:rsidRPr="009B25AE" w:rsidRDefault="00265D2C" w:rsidP="00265D2C">
            <w:pPr>
              <w:pStyle w:val="NormalWeb"/>
              <w:spacing w:before="120" w:beforeAutospacing="0" w:after="120" w:afterAutospacing="0"/>
              <w:jc w:val="center"/>
            </w:pPr>
            <w:r w:rsidRPr="009B25AE">
              <w:t>93% (112 men)</w:t>
            </w:r>
          </w:p>
        </w:tc>
        <w:tc>
          <w:tcPr>
            <w:tcW w:w="1276" w:type="pct"/>
          </w:tcPr>
          <w:p w14:paraId="2F0A9814" w14:textId="7ADB7A44" w:rsidR="00265D2C" w:rsidRPr="009B25AE" w:rsidRDefault="00265D2C" w:rsidP="00265D2C">
            <w:pPr>
              <w:pStyle w:val="NormalWeb"/>
              <w:spacing w:before="120" w:beforeAutospacing="0" w:after="120" w:afterAutospacing="0"/>
              <w:jc w:val="center"/>
            </w:pPr>
            <w:r w:rsidRPr="009B25AE">
              <w:t>7% (2 women)</w:t>
            </w:r>
          </w:p>
        </w:tc>
      </w:tr>
      <w:tr w:rsidR="00265D2C" w:rsidRPr="009B25AE" w14:paraId="0856A42C" w14:textId="4479044B" w:rsidTr="00265D2C">
        <w:trPr>
          <w:cnfStyle w:val="000000100000" w:firstRow="0" w:lastRow="0" w:firstColumn="0" w:lastColumn="0" w:oddVBand="0" w:evenVBand="0" w:oddHBand="1" w:evenHBand="0" w:firstRowFirstColumn="0" w:firstRowLastColumn="0" w:lastRowFirstColumn="0" w:lastRowLastColumn="0"/>
          <w:trHeight w:val="363"/>
        </w:trPr>
        <w:tc>
          <w:tcPr>
            <w:tcW w:w="2447" w:type="pct"/>
          </w:tcPr>
          <w:p w14:paraId="47777652" w14:textId="28AC9DCC" w:rsidR="00265D2C" w:rsidRPr="009B25AE" w:rsidRDefault="00265D2C" w:rsidP="00265D2C">
            <w:pPr>
              <w:pStyle w:val="NormalWeb"/>
              <w:spacing w:before="120" w:beforeAutospacing="0" w:after="120" w:afterAutospacing="0"/>
            </w:pPr>
            <w:r w:rsidRPr="009B25AE">
              <w:t>How many offenders were primary DV victims?</w:t>
            </w:r>
          </w:p>
        </w:tc>
        <w:tc>
          <w:tcPr>
            <w:tcW w:w="1277" w:type="pct"/>
          </w:tcPr>
          <w:p w14:paraId="4D0307FF" w14:textId="7C63195D" w:rsidR="00265D2C" w:rsidRPr="009B25AE" w:rsidRDefault="00265D2C" w:rsidP="00265D2C">
            <w:pPr>
              <w:pStyle w:val="NormalWeb"/>
              <w:spacing w:before="120" w:beforeAutospacing="0" w:after="120" w:afterAutospacing="0"/>
              <w:jc w:val="center"/>
            </w:pPr>
            <w:r w:rsidRPr="009B25AE">
              <w:t>0%</w:t>
            </w:r>
          </w:p>
        </w:tc>
        <w:tc>
          <w:tcPr>
            <w:tcW w:w="1276" w:type="pct"/>
          </w:tcPr>
          <w:p w14:paraId="71A68098" w14:textId="50EE6D2D" w:rsidR="00265D2C" w:rsidRPr="009B25AE" w:rsidRDefault="00265D2C" w:rsidP="00265D2C">
            <w:pPr>
              <w:pStyle w:val="NormalWeb"/>
              <w:spacing w:before="120" w:beforeAutospacing="0" w:after="120" w:afterAutospacing="0"/>
              <w:jc w:val="center"/>
            </w:pPr>
            <w:r w:rsidRPr="009B25AE">
              <w:t>61% (17 women)</w:t>
            </w:r>
          </w:p>
        </w:tc>
      </w:tr>
      <w:tr w:rsidR="00265D2C" w:rsidRPr="009B25AE" w14:paraId="5FF88D6A" w14:textId="1BA02EC6" w:rsidTr="00265D2C">
        <w:trPr>
          <w:cnfStyle w:val="000000010000" w:firstRow="0" w:lastRow="0" w:firstColumn="0" w:lastColumn="0" w:oddVBand="0" w:evenVBand="0" w:oddHBand="0" w:evenHBand="1" w:firstRowFirstColumn="0" w:firstRowLastColumn="0" w:lastRowFirstColumn="0" w:lastRowLastColumn="0"/>
          <w:trHeight w:val="363"/>
        </w:trPr>
        <w:tc>
          <w:tcPr>
            <w:tcW w:w="2447" w:type="pct"/>
          </w:tcPr>
          <w:p w14:paraId="40066E57" w14:textId="146C32F9" w:rsidR="00265D2C" w:rsidRPr="009B25AE" w:rsidRDefault="00265D2C" w:rsidP="00265D2C">
            <w:pPr>
              <w:pStyle w:val="NormalWeb"/>
              <w:spacing w:before="120" w:beforeAutospacing="0" w:after="120" w:afterAutospacing="0"/>
            </w:pPr>
            <w:r w:rsidRPr="009B25AE">
              <w:t>Where a criminal investigation was completed, how many were convicted?</w:t>
            </w:r>
          </w:p>
        </w:tc>
        <w:tc>
          <w:tcPr>
            <w:tcW w:w="1277" w:type="pct"/>
          </w:tcPr>
          <w:p w14:paraId="09C36E7F" w14:textId="09B7788D" w:rsidR="00265D2C" w:rsidRPr="009B25AE" w:rsidRDefault="00265D2C" w:rsidP="00265D2C">
            <w:pPr>
              <w:pStyle w:val="NormalWeb"/>
              <w:spacing w:before="120" w:beforeAutospacing="0" w:after="120" w:afterAutospacing="0"/>
              <w:jc w:val="center"/>
            </w:pPr>
            <w:r w:rsidRPr="009B25AE">
              <w:t>61% (murder)</w:t>
            </w:r>
          </w:p>
          <w:p w14:paraId="51C3CF67" w14:textId="5354B266" w:rsidR="00265D2C" w:rsidRPr="009B25AE" w:rsidRDefault="00265D2C" w:rsidP="00265D2C">
            <w:pPr>
              <w:pStyle w:val="NormalWeb"/>
              <w:spacing w:before="120" w:beforeAutospacing="0" w:after="120" w:afterAutospacing="0"/>
              <w:jc w:val="center"/>
            </w:pPr>
            <w:r w:rsidRPr="009B25AE">
              <w:t>30% (manslaughter)</w:t>
            </w:r>
          </w:p>
        </w:tc>
        <w:tc>
          <w:tcPr>
            <w:tcW w:w="1276" w:type="pct"/>
          </w:tcPr>
          <w:p w14:paraId="65DF3588" w14:textId="77777777" w:rsidR="00265D2C" w:rsidRPr="009B25AE" w:rsidRDefault="00265D2C" w:rsidP="00265D2C">
            <w:pPr>
              <w:pStyle w:val="NormalWeb"/>
              <w:spacing w:before="120" w:beforeAutospacing="0" w:after="120" w:afterAutospacing="0"/>
              <w:jc w:val="center"/>
            </w:pPr>
            <w:r w:rsidRPr="009B25AE">
              <w:t>7% (Murder)</w:t>
            </w:r>
          </w:p>
          <w:p w14:paraId="6B2F169A" w14:textId="3F15889C" w:rsidR="00265D2C" w:rsidRPr="009B25AE" w:rsidRDefault="00265D2C" w:rsidP="00265D2C">
            <w:pPr>
              <w:pStyle w:val="NormalWeb"/>
              <w:spacing w:before="120" w:beforeAutospacing="0" w:after="120" w:afterAutospacing="0"/>
              <w:jc w:val="center"/>
            </w:pPr>
            <w:r w:rsidRPr="009B25AE">
              <w:t>74% (Manslaughter)</w:t>
            </w:r>
          </w:p>
        </w:tc>
      </w:tr>
      <w:tr w:rsidR="00265D2C" w:rsidRPr="009B25AE" w14:paraId="6B67CAB4" w14:textId="08830663" w:rsidTr="00265D2C">
        <w:trPr>
          <w:cnfStyle w:val="000000100000" w:firstRow="0" w:lastRow="0" w:firstColumn="0" w:lastColumn="0" w:oddVBand="0" w:evenVBand="0" w:oddHBand="1" w:evenHBand="0" w:firstRowFirstColumn="0" w:firstRowLastColumn="0" w:lastRowFirstColumn="0" w:lastRowLastColumn="0"/>
          <w:trHeight w:val="363"/>
        </w:trPr>
        <w:tc>
          <w:tcPr>
            <w:tcW w:w="2447" w:type="pct"/>
          </w:tcPr>
          <w:p w14:paraId="3157381E" w14:textId="6E3368F9" w:rsidR="00265D2C" w:rsidRPr="009B25AE" w:rsidRDefault="00265D2C" w:rsidP="00265D2C">
            <w:pPr>
              <w:pStyle w:val="NormalWeb"/>
              <w:spacing w:before="120" w:beforeAutospacing="0" w:after="120" w:afterAutospacing="0"/>
            </w:pPr>
            <w:r w:rsidRPr="009B25AE">
              <w:t>How many were named as a respondent</w:t>
            </w:r>
            <w:r w:rsidRPr="009B25AE">
              <w:rPr>
                <w:vertAlign w:val="superscript"/>
              </w:rPr>
              <w:t>5</w:t>
            </w:r>
            <w:r w:rsidRPr="009B25AE">
              <w:t xml:space="preserve"> under a domestic violence order?</w:t>
            </w:r>
          </w:p>
        </w:tc>
        <w:tc>
          <w:tcPr>
            <w:tcW w:w="1277" w:type="pct"/>
          </w:tcPr>
          <w:p w14:paraId="7A10A3C6" w14:textId="6E9AD3E1" w:rsidR="00265D2C" w:rsidRPr="009B25AE" w:rsidRDefault="00265D2C" w:rsidP="00265D2C">
            <w:pPr>
              <w:pStyle w:val="NormalWeb"/>
              <w:spacing w:before="120" w:beforeAutospacing="0" w:after="120" w:afterAutospacing="0"/>
              <w:jc w:val="center"/>
            </w:pPr>
            <w:r w:rsidRPr="009B25AE">
              <w:t>24% (29 men)</w:t>
            </w:r>
          </w:p>
        </w:tc>
        <w:tc>
          <w:tcPr>
            <w:tcW w:w="1276" w:type="pct"/>
          </w:tcPr>
          <w:p w14:paraId="2598C1EF" w14:textId="38269938" w:rsidR="00265D2C" w:rsidRPr="009B25AE" w:rsidRDefault="00265D2C" w:rsidP="00265D2C">
            <w:pPr>
              <w:pStyle w:val="NormalWeb"/>
              <w:spacing w:before="120" w:beforeAutospacing="0" w:after="120" w:afterAutospacing="0"/>
              <w:jc w:val="center"/>
            </w:pPr>
            <w:r w:rsidRPr="009B25AE">
              <w:t>14% (4 women)</w:t>
            </w:r>
          </w:p>
        </w:tc>
      </w:tr>
      <w:tr w:rsidR="00265D2C" w:rsidRPr="009B25AE" w14:paraId="0FF21393" w14:textId="7054A99D" w:rsidTr="00265D2C">
        <w:trPr>
          <w:cnfStyle w:val="000000010000" w:firstRow="0" w:lastRow="0" w:firstColumn="0" w:lastColumn="0" w:oddVBand="0" w:evenVBand="0" w:oddHBand="0" w:evenHBand="1" w:firstRowFirstColumn="0" w:firstRowLastColumn="0" w:lastRowFirstColumn="0" w:lastRowLastColumn="0"/>
          <w:trHeight w:val="363"/>
        </w:trPr>
        <w:tc>
          <w:tcPr>
            <w:tcW w:w="2447" w:type="pct"/>
          </w:tcPr>
          <w:p w14:paraId="635E7429" w14:textId="15C312A4" w:rsidR="00265D2C" w:rsidRPr="009B25AE" w:rsidRDefault="00265D2C" w:rsidP="00265D2C">
            <w:pPr>
              <w:pStyle w:val="NormalWeb"/>
              <w:spacing w:before="120" w:beforeAutospacing="0" w:after="120" w:afterAutospacing="0"/>
            </w:pPr>
            <w:r w:rsidRPr="009B25AE">
              <w:t>How many of them were separated from the partner they killed?</w:t>
            </w:r>
          </w:p>
        </w:tc>
        <w:tc>
          <w:tcPr>
            <w:tcW w:w="1277" w:type="pct"/>
          </w:tcPr>
          <w:p w14:paraId="399B2548" w14:textId="14AAACAD" w:rsidR="00265D2C" w:rsidRPr="009B25AE" w:rsidRDefault="00265D2C" w:rsidP="00265D2C">
            <w:pPr>
              <w:pStyle w:val="NormalWeb"/>
              <w:spacing w:before="120" w:beforeAutospacing="0" w:after="120" w:afterAutospacing="0"/>
              <w:jc w:val="center"/>
            </w:pPr>
            <w:r w:rsidRPr="009B25AE">
              <w:t>36% (44 men)</w:t>
            </w:r>
          </w:p>
        </w:tc>
        <w:tc>
          <w:tcPr>
            <w:tcW w:w="1276" w:type="pct"/>
          </w:tcPr>
          <w:p w14:paraId="7AFBEA49" w14:textId="3BD0DD4C" w:rsidR="00265D2C" w:rsidRPr="009B25AE" w:rsidRDefault="00265D2C" w:rsidP="00265D2C">
            <w:pPr>
              <w:pStyle w:val="NormalWeb"/>
              <w:spacing w:before="120" w:beforeAutospacing="0" w:after="120" w:afterAutospacing="0"/>
              <w:jc w:val="center"/>
            </w:pPr>
            <w:r w:rsidRPr="009B25AE">
              <w:t>18% (5 women)</w:t>
            </w:r>
          </w:p>
        </w:tc>
      </w:tr>
      <w:tr w:rsidR="00265D2C" w:rsidRPr="009B25AE" w14:paraId="31EC58A2" w14:textId="2D57F545" w:rsidTr="00265D2C">
        <w:trPr>
          <w:cnfStyle w:val="000000100000" w:firstRow="0" w:lastRow="0" w:firstColumn="0" w:lastColumn="0" w:oddVBand="0" w:evenVBand="0" w:oddHBand="1" w:evenHBand="0" w:firstRowFirstColumn="0" w:firstRowLastColumn="0" w:lastRowFirstColumn="0" w:lastRowLastColumn="0"/>
          <w:trHeight w:val="363"/>
        </w:trPr>
        <w:tc>
          <w:tcPr>
            <w:tcW w:w="2447" w:type="pct"/>
          </w:tcPr>
          <w:p w14:paraId="72931053" w14:textId="3F0CA097" w:rsidR="00265D2C" w:rsidRPr="009B25AE" w:rsidRDefault="00265D2C" w:rsidP="00265D2C">
            <w:pPr>
              <w:pStyle w:val="NormalWeb"/>
              <w:spacing w:before="120" w:beforeAutospacing="0" w:after="120" w:afterAutospacing="0"/>
            </w:pPr>
            <w:r w:rsidRPr="009B25AE">
              <w:t>How many of their partners had expressed an intention to separate</w:t>
            </w:r>
            <w:r w:rsidRPr="009B25AE">
              <w:rPr>
                <w:vertAlign w:val="superscript"/>
              </w:rPr>
              <w:t>6</w:t>
            </w:r>
            <w:r w:rsidRPr="009B25AE">
              <w:t>?</w:t>
            </w:r>
          </w:p>
        </w:tc>
        <w:tc>
          <w:tcPr>
            <w:tcW w:w="1277" w:type="pct"/>
          </w:tcPr>
          <w:p w14:paraId="0EE63E2F" w14:textId="4FDB8353" w:rsidR="00265D2C" w:rsidRPr="009B25AE" w:rsidRDefault="00265D2C" w:rsidP="00265D2C">
            <w:pPr>
              <w:pStyle w:val="NormalWeb"/>
              <w:spacing w:before="120" w:beforeAutospacing="0" w:after="120" w:afterAutospacing="0"/>
              <w:jc w:val="center"/>
            </w:pPr>
            <w:r w:rsidRPr="009B25AE">
              <w:t>17% (20 cases)</w:t>
            </w:r>
          </w:p>
        </w:tc>
        <w:tc>
          <w:tcPr>
            <w:tcW w:w="1276" w:type="pct"/>
          </w:tcPr>
          <w:p w14:paraId="2269308F" w14:textId="56C69249" w:rsidR="00265D2C" w:rsidRPr="009B25AE" w:rsidRDefault="00265D2C" w:rsidP="00265D2C">
            <w:pPr>
              <w:pStyle w:val="NormalWeb"/>
              <w:spacing w:before="120" w:beforeAutospacing="0" w:after="120" w:afterAutospacing="0"/>
              <w:jc w:val="center"/>
            </w:pPr>
            <w:r w:rsidRPr="009B25AE">
              <w:t>13% (3 cases)</w:t>
            </w:r>
          </w:p>
        </w:tc>
      </w:tr>
    </w:tbl>
    <w:p w14:paraId="44A68539" w14:textId="77777777" w:rsidR="00265D2C" w:rsidRPr="009B25AE" w:rsidRDefault="00265D2C">
      <w:pPr>
        <w:spacing w:before="0"/>
        <w:rPr>
          <w:rStyle w:val="Strong"/>
          <w:rFonts w:eastAsiaTheme="majorEastAsia" w:cs="Times New Roman"/>
          <w:sz w:val="24"/>
          <w:szCs w:val="24"/>
          <w:lang w:val="en-AU" w:eastAsia="en-AU"/>
        </w:rPr>
      </w:pPr>
      <w:r w:rsidRPr="009B25AE">
        <w:rPr>
          <w:rStyle w:val="Strong"/>
          <w:rFonts w:eastAsiaTheme="majorEastAsia"/>
          <w:lang w:val="en-AU"/>
        </w:rPr>
        <w:br w:type="page"/>
      </w:r>
    </w:p>
    <w:p w14:paraId="41087038" w14:textId="77777777" w:rsidR="00265D2C" w:rsidRPr="009B25AE" w:rsidRDefault="00265D2C" w:rsidP="002874F4">
      <w:pPr>
        <w:pStyle w:val="NormalWeb"/>
        <w:rPr>
          <w:rStyle w:val="Strong"/>
          <w:rFonts w:eastAsiaTheme="majorEastAsia"/>
        </w:rPr>
      </w:pPr>
      <w:r w:rsidRPr="009B25AE">
        <w:rPr>
          <w:noProof/>
        </w:rPr>
        <w:lastRenderedPageBreak/>
        <w:drawing>
          <wp:inline distT="0" distB="0" distL="0" distR="0" wp14:anchorId="2FE83675" wp14:editId="396D7BA2">
            <wp:extent cx="6283259" cy="3220920"/>
            <wp:effectExtent l="0" t="0" r="3810" b="0"/>
            <wp:docPr id="2" name="Picture 2" descr="Information i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formation is below"/>
                    <pic:cNvPicPr>
                      <a:picLocks noChangeAspect="1" noChangeArrowheads="1"/>
                    </pic:cNvPicPr>
                  </pic:nvPicPr>
                  <pic:blipFill rotWithShape="1">
                    <a:blip r:embed="rId10">
                      <a:extLst>
                        <a:ext uri="{28A0092B-C50C-407E-A947-70E740481C1C}">
                          <a14:useLocalDpi xmlns:a14="http://schemas.microsoft.com/office/drawing/2010/main" val="0"/>
                        </a:ext>
                      </a:extLst>
                    </a:blip>
                    <a:srcRect t="46322" b="9616"/>
                    <a:stretch/>
                  </pic:blipFill>
                  <pic:spPr bwMode="auto">
                    <a:xfrm>
                      <a:off x="0" y="0"/>
                      <a:ext cx="6355308" cy="3257853"/>
                    </a:xfrm>
                    <a:prstGeom prst="rect">
                      <a:avLst/>
                    </a:prstGeom>
                    <a:noFill/>
                    <a:ln>
                      <a:noFill/>
                    </a:ln>
                    <a:extLst>
                      <a:ext uri="{53640926-AAD7-44D8-BBD7-CCE9431645EC}">
                        <a14:shadowObscured xmlns:a14="http://schemas.microsoft.com/office/drawing/2010/main"/>
                      </a:ext>
                    </a:extLst>
                  </pic:spPr>
                </pic:pic>
              </a:graphicData>
            </a:graphic>
          </wp:inline>
        </w:drawing>
      </w:r>
    </w:p>
    <w:p w14:paraId="692A5E9B" w14:textId="2D21D1FB" w:rsidR="00265D2C" w:rsidRPr="009B25AE" w:rsidRDefault="00265D2C" w:rsidP="00E9672B">
      <w:pPr>
        <w:rPr>
          <w:lang w:val="en-AU"/>
        </w:rPr>
      </w:pPr>
      <w:r w:rsidRPr="009B25AE">
        <w:rPr>
          <w:lang w:val="en-AU"/>
        </w:rPr>
        <w:t>Text alternative for image above</w:t>
      </w:r>
    </w:p>
    <w:p w14:paraId="7154188F" w14:textId="3A36F38E" w:rsidR="0099355A" w:rsidRPr="000A5056" w:rsidRDefault="0099355A" w:rsidP="000A5056">
      <w:pPr>
        <w:pStyle w:val="Heading2"/>
      </w:pPr>
      <w:r w:rsidRPr="000A5056">
        <w:t>An intimate partner homicide offender in Australia is likely to be:</w:t>
      </w:r>
    </w:p>
    <w:p w14:paraId="0A5C5AFB" w14:textId="1CEC2CE5" w:rsidR="0099355A" w:rsidRPr="009B25AE" w:rsidRDefault="0099355A" w:rsidP="0099355A">
      <w:pPr>
        <w:pStyle w:val="ListParagraph"/>
        <w:rPr>
          <w:rStyle w:val="Strong"/>
          <w:rFonts w:eastAsiaTheme="majorEastAsia"/>
          <w:lang w:val="en-AU"/>
        </w:rPr>
      </w:pPr>
      <w:r w:rsidRPr="009B25AE">
        <w:rPr>
          <w:rStyle w:val="Strong"/>
          <w:rFonts w:eastAsiaTheme="majorEastAsia"/>
          <w:b w:val="0"/>
          <w:bCs w:val="0"/>
          <w:lang w:val="en-AU"/>
        </w:rPr>
        <w:t>A man</w:t>
      </w:r>
    </w:p>
    <w:p w14:paraId="2B83175F" w14:textId="7933C2CF" w:rsidR="0099355A" w:rsidRPr="009B25AE" w:rsidRDefault="0099355A" w:rsidP="0099355A">
      <w:pPr>
        <w:pStyle w:val="ListParagraph"/>
        <w:rPr>
          <w:rStyle w:val="Strong"/>
          <w:rFonts w:eastAsiaTheme="majorEastAsia"/>
          <w:lang w:val="en-AU"/>
        </w:rPr>
      </w:pPr>
      <w:r w:rsidRPr="009B25AE">
        <w:rPr>
          <w:rStyle w:val="Strong"/>
          <w:rFonts w:eastAsiaTheme="majorEastAsia"/>
          <w:b w:val="0"/>
          <w:bCs w:val="0"/>
          <w:lang w:val="en-AU"/>
        </w:rPr>
        <w:t>42 years old</w:t>
      </w:r>
    </w:p>
    <w:p w14:paraId="51C57A02" w14:textId="494C9F4D" w:rsidR="0099355A" w:rsidRPr="009B25AE" w:rsidRDefault="0099355A" w:rsidP="0099355A">
      <w:pPr>
        <w:pStyle w:val="ListParagraph"/>
        <w:rPr>
          <w:rStyle w:val="Strong"/>
          <w:rFonts w:eastAsiaTheme="majorEastAsia"/>
          <w:lang w:val="en-AU"/>
        </w:rPr>
      </w:pPr>
      <w:r w:rsidRPr="009B25AE">
        <w:rPr>
          <w:rStyle w:val="Strong"/>
          <w:rFonts w:eastAsiaTheme="majorEastAsia"/>
          <w:b w:val="0"/>
          <w:bCs w:val="0"/>
          <w:lang w:val="en-AU"/>
        </w:rPr>
        <w:t>In the relationship for 1-10 years</w:t>
      </w:r>
    </w:p>
    <w:p w14:paraId="54582CC3" w14:textId="6EA18B4A" w:rsidR="0099355A" w:rsidRPr="009B25AE" w:rsidRDefault="0099355A" w:rsidP="0099355A">
      <w:pPr>
        <w:pStyle w:val="ListParagraph"/>
        <w:rPr>
          <w:rStyle w:val="Strong"/>
          <w:rFonts w:eastAsiaTheme="majorEastAsia"/>
          <w:lang w:val="en-AU"/>
        </w:rPr>
      </w:pPr>
      <w:r w:rsidRPr="009B25AE">
        <w:rPr>
          <w:rStyle w:val="Strong"/>
          <w:rFonts w:eastAsiaTheme="majorEastAsia"/>
          <w:b w:val="0"/>
          <w:bCs w:val="0"/>
          <w:lang w:val="en-AU"/>
        </w:rPr>
        <w:t>The primary perpetrator of DV prior to the homicide including physical assault &amp; emotional abuse, against the partner they killed</w:t>
      </w:r>
    </w:p>
    <w:p w14:paraId="46697F88" w14:textId="44DB81ED" w:rsidR="0099355A" w:rsidRPr="009B25AE" w:rsidRDefault="0099355A" w:rsidP="0099355A">
      <w:pPr>
        <w:pStyle w:val="ListParagraph"/>
        <w:rPr>
          <w:rStyle w:val="Strong"/>
          <w:rFonts w:eastAsiaTheme="majorEastAsia"/>
          <w:lang w:val="en-AU"/>
        </w:rPr>
      </w:pPr>
      <w:r w:rsidRPr="009B25AE">
        <w:rPr>
          <w:rStyle w:val="Strong"/>
          <w:rFonts w:eastAsiaTheme="majorEastAsia"/>
          <w:b w:val="0"/>
          <w:bCs w:val="0"/>
          <w:lang w:val="en-AU"/>
        </w:rPr>
        <w:t xml:space="preserve">Still with their partner (not </w:t>
      </w:r>
      <w:proofErr w:type="gramStart"/>
      <w:r w:rsidRPr="009B25AE">
        <w:rPr>
          <w:rStyle w:val="Strong"/>
          <w:rFonts w:eastAsiaTheme="majorEastAsia"/>
          <w:b w:val="0"/>
          <w:bCs w:val="0"/>
          <w:lang w:val="en-AU"/>
        </w:rPr>
        <w:t>separated)</w:t>
      </w:r>
      <w:r w:rsidRPr="009B25AE">
        <w:rPr>
          <w:rStyle w:val="Strong"/>
          <w:rFonts w:eastAsiaTheme="majorEastAsia"/>
          <w:b w:val="0"/>
          <w:bCs w:val="0"/>
          <w:vertAlign w:val="superscript"/>
          <w:lang w:val="en-AU"/>
        </w:rPr>
        <w:t>#</w:t>
      </w:r>
      <w:proofErr w:type="gramEnd"/>
    </w:p>
    <w:p w14:paraId="0F588BF7" w14:textId="26805574" w:rsidR="0099355A" w:rsidRPr="009B25AE" w:rsidRDefault="0099355A" w:rsidP="000A5056">
      <w:pPr>
        <w:pStyle w:val="Heading2"/>
      </w:pPr>
      <w:r w:rsidRPr="009B25AE">
        <w:t>An intimate partner homicide victim in Australia is likely to be:</w:t>
      </w:r>
    </w:p>
    <w:p w14:paraId="1377B7A5" w14:textId="2A3EA5D6" w:rsidR="0099355A" w:rsidRPr="009B25AE" w:rsidRDefault="0099355A" w:rsidP="0099355A">
      <w:pPr>
        <w:pStyle w:val="ListParagraph"/>
        <w:rPr>
          <w:rStyle w:val="Strong"/>
          <w:rFonts w:eastAsiaTheme="majorEastAsia"/>
          <w:lang w:val="en-AU"/>
        </w:rPr>
      </w:pPr>
      <w:r w:rsidRPr="009B25AE">
        <w:rPr>
          <w:rStyle w:val="Strong"/>
          <w:rFonts w:eastAsiaTheme="majorEastAsia"/>
          <w:b w:val="0"/>
          <w:bCs w:val="0"/>
          <w:lang w:val="en-AU"/>
        </w:rPr>
        <w:t>A woman</w:t>
      </w:r>
    </w:p>
    <w:p w14:paraId="406CCA60" w14:textId="0FE39C01" w:rsidR="0099355A" w:rsidRPr="009B25AE" w:rsidRDefault="0099355A" w:rsidP="0099355A">
      <w:pPr>
        <w:pStyle w:val="ListParagraph"/>
        <w:rPr>
          <w:rStyle w:val="Strong"/>
          <w:rFonts w:eastAsiaTheme="majorEastAsia"/>
          <w:lang w:val="en-AU"/>
        </w:rPr>
      </w:pPr>
      <w:r w:rsidRPr="009B25AE">
        <w:rPr>
          <w:rStyle w:val="Strong"/>
          <w:rFonts w:eastAsiaTheme="majorEastAsia"/>
          <w:b w:val="0"/>
          <w:bCs w:val="0"/>
          <w:lang w:val="en-AU"/>
        </w:rPr>
        <w:t>38 years old</w:t>
      </w:r>
    </w:p>
    <w:p w14:paraId="29E4828B" w14:textId="52BBD0D9" w:rsidR="0099355A" w:rsidRPr="009B25AE" w:rsidRDefault="0099355A" w:rsidP="0099355A">
      <w:pPr>
        <w:pStyle w:val="ListParagraph"/>
        <w:rPr>
          <w:rStyle w:val="Strong"/>
          <w:rFonts w:eastAsiaTheme="majorEastAsia"/>
          <w:lang w:val="en-AU"/>
        </w:rPr>
      </w:pPr>
      <w:r w:rsidRPr="009B25AE">
        <w:rPr>
          <w:rStyle w:val="Strong"/>
          <w:rFonts w:eastAsiaTheme="majorEastAsia"/>
          <w:b w:val="0"/>
          <w:bCs w:val="0"/>
          <w:lang w:val="en-AU"/>
        </w:rPr>
        <w:t>In the relationship for 1-10 years</w:t>
      </w:r>
    </w:p>
    <w:p w14:paraId="0881AA63" w14:textId="0A47F006" w:rsidR="0099355A" w:rsidRPr="009B25AE" w:rsidRDefault="0099355A" w:rsidP="0099355A">
      <w:pPr>
        <w:pStyle w:val="ListParagraph"/>
        <w:rPr>
          <w:rStyle w:val="Strong"/>
          <w:rFonts w:eastAsiaTheme="majorEastAsia"/>
          <w:lang w:val="en-AU"/>
        </w:rPr>
      </w:pPr>
      <w:r w:rsidRPr="009B25AE">
        <w:rPr>
          <w:rStyle w:val="Strong"/>
          <w:rFonts w:eastAsiaTheme="majorEastAsia"/>
          <w:b w:val="0"/>
          <w:bCs w:val="0"/>
          <w:lang w:val="en-AU"/>
        </w:rPr>
        <w:t>Born in Australia</w:t>
      </w:r>
    </w:p>
    <w:p w14:paraId="04CFCBD5" w14:textId="59DBDB8D" w:rsidR="0099355A" w:rsidRPr="009B25AE" w:rsidRDefault="0099355A" w:rsidP="0099355A">
      <w:pPr>
        <w:pStyle w:val="ListParagraph"/>
        <w:rPr>
          <w:rStyle w:val="Strong"/>
          <w:rFonts w:eastAsiaTheme="majorEastAsia"/>
          <w:lang w:val="en-AU"/>
        </w:rPr>
      </w:pPr>
      <w:r w:rsidRPr="009B25AE">
        <w:rPr>
          <w:rStyle w:val="Strong"/>
          <w:rFonts w:eastAsiaTheme="majorEastAsia"/>
          <w:b w:val="0"/>
          <w:bCs w:val="0"/>
          <w:lang w:val="en-AU"/>
        </w:rPr>
        <w:t>Killed by a partner who previously perpetrated violence against her</w:t>
      </w:r>
    </w:p>
    <w:p w14:paraId="6282930D" w14:textId="5EEB9381" w:rsidR="0099355A" w:rsidRPr="009B25AE" w:rsidRDefault="0099355A" w:rsidP="0099355A">
      <w:pPr>
        <w:pStyle w:val="ListParagraph"/>
        <w:rPr>
          <w:rStyle w:val="Strong"/>
          <w:rFonts w:eastAsiaTheme="majorEastAsia"/>
          <w:lang w:val="en-AU"/>
        </w:rPr>
      </w:pPr>
      <w:r w:rsidRPr="009B25AE">
        <w:rPr>
          <w:rStyle w:val="Strong"/>
          <w:rFonts w:eastAsiaTheme="majorEastAsia"/>
          <w:b w:val="0"/>
          <w:bCs w:val="0"/>
          <w:lang w:val="en-AU"/>
        </w:rPr>
        <w:t xml:space="preserve">Still with their partner (Not </w:t>
      </w:r>
      <w:proofErr w:type="gramStart"/>
      <w:r w:rsidRPr="009B25AE">
        <w:rPr>
          <w:rStyle w:val="Strong"/>
          <w:rFonts w:eastAsiaTheme="majorEastAsia"/>
          <w:b w:val="0"/>
          <w:bCs w:val="0"/>
          <w:lang w:val="en-AU"/>
        </w:rPr>
        <w:t>separated)</w:t>
      </w:r>
      <w:r w:rsidRPr="009B25AE">
        <w:rPr>
          <w:rStyle w:val="Strong"/>
          <w:rFonts w:eastAsiaTheme="majorEastAsia"/>
          <w:b w:val="0"/>
          <w:bCs w:val="0"/>
          <w:vertAlign w:val="superscript"/>
          <w:lang w:val="en-AU"/>
        </w:rPr>
        <w:t>#</w:t>
      </w:r>
      <w:proofErr w:type="gramEnd"/>
    </w:p>
    <w:p w14:paraId="795F3416" w14:textId="77777777" w:rsidR="002874F4" w:rsidRPr="009B25AE" w:rsidRDefault="002874F4" w:rsidP="002874F4">
      <w:pPr>
        <w:pStyle w:val="NormalWeb"/>
      </w:pPr>
      <w:r w:rsidRPr="009B25AE">
        <w:t xml:space="preserve">The information in this fact sheet is sourced from the </w:t>
      </w:r>
      <w:r w:rsidRPr="009B25AE">
        <w:rPr>
          <w:rStyle w:val="Emphasis"/>
          <w:rFonts w:eastAsiaTheme="majorEastAsia"/>
        </w:rPr>
        <w:t>Australian Domestic and Family Violence Death Review Network Data Report 2018</w:t>
      </w:r>
      <w:r w:rsidRPr="009B25AE">
        <w:t xml:space="preserve"> (the Data Report), which provides data on intimate partner homicides that have occurred across Australia between 2010 and 2014. See </w:t>
      </w:r>
      <w:hyperlink r:id="rId11" w:history="1">
        <w:r w:rsidRPr="009B25AE">
          <w:rPr>
            <w:rStyle w:val="Hyperlink"/>
          </w:rPr>
          <w:t>http://www.coroners.justice.nsw.gov.au/Pages/Publications/dv_annual_reports.aspx</w:t>
        </w:r>
      </w:hyperlink>
    </w:p>
    <w:p w14:paraId="42C38F1B" w14:textId="77777777" w:rsidR="00265D2C" w:rsidRPr="009B25AE" w:rsidRDefault="00265D2C">
      <w:pPr>
        <w:spacing w:before="0"/>
        <w:rPr>
          <w:rStyle w:val="Strong"/>
          <w:rFonts w:eastAsiaTheme="majorEastAsia" w:cs="Times New Roman"/>
          <w:sz w:val="24"/>
          <w:szCs w:val="24"/>
          <w:lang w:val="en-AU" w:eastAsia="en-AU"/>
        </w:rPr>
      </w:pPr>
      <w:r w:rsidRPr="009B25AE">
        <w:rPr>
          <w:rStyle w:val="Strong"/>
          <w:rFonts w:eastAsiaTheme="majorEastAsia"/>
          <w:lang w:val="en-AU"/>
        </w:rPr>
        <w:br w:type="page"/>
      </w:r>
    </w:p>
    <w:p w14:paraId="545E37B0" w14:textId="3BFF0DDC" w:rsidR="002874F4" w:rsidRPr="009B25AE" w:rsidRDefault="002874F4" w:rsidP="000A5056">
      <w:pPr>
        <w:pStyle w:val="Heading2"/>
      </w:pPr>
      <w:r w:rsidRPr="009B25AE">
        <w:lastRenderedPageBreak/>
        <w:t>Footnotes</w:t>
      </w:r>
    </w:p>
    <w:p w14:paraId="3D8B32FB" w14:textId="77777777" w:rsidR="002874F4" w:rsidRPr="009B25AE" w:rsidRDefault="002874F4" w:rsidP="002874F4">
      <w:pPr>
        <w:pStyle w:val="NormalWeb"/>
      </w:pPr>
      <w:r w:rsidRPr="009B25AE">
        <w:rPr>
          <w:vertAlign w:val="superscript"/>
        </w:rPr>
        <w:t>¹</w:t>
      </w:r>
      <w:r w:rsidRPr="009B25AE">
        <w:t xml:space="preserve"> Statistics may vary slightly from those reported in other homicide census data. The information in this fact sheet is sourced from the Australian Domestic and Family Violence Death Review Network's (the Network) Data Report 2018. The report states that "unlike existing homicide census data, such as that produced by the Australian Institute of Criminology’s National Homicide Monitoring Program", the Network members "have access to extensive information by virtue of their specialist review mechanisms and location in Coroners Courts, Ombudsman’s offices or government agencies" and that "many members also have the capacity to call for additional information or records, </w:t>
      </w:r>
      <w:proofErr w:type="gramStart"/>
      <w:r w:rsidRPr="009B25AE">
        <w:t>in order to</w:t>
      </w:r>
      <w:proofErr w:type="gramEnd"/>
      <w:r w:rsidRPr="009B25AE">
        <w:t xml:space="preserve"> identify histories of domestic violence". </w:t>
      </w:r>
    </w:p>
    <w:p w14:paraId="202F8B12" w14:textId="77777777" w:rsidR="002874F4" w:rsidRPr="009B25AE" w:rsidRDefault="002874F4" w:rsidP="002874F4">
      <w:pPr>
        <w:pStyle w:val="NormalWeb"/>
      </w:pPr>
      <w:r w:rsidRPr="009B25AE">
        <w:t xml:space="preserve">² Includes current and former intimate partners. </w:t>
      </w:r>
    </w:p>
    <w:p w14:paraId="5AF6FABE" w14:textId="77777777" w:rsidR="002874F4" w:rsidRPr="009B25AE" w:rsidRDefault="002874F4" w:rsidP="002874F4">
      <w:pPr>
        <w:pStyle w:val="NormalWeb"/>
      </w:pPr>
      <w:r w:rsidRPr="009B25AE">
        <w:t xml:space="preserve">³ </w:t>
      </w:r>
      <w:proofErr w:type="gramStart"/>
      <w:r w:rsidRPr="009B25AE">
        <w:t>The</w:t>
      </w:r>
      <w:proofErr w:type="gramEnd"/>
      <w:r w:rsidRPr="009B25AE">
        <w:t xml:space="preserve"> person who primarily initiated domestic violence in the life of the relationship and/or was the main aggressor of domestic violence after the relationship had ended. </w:t>
      </w:r>
    </w:p>
    <w:p w14:paraId="4FFE369F" w14:textId="77777777" w:rsidR="002874F4" w:rsidRPr="009B25AE" w:rsidRDefault="002874F4" w:rsidP="002874F4">
      <w:pPr>
        <w:pStyle w:val="NormalWeb"/>
      </w:pPr>
      <w:r w:rsidRPr="009B25AE">
        <w:rPr>
          <w:vertAlign w:val="superscript"/>
        </w:rPr>
        <w:t>4</w:t>
      </w:r>
      <w:r w:rsidRPr="009B25AE">
        <w:t xml:space="preserve"> The person who primarily had domestic violence used against them (was victimised) during the relationship with an abuser, or after that relationship had ended. The term designates a person who </w:t>
      </w:r>
      <w:proofErr w:type="gramStart"/>
      <w:r w:rsidRPr="009B25AE">
        <w:t>experienced, but</w:t>
      </w:r>
      <w:proofErr w:type="gramEnd"/>
      <w:r w:rsidRPr="009B25AE">
        <w:t xml:space="preserve"> did not initiate domestic violence. This term is designed to highlight that a person may be the primary victim of domestic violence prior to the homicide, but may ultimately perpetrate the homicide (for instance, a domestic violence victim who kills an abuser in self-defence).</w:t>
      </w:r>
    </w:p>
    <w:p w14:paraId="6682454E" w14:textId="77777777" w:rsidR="002874F4" w:rsidRPr="009B25AE" w:rsidRDefault="002874F4" w:rsidP="002874F4">
      <w:pPr>
        <w:pStyle w:val="NormalWeb"/>
      </w:pPr>
      <w:r w:rsidRPr="009B25AE">
        <w:rPr>
          <w:vertAlign w:val="superscript"/>
        </w:rPr>
        <w:t>5</w:t>
      </w:r>
      <w:r w:rsidRPr="009B25AE">
        <w:t xml:space="preserve"> The person who is restrained by the existing domestic violence order.</w:t>
      </w:r>
    </w:p>
    <w:p w14:paraId="2EA9AF7B" w14:textId="77777777" w:rsidR="002874F4" w:rsidRPr="009B25AE" w:rsidRDefault="002874F4" w:rsidP="002874F4">
      <w:pPr>
        <w:pStyle w:val="NormalWeb"/>
      </w:pPr>
      <w:r w:rsidRPr="009B25AE">
        <w:rPr>
          <w:vertAlign w:val="superscript"/>
        </w:rPr>
        <w:t>6</w:t>
      </w:r>
      <w:r w:rsidRPr="009B25AE">
        <w:t xml:space="preserve"> This statistic relates to couples that were still together (not separated) at the time of the homicide and where the victim, but not the offender, had expressed an intention to separate. It is acknowledged that this may be an undercount as in some circumstances the homicide victim or homicide offender may not indicate to any person or service that they are intending to separate from their partner.</w:t>
      </w:r>
    </w:p>
    <w:p w14:paraId="16FD833A" w14:textId="021D042D" w:rsidR="001D58FE" w:rsidRPr="009B25AE" w:rsidRDefault="002874F4" w:rsidP="00E9672B">
      <w:pPr>
        <w:pStyle w:val="NormalWeb"/>
        <w:rPr>
          <w:rStyle w:val="Strong"/>
          <w:b w:val="0"/>
          <w:bCs w:val="0"/>
        </w:rPr>
      </w:pPr>
      <w:r w:rsidRPr="009B25AE">
        <w:rPr>
          <w:vertAlign w:val="superscript"/>
        </w:rPr>
        <w:t>#</w:t>
      </w:r>
      <w:r w:rsidRPr="009B25AE">
        <w:t xml:space="preserve"> Separation was a </w:t>
      </w:r>
      <w:r w:rsidRPr="009B25AE">
        <w:rPr>
          <w:rStyle w:val="Emphasis"/>
          <w:rFonts w:eastAsiaTheme="majorEastAsia"/>
        </w:rPr>
        <w:t>factor</w:t>
      </w:r>
      <w:r w:rsidRPr="009B25AE">
        <w:t xml:space="preserve"> in 55% of cases of male intimate partner homicide against a female victim; in 36% of cases, the couple was separated and, in a further 19% of cases, one or both parties had expressed an intention to separate.</w:t>
      </w:r>
    </w:p>
    <w:p w14:paraId="14ACB494" w14:textId="547E93EB" w:rsidR="002874F4" w:rsidRPr="009B25AE" w:rsidRDefault="002874F4" w:rsidP="002874F4">
      <w:pPr>
        <w:pStyle w:val="NormalWeb"/>
      </w:pPr>
      <w:r w:rsidRPr="009B25AE">
        <w:rPr>
          <w:rStyle w:val="Strong"/>
          <w:rFonts w:eastAsiaTheme="majorEastAsia"/>
        </w:rPr>
        <w:t>Suggested citation:</w:t>
      </w:r>
    </w:p>
    <w:p w14:paraId="4098526E" w14:textId="77777777" w:rsidR="002874F4" w:rsidRPr="009B25AE" w:rsidRDefault="002874F4" w:rsidP="00E9672B">
      <w:pPr>
        <w:pStyle w:val="NormalWeb"/>
        <w:spacing w:after="600" w:afterAutospacing="0"/>
      </w:pPr>
      <w:r w:rsidRPr="009B25AE">
        <w:t xml:space="preserve">Australia’s National Research Organisation for Women’s Safety. (2019). </w:t>
      </w:r>
      <w:r w:rsidRPr="009B25AE">
        <w:rPr>
          <w:rStyle w:val="Emphasis"/>
          <w:rFonts w:eastAsiaTheme="majorEastAsia"/>
        </w:rPr>
        <w:t>Domestic and family violence lethality: The facts about intimate partner homicide.</w:t>
      </w:r>
      <w:r w:rsidRPr="009B25AE">
        <w:t xml:space="preserve"> Sydney, NSW: ANROWS. </w:t>
      </w:r>
    </w:p>
    <w:p w14:paraId="01E88766" w14:textId="77777777" w:rsidR="00E9672B" w:rsidRPr="009B25AE" w:rsidRDefault="00E9672B" w:rsidP="00397B8C">
      <w:pPr>
        <w:spacing w:after="600"/>
        <w:rPr>
          <w:lang w:val="en-AU"/>
        </w:rPr>
        <w:sectPr w:rsidR="00E9672B" w:rsidRPr="009B25AE" w:rsidSect="009B25AE">
          <w:footerReference w:type="default" r:id="rId12"/>
          <w:headerReference w:type="first" r:id="rId13"/>
          <w:footerReference w:type="first" r:id="rId14"/>
          <w:pgSz w:w="11906" w:h="16838" w:code="9"/>
          <w:pgMar w:top="1418" w:right="851" w:bottom="1134" w:left="1134" w:header="567" w:footer="567" w:gutter="0"/>
          <w:cols w:space="720"/>
          <w:docGrid w:linePitch="360"/>
        </w:sectPr>
      </w:pPr>
    </w:p>
    <w:p w14:paraId="282C7D50" w14:textId="006978A7" w:rsidR="002874F4" w:rsidRPr="009B25AE" w:rsidRDefault="002874F4" w:rsidP="00E9672B">
      <w:pPr>
        <w:spacing w:after="120"/>
        <w:rPr>
          <w:lang w:val="en-AU"/>
        </w:rPr>
      </w:pPr>
      <w:r w:rsidRPr="009B25AE">
        <w:rPr>
          <w:noProof/>
          <w:lang w:val="en-AU"/>
        </w:rPr>
        <w:drawing>
          <wp:inline distT="0" distB="0" distL="0" distR="0" wp14:anchorId="629346E6" wp14:editId="5CF0065D">
            <wp:extent cx="2520000" cy="1207547"/>
            <wp:effectExtent l="0" t="0" r="0" b="0"/>
            <wp:docPr id="1" name="Picture 1" descr="ANROWS - Australia's National Research Organisation for Women's Safety. To reduce violence against women and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ROWS - Australia's National Research Organisation for Women's Safety. To reduce violence against women and their childr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0000" cy="1207547"/>
                    </a:xfrm>
                    <a:prstGeom prst="rect">
                      <a:avLst/>
                    </a:prstGeom>
                    <a:noFill/>
                    <a:ln>
                      <a:noFill/>
                    </a:ln>
                  </pic:spPr>
                </pic:pic>
              </a:graphicData>
            </a:graphic>
          </wp:inline>
        </w:drawing>
      </w:r>
      <w:r w:rsidR="00E9672B" w:rsidRPr="009B25AE">
        <w:rPr>
          <w:lang w:val="en-AU"/>
        </w:rPr>
        <w:br w:type="column"/>
      </w:r>
      <w:r w:rsidRPr="009B25AE">
        <w:rPr>
          <w:rStyle w:val="Strong"/>
          <w:rFonts w:eastAsiaTheme="majorEastAsia"/>
          <w:lang w:val="en-AU"/>
        </w:rPr>
        <w:t>Website:</w:t>
      </w:r>
    </w:p>
    <w:p w14:paraId="4DD0297F" w14:textId="2370EC6F" w:rsidR="002874F4" w:rsidRPr="009B25AE" w:rsidRDefault="000A5056" w:rsidP="00E9672B">
      <w:pPr>
        <w:pStyle w:val="NormalWeb"/>
        <w:spacing w:before="120" w:beforeAutospacing="0" w:after="120" w:afterAutospacing="0"/>
        <w:rPr>
          <w:rStyle w:val="Hyperlink"/>
        </w:rPr>
      </w:pPr>
      <w:hyperlink r:id="rId16" w:history="1">
        <w:r w:rsidR="002874F4" w:rsidRPr="009B25AE">
          <w:rPr>
            <w:rStyle w:val="Hyperlink"/>
          </w:rPr>
          <w:t>anrows.org.au</w:t>
        </w:r>
      </w:hyperlink>
    </w:p>
    <w:p w14:paraId="45D4D942" w14:textId="77777777" w:rsidR="002874F4" w:rsidRPr="009B25AE" w:rsidRDefault="002874F4" w:rsidP="00E9672B">
      <w:pPr>
        <w:pStyle w:val="NormalWeb"/>
        <w:spacing w:before="120" w:beforeAutospacing="0" w:after="120" w:afterAutospacing="0"/>
      </w:pPr>
      <w:r w:rsidRPr="009B25AE">
        <w:rPr>
          <w:rStyle w:val="Strong"/>
          <w:rFonts w:eastAsiaTheme="majorEastAsia"/>
        </w:rPr>
        <w:t>Email:</w:t>
      </w:r>
    </w:p>
    <w:p w14:paraId="119F96F1" w14:textId="6BA3D2E4" w:rsidR="002874F4" w:rsidRPr="009B25AE" w:rsidRDefault="000A5056" w:rsidP="00E9672B">
      <w:pPr>
        <w:pStyle w:val="NormalWeb"/>
        <w:spacing w:before="120" w:beforeAutospacing="0" w:after="120" w:afterAutospacing="0"/>
        <w:rPr>
          <w:rStyle w:val="Hyperlink"/>
        </w:rPr>
      </w:pPr>
      <w:hyperlink r:id="rId17" w:history="1">
        <w:r w:rsidR="002874F4" w:rsidRPr="009B25AE">
          <w:rPr>
            <w:rStyle w:val="Hyperlink"/>
          </w:rPr>
          <w:t>enquiries@anrows.org.au</w:t>
        </w:r>
      </w:hyperlink>
    </w:p>
    <w:p w14:paraId="326E467C" w14:textId="77777777" w:rsidR="002874F4" w:rsidRPr="009B25AE" w:rsidRDefault="002874F4" w:rsidP="00E9672B">
      <w:pPr>
        <w:pStyle w:val="NormalWeb"/>
        <w:spacing w:before="120" w:beforeAutospacing="0" w:after="120" w:afterAutospacing="0"/>
      </w:pPr>
      <w:r w:rsidRPr="009B25AE">
        <w:rPr>
          <w:rStyle w:val="Strong"/>
          <w:rFonts w:eastAsiaTheme="majorEastAsia"/>
        </w:rPr>
        <w:t>Twitter:</w:t>
      </w:r>
    </w:p>
    <w:p w14:paraId="31142A87" w14:textId="29F249AA" w:rsidR="00660517" w:rsidRPr="009B25AE" w:rsidRDefault="002874F4" w:rsidP="00E9672B">
      <w:pPr>
        <w:pStyle w:val="NormalWeb"/>
        <w:spacing w:before="120" w:beforeAutospacing="0" w:after="120" w:afterAutospacing="0"/>
      </w:pPr>
      <w:r w:rsidRPr="009B25AE">
        <w:t>@</w:t>
      </w:r>
      <w:hyperlink r:id="rId18" w:history="1">
        <w:r w:rsidRPr="009B25AE">
          <w:rPr>
            <w:rStyle w:val="Hyperlink"/>
            <w:sz w:val="24"/>
          </w:rPr>
          <w:t>ANROW</w:t>
        </w:r>
        <w:bookmarkEnd w:id="1"/>
        <w:r w:rsidR="00E9672B" w:rsidRPr="009B25AE">
          <w:rPr>
            <w:rStyle w:val="Hyperlink"/>
            <w:sz w:val="24"/>
          </w:rPr>
          <w:t>S</w:t>
        </w:r>
      </w:hyperlink>
    </w:p>
    <w:sectPr w:rsidR="00660517" w:rsidRPr="009B25AE" w:rsidSect="00E9672B">
      <w:type w:val="continuous"/>
      <w:pgSz w:w="11906" w:h="16838" w:code="9"/>
      <w:pgMar w:top="1418" w:right="851" w:bottom="1134" w:left="1134" w:header="567" w:footer="567"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38F1" w14:textId="77777777" w:rsidR="00D810D5" w:rsidRDefault="00D810D5" w:rsidP="00D810D5">
      <w:pPr>
        <w:spacing w:before="0" w:after="0" w:line="240" w:lineRule="auto"/>
      </w:pPr>
      <w:r>
        <w:separator/>
      </w:r>
    </w:p>
  </w:endnote>
  <w:endnote w:type="continuationSeparator" w:id="0">
    <w:p w14:paraId="1B25CCF1" w14:textId="77777777" w:rsidR="00D810D5" w:rsidRDefault="00D810D5" w:rsidP="00D810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w:altName w:val="Calibri"/>
    <w:panose1 w:val="020B0803020202090204"/>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64677"/>
      <w:docPartObj>
        <w:docPartGallery w:val="Page Numbers (Bottom of Page)"/>
        <w:docPartUnique/>
      </w:docPartObj>
    </w:sdtPr>
    <w:sdtEndPr>
      <w:rPr>
        <w:noProof/>
      </w:rPr>
    </w:sdtEndPr>
    <w:sdtContent>
      <w:p w14:paraId="6961215A" w14:textId="20C3EBC6" w:rsidR="009B25AE" w:rsidRPr="009B25AE" w:rsidRDefault="009B25AE" w:rsidP="009B25AE">
        <w:pPr>
          <w:pStyle w:val="Footer"/>
          <w:ind w:right="0"/>
          <w:jc w:val="right"/>
        </w:pP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018790"/>
      <w:docPartObj>
        <w:docPartGallery w:val="Page Numbers (Bottom of Page)"/>
        <w:docPartUnique/>
      </w:docPartObj>
    </w:sdtPr>
    <w:sdtEndPr>
      <w:rPr>
        <w:noProof/>
      </w:rPr>
    </w:sdtEndPr>
    <w:sdtContent>
      <w:p w14:paraId="5E47177B" w14:textId="3CF3E764" w:rsidR="008C0A90" w:rsidRPr="006177C0" w:rsidRDefault="001D58FE" w:rsidP="001D58FE">
        <w:pPr>
          <w:pStyle w:val="Footer"/>
          <w:ind w:right="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9C05" w14:textId="77777777" w:rsidR="00D810D5" w:rsidRDefault="00D810D5" w:rsidP="00D810D5">
      <w:pPr>
        <w:spacing w:before="0" w:after="0" w:line="240" w:lineRule="auto"/>
      </w:pPr>
      <w:r>
        <w:separator/>
      </w:r>
    </w:p>
  </w:footnote>
  <w:footnote w:type="continuationSeparator" w:id="0">
    <w:p w14:paraId="7E9DCC7C" w14:textId="77777777" w:rsidR="00D810D5" w:rsidRDefault="00D810D5" w:rsidP="00D810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9B6A" w14:textId="4FE5D12A" w:rsidR="008C0A90" w:rsidRDefault="008C0A90" w:rsidP="00D20D24">
    <w:pPr>
      <w:pStyle w:val="Foot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62CA"/>
    <w:multiLevelType w:val="hybridMultilevel"/>
    <w:tmpl w:val="30CE93FC"/>
    <w:lvl w:ilvl="0" w:tplc="AC4EC3C6">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CE7C7D"/>
    <w:multiLevelType w:val="hybridMultilevel"/>
    <w:tmpl w:val="026A199C"/>
    <w:lvl w:ilvl="0" w:tplc="B730433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55"/>
    <w:rsid w:val="00015420"/>
    <w:rsid w:val="000176B1"/>
    <w:rsid w:val="00024B15"/>
    <w:rsid w:val="00053F7C"/>
    <w:rsid w:val="000A0EEC"/>
    <w:rsid w:val="000A5056"/>
    <w:rsid w:val="000E3644"/>
    <w:rsid w:val="000E65B4"/>
    <w:rsid w:val="000F2B64"/>
    <w:rsid w:val="001031C8"/>
    <w:rsid w:val="00122787"/>
    <w:rsid w:val="001370FE"/>
    <w:rsid w:val="0017360A"/>
    <w:rsid w:val="00180CF4"/>
    <w:rsid w:val="001B5DFB"/>
    <w:rsid w:val="001D58FE"/>
    <w:rsid w:val="001F060A"/>
    <w:rsid w:val="001F2E2A"/>
    <w:rsid w:val="001F71DA"/>
    <w:rsid w:val="001F7319"/>
    <w:rsid w:val="00213DAF"/>
    <w:rsid w:val="00214811"/>
    <w:rsid w:val="0022726B"/>
    <w:rsid w:val="00227A80"/>
    <w:rsid w:val="00242327"/>
    <w:rsid w:val="00265D2C"/>
    <w:rsid w:val="002874F4"/>
    <w:rsid w:val="002C6645"/>
    <w:rsid w:val="002D178B"/>
    <w:rsid w:val="002E000E"/>
    <w:rsid w:val="003043D9"/>
    <w:rsid w:val="00397B8C"/>
    <w:rsid w:val="003B6010"/>
    <w:rsid w:val="004117C9"/>
    <w:rsid w:val="00422518"/>
    <w:rsid w:val="0042474E"/>
    <w:rsid w:val="0044243E"/>
    <w:rsid w:val="00462366"/>
    <w:rsid w:val="00462396"/>
    <w:rsid w:val="00464462"/>
    <w:rsid w:val="00474633"/>
    <w:rsid w:val="00517061"/>
    <w:rsid w:val="0055304C"/>
    <w:rsid w:val="00563263"/>
    <w:rsid w:val="005A33BD"/>
    <w:rsid w:val="005C0EC0"/>
    <w:rsid w:val="005F1636"/>
    <w:rsid w:val="006070A4"/>
    <w:rsid w:val="00607549"/>
    <w:rsid w:val="00613B14"/>
    <w:rsid w:val="00616CEF"/>
    <w:rsid w:val="006177C0"/>
    <w:rsid w:val="00651CFA"/>
    <w:rsid w:val="00660517"/>
    <w:rsid w:val="00694553"/>
    <w:rsid w:val="006C6228"/>
    <w:rsid w:val="006F035F"/>
    <w:rsid w:val="006F35E3"/>
    <w:rsid w:val="00710559"/>
    <w:rsid w:val="00717A85"/>
    <w:rsid w:val="00776FB1"/>
    <w:rsid w:val="007B0154"/>
    <w:rsid w:val="007C456D"/>
    <w:rsid w:val="007C6755"/>
    <w:rsid w:val="007C6C4F"/>
    <w:rsid w:val="008956A3"/>
    <w:rsid w:val="008C0A90"/>
    <w:rsid w:val="008D0B51"/>
    <w:rsid w:val="008D7C43"/>
    <w:rsid w:val="008F12D4"/>
    <w:rsid w:val="00907E5F"/>
    <w:rsid w:val="0093001E"/>
    <w:rsid w:val="0093571B"/>
    <w:rsid w:val="0094657E"/>
    <w:rsid w:val="009572A4"/>
    <w:rsid w:val="0099355A"/>
    <w:rsid w:val="00997B71"/>
    <w:rsid w:val="009B25AE"/>
    <w:rsid w:val="009F76CD"/>
    <w:rsid w:val="00A0048F"/>
    <w:rsid w:val="00A354BA"/>
    <w:rsid w:val="00A53A7D"/>
    <w:rsid w:val="00A5648E"/>
    <w:rsid w:val="00A75D2F"/>
    <w:rsid w:val="00A81535"/>
    <w:rsid w:val="00A95A80"/>
    <w:rsid w:val="00AB0CCC"/>
    <w:rsid w:val="00BE34B3"/>
    <w:rsid w:val="00C05946"/>
    <w:rsid w:val="00C31646"/>
    <w:rsid w:val="00C440FA"/>
    <w:rsid w:val="00C92D92"/>
    <w:rsid w:val="00CF3127"/>
    <w:rsid w:val="00CF77A0"/>
    <w:rsid w:val="00D033AF"/>
    <w:rsid w:val="00D20D24"/>
    <w:rsid w:val="00D2385E"/>
    <w:rsid w:val="00D810D5"/>
    <w:rsid w:val="00DB0A0D"/>
    <w:rsid w:val="00DC2886"/>
    <w:rsid w:val="00E04E68"/>
    <w:rsid w:val="00E17271"/>
    <w:rsid w:val="00E343D7"/>
    <w:rsid w:val="00E9672B"/>
    <w:rsid w:val="00EA45C3"/>
    <w:rsid w:val="00EA6423"/>
    <w:rsid w:val="00EE178D"/>
    <w:rsid w:val="00EE250F"/>
    <w:rsid w:val="00F81A83"/>
    <w:rsid w:val="00F9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8D6254"/>
  <w15:chartTrackingRefBased/>
  <w15:docId w15:val="{A425E5DB-77C9-45D5-83C2-44843FC1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2C"/>
    <w:pPr>
      <w:spacing w:before="120"/>
    </w:pPr>
    <w:rPr>
      <w:rFonts w:ascii="Arial" w:hAnsi="Arial"/>
    </w:rPr>
  </w:style>
  <w:style w:type="paragraph" w:styleId="Heading1">
    <w:name w:val="heading 1"/>
    <w:basedOn w:val="Normal"/>
    <w:next w:val="Normal"/>
    <w:link w:val="Heading1Char"/>
    <w:uiPriority w:val="9"/>
    <w:qFormat/>
    <w:rsid w:val="00A5648E"/>
    <w:pPr>
      <w:keepNext/>
      <w:keepLines/>
      <w:spacing w:before="240" w:after="480"/>
      <w:outlineLvl w:val="0"/>
    </w:pPr>
    <w:rPr>
      <w:rFonts w:eastAsiaTheme="majorEastAsia" w:cstheme="majorBidi"/>
      <w:sz w:val="60"/>
      <w:szCs w:val="32"/>
    </w:rPr>
  </w:style>
  <w:style w:type="paragraph" w:styleId="Heading2">
    <w:name w:val="heading 2"/>
    <w:basedOn w:val="Heading3"/>
    <w:next w:val="Normal"/>
    <w:link w:val="Heading2Char"/>
    <w:uiPriority w:val="9"/>
    <w:unhideWhenUsed/>
    <w:qFormat/>
    <w:rsid w:val="000A5056"/>
    <w:pPr>
      <w:outlineLvl w:val="1"/>
    </w:pPr>
    <w:rPr>
      <w:lang w:val="en-AU"/>
    </w:rPr>
  </w:style>
  <w:style w:type="paragraph" w:styleId="Heading3">
    <w:name w:val="heading 3"/>
    <w:basedOn w:val="Normal"/>
    <w:next w:val="Normal"/>
    <w:link w:val="Heading3Char"/>
    <w:uiPriority w:val="9"/>
    <w:unhideWhenUsed/>
    <w:qFormat/>
    <w:rsid w:val="00462396"/>
    <w:pPr>
      <w:keepNext/>
      <w:keepLines/>
      <w:spacing w:before="480" w:after="120"/>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462396"/>
    <w:pPr>
      <w:keepNext/>
      <w:keepLines/>
      <w:spacing w:before="480" w:after="12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48E"/>
    <w:rPr>
      <w:rFonts w:ascii="Times New Roman" w:eastAsiaTheme="majorEastAsia" w:hAnsi="Times New Roman" w:cstheme="majorBidi"/>
      <w:sz w:val="60"/>
      <w:szCs w:val="32"/>
    </w:rPr>
  </w:style>
  <w:style w:type="character" w:customStyle="1" w:styleId="Heading2Char">
    <w:name w:val="Heading 2 Char"/>
    <w:basedOn w:val="DefaultParagraphFont"/>
    <w:link w:val="Heading2"/>
    <w:uiPriority w:val="9"/>
    <w:rsid w:val="000A5056"/>
    <w:rPr>
      <w:rFonts w:ascii="Arial" w:eastAsiaTheme="majorEastAsia" w:hAnsi="Arial" w:cstheme="majorBidi"/>
      <w:b/>
      <w:sz w:val="26"/>
      <w:szCs w:val="24"/>
      <w:lang w:val="en-AU"/>
    </w:rPr>
  </w:style>
  <w:style w:type="character" w:customStyle="1" w:styleId="Heading3Char">
    <w:name w:val="Heading 3 Char"/>
    <w:basedOn w:val="DefaultParagraphFont"/>
    <w:link w:val="Heading3"/>
    <w:uiPriority w:val="9"/>
    <w:rsid w:val="00462396"/>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462396"/>
    <w:rPr>
      <w:rFonts w:ascii="Arial" w:eastAsiaTheme="majorEastAsia" w:hAnsi="Arial" w:cstheme="majorBidi"/>
      <w:b/>
      <w:iCs/>
      <w:sz w:val="24"/>
    </w:rPr>
  </w:style>
  <w:style w:type="character" w:styleId="Strong">
    <w:name w:val="Strong"/>
    <w:basedOn w:val="DefaultParagraphFont"/>
    <w:uiPriority w:val="22"/>
    <w:qFormat/>
    <w:rsid w:val="0099355A"/>
    <w:rPr>
      <w:rFonts w:ascii="Arial" w:hAnsi="Arial"/>
      <w:b/>
      <w:bCs/>
    </w:rPr>
  </w:style>
  <w:style w:type="character" w:styleId="IntenseEmphasis">
    <w:name w:val="Intense Emphasis"/>
    <w:basedOn w:val="DefaultParagraphFont"/>
    <w:uiPriority w:val="21"/>
    <w:qFormat/>
    <w:rsid w:val="007C6755"/>
    <w:rPr>
      <w:i/>
      <w:iCs/>
      <w:color w:val="7F790B" w:themeColor="accent1"/>
    </w:rPr>
  </w:style>
  <w:style w:type="paragraph" w:styleId="ListParagraph">
    <w:name w:val="List Paragraph"/>
    <w:basedOn w:val="Normal"/>
    <w:uiPriority w:val="34"/>
    <w:qFormat/>
    <w:rsid w:val="00227A80"/>
    <w:pPr>
      <w:numPr>
        <w:numId w:val="1"/>
      </w:numPr>
      <w:ind w:left="357" w:hanging="357"/>
      <w:contextualSpacing/>
    </w:pPr>
  </w:style>
  <w:style w:type="paragraph" w:customStyle="1" w:styleId="Listnumbered">
    <w:name w:val="List numbered"/>
    <w:basedOn w:val="ListParagraph"/>
    <w:qFormat/>
    <w:rsid w:val="00227A80"/>
    <w:pPr>
      <w:numPr>
        <w:numId w:val="2"/>
      </w:numPr>
      <w:ind w:left="357" w:hanging="357"/>
    </w:pPr>
  </w:style>
  <w:style w:type="table" w:styleId="TableGrid">
    <w:name w:val="Table Grid"/>
    <w:basedOn w:val="TableNormal"/>
    <w:uiPriority w:val="39"/>
    <w:rsid w:val="00BE3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BE34B3"/>
    <w:pPr>
      <w:spacing w:after="0" w:line="240" w:lineRule="auto"/>
    </w:pPr>
    <w:tblPr>
      <w:tblStyleRowBandSize w:val="1"/>
      <w:tblStyleColBandSize w:val="1"/>
      <w:tblBorders>
        <w:top w:val="single" w:sz="4" w:space="0" w:color="ABABAE" w:themeColor="accent4" w:themeTint="99"/>
        <w:left w:val="single" w:sz="4" w:space="0" w:color="ABABAE" w:themeColor="accent4" w:themeTint="99"/>
        <w:bottom w:val="single" w:sz="4" w:space="0" w:color="ABABAE" w:themeColor="accent4" w:themeTint="99"/>
        <w:right w:val="single" w:sz="4" w:space="0" w:color="ABABAE" w:themeColor="accent4" w:themeTint="99"/>
        <w:insideH w:val="single" w:sz="4" w:space="0" w:color="ABABAE" w:themeColor="accent4" w:themeTint="99"/>
        <w:insideV w:val="single" w:sz="4" w:space="0" w:color="ABABAE" w:themeColor="accent4" w:themeTint="99"/>
      </w:tblBorders>
    </w:tblPr>
    <w:tblStylePr w:type="firstRow">
      <w:rPr>
        <w:b/>
        <w:bCs/>
        <w:color w:val="FFFFFF" w:themeColor="background1"/>
      </w:rPr>
      <w:tblPr/>
      <w:tcPr>
        <w:tcBorders>
          <w:top w:val="single" w:sz="4" w:space="0" w:color="747579" w:themeColor="accent4"/>
          <w:left w:val="single" w:sz="4" w:space="0" w:color="747579" w:themeColor="accent4"/>
          <w:bottom w:val="single" w:sz="4" w:space="0" w:color="747579" w:themeColor="accent4"/>
          <w:right w:val="single" w:sz="4" w:space="0" w:color="747579" w:themeColor="accent4"/>
          <w:insideH w:val="nil"/>
          <w:insideV w:val="nil"/>
        </w:tcBorders>
        <w:shd w:val="clear" w:color="auto" w:fill="747579" w:themeFill="accent4"/>
      </w:tcPr>
    </w:tblStylePr>
    <w:tblStylePr w:type="lastRow">
      <w:rPr>
        <w:b/>
        <w:bCs/>
      </w:rPr>
      <w:tblPr/>
      <w:tcPr>
        <w:tcBorders>
          <w:top w:val="double" w:sz="4" w:space="0" w:color="747579" w:themeColor="accent4"/>
        </w:tcBorders>
      </w:tcPr>
    </w:tblStylePr>
    <w:tblStylePr w:type="firstCol">
      <w:rPr>
        <w:b/>
        <w:bCs/>
      </w:rPr>
    </w:tblStylePr>
    <w:tblStylePr w:type="lastCol">
      <w:rPr>
        <w:b/>
        <w:bCs/>
      </w:rPr>
    </w:tblStylePr>
    <w:tblStylePr w:type="band1Vert">
      <w:tblPr/>
      <w:tcPr>
        <w:shd w:val="clear" w:color="auto" w:fill="E3E3E4" w:themeFill="accent4" w:themeFillTint="33"/>
      </w:tcPr>
    </w:tblStylePr>
    <w:tblStylePr w:type="band1Horz">
      <w:tblPr/>
      <w:tcPr>
        <w:shd w:val="clear" w:color="auto" w:fill="E3E3E4" w:themeFill="accent4" w:themeFillTint="33"/>
      </w:tcPr>
    </w:tblStylePr>
  </w:style>
  <w:style w:type="table" w:customStyle="1" w:styleId="ANROWStablestyle">
    <w:name w:val="ANROWS table style"/>
    <w:basedOn w:val="TableNormal"/>
    <w:uiPriority w:val="99"/>
    <w:rsid w:val="00E17271"/>
    <w:pPr>
      <w:spacing w:after="0" w:line="360" w:lineRule="auto"/>
    </w:pPr>
    <w:rPr>
      <w:rFonts w:ascii="Arial" w:hAnsi="Arial"/>
    </w:rPr>
    <w:tblPr>
      <w:tblStyleRowBandSize w:val="1"/>
      <w:tblBorders>
        <w:top w:val="single" w:sz="4" w:space="0" w:color="auto"/>
        <w:bottom w:val="single" w:sz="4" w:space="0" w:color="auto"/>
      </w:tblBorders>
    </w:tblPr>
    <w:tcPr>
      <w:shd w:val="clear" w:color="auto" w:fill="000000" w:themeFill="text1"/>
      <w:vAlign w:val="center"/>
    </w:tcPr>
    <w:tblStylePr w:type="firstRow">
      <w:rPr>
        <w:rFonts w:ascii="Arial" w:hAnsi="Arial"/>
        <w:b/>
        <w:color w:val="FFFFFF" w:themeColor="background1"/>
      </w:rPr>
      <w:tblPr/>
      <w:tcPr>
        <w:shd w:val="clear" w:color="auto" w:fill="647480"/>
      </w:tcPr>
    </w:tblStylePr>
    <w:tblStylePr w:type="band1Horz">
      <w:tblPr/>
      <w:tcPr>
        <w:shd w:val="clear" w:color="auto" w:fill="FFFFFF" w:themeFill="background1"/>
      </w:tcPr>
    </w:tblStylePr>
    <w:tblStylePr w:type="band2Horz">
      <w:tblPr/>
      <w:tcPr>
        <w:shd w:val="clear" w:color="auto" w:fill="E8EAEA"/>
      </w:tcPr>
    </w:tblStylePr>
  </w:style>
  <w:style w:type="paragraph" w:styleId="Header">
    <w:name w:val="header"/>
    <w:basedOn w:val="Normal"/>
    <w:link w:val="HeaderChar"/>
    <w:uiPriority w:val="99"/>
    <w:unhideWhenUsed/>
    <w:rsid w:val="00D81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0D5"/>
    <w:rPr>
      <w:rFonts w:ascii="Times New Roman" w:hAnsi="Times New Roman"/>
    </w:rPr>
  </w:style>
  <w:style w:type="paragraph" w:styleId="Footer">
    <w:name w:val="footer"/>
    <w:basedOn w:val="Normal"/>
    <w:link w:val="FooterChar"/>
    <w:uiPriority w:val="99"/>
    <w:unhideWhenUsed/>
    <w:rsid w:val="006F035F"/>
    <w:pPr>
      <w:tabs>
        <w:tab w:val="left" w:pos="284"/>
        <w:tab w:val="left" w:pos="9923"/>
      </w:tabs>
      <w:spacing w:after="0" w:line="240" w:lineRule="auto"/>
      <w:ind w:right="-340"/>
    </w:pPr>
    <w:rPr>
      <w:color w:val="7E790A"/>
    </w:rPr>
  </w:style>
  <w:style w:type="character" w:customStyle="1" w:styleId="FooterChar">
    <w:name w:val="Footer Char"/>
    <w:basedOn w:val="DefaultParagraphFont"/>
    <w:link w:val="Footer"/>
    <w:uiPriority w:val="99"/>
    <w:rsid w:val="006F035F"/>
    <w:rPr>
      <w:rFonts w:ascii="Arial" w:hAnsi="Arial"/>
      <w:color w:val="7E790A"/>
    </w:rPr>
  </w:style>
  <w:style w:type="paragraph" w:styleId="TOC1">
    <w:name w:val="toc 1"/>
    <w:basedOn w:val="Normal"/>
    <w:next w:val="Normal"/>
    <w:autoRedefine/>
    <w:uiPriority w:val="39"/>
    <w:unhideWhenUsed/>
    <w:rsid w:val="008D0B51"/>
    <w:pPr>
      <w:tabs>
        <w:tab w:val="right" w:pos="9350"/>
      </w:tabs>
      <w:spacing w:after="100"/>
    </w:pPr>
    <w:rPr>
      <w:b/>
      <w:noProof/>
      <w:color w:val="7E790A"/>
      <w:sz w:val="24"/>
      <w:szCs w:val="24"/>
    </w:rPr>
  </w:style>
  <w:style w:type="paragraph" w:styleId="TOC2">
    <w:name w:val="toc 2"/>
    <w:basedOn w:val="Normal"/>
    <w:next w:val="Normal"/>
    <w:autoRedefine/>
    <w:uiPriority w:val="39"/>
    <w:unhideWhenUsed/>
    <w:rsid w:val="00DC2886"/>
    <w:pPr>
      <w:tabs>
        <w:tab w:val="right" w:pos="9350"/>
      </w:tabs>
      <w:spacing w:after="100"/>
      <w:ind w:left="220"/>
    </w:pPr>
    <w:rPr>
      <w:noProof/>
    </w:rPr>
  </w:style>
  <w:style w:type="character" w:styleId="Hyperlink">
    <w:name w:val="Hyperlink"/>
    <w:basedOn w:val="DefaultParagraphFont"/>
    <w:uiPriority w:val="99"/>
    <w:unhideWhenUsed/>
    <w:rsid w:val="0099355A"/>
    <w:rPr>
      <w:rFonts w:ascii="Arial" w:hAnsi="Arial"/>
      <w:color w:val="7F790B" w:themeColor="hyperlink"/>
      <w:sz w:val="22"/>
      <w:u w:val="single"/>
    </w:rPr>
  </w:style>
  <w:style w:type="paragraph" w:customStyle="1" w:styleId="PullQuote">
    <w:name w:val="Pull Quote"/>
    <w:basedOn w:val="Normal"/>
    <w:qFormat/>
    <w:rsid w:val="008D0B51"/>
    <w:pPr>
      <w:spacing w:before="240" w:after="240"/>
    </w:pPr>
    <w:rPr>
      <w:color w:val="7E790A"/>
      <w:sz w:val="36"/>
    </w:rPr>
  </w:style>
  <w:style w:type="table" w:styleId="GridTable4">
    <w:name w:val="Grid Table 4"/>
    <w:basedOn w:val="TableNormal"/>
    <w:uiPriority w:val="49"/>
    <w:rsid w:val="00997B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alloutbox">
    <w:name w:val="Call out box"/>
    <w:basedOn w:val="TableNormal"/>
    <w:uiPriority w:val="99"/>
    <w:rsid w:val="001031C8"/>
    <w:pPr>
      <w:spacing w:before="120" w:after="120" w:line="240" w:lineRule="auto"/>
      <w:ind w:left="170" w:right="170"/>
    </w:pPr>
    <w:rPr>
      <w:rFonts w:ascii="Times New Roman" w:hAnsi="Times New Roman"/>
    </w:rPr>
    <w:tblPr/>
    <w:tcPr>
      <w:shd w:val="clear" w:color="auto" w:fill="E8EAEA"/>
    </w:tcPr>
    <w:tblStylePr w:type="firstRow">
      <w:pPr>
        <w:wordWrap/>
        <w:spacing w:beforeLines="0" w:before="120" w:beforeAutospacing="0" w:afterLines="0" w:after="120" w:afterAutospacing="0"/>
        <w:ind w:leftChars="0" w:left="170" w:rightChars="0" w:right="170"/>
      </w:pPr>
      <w:rPr>
        <w:rFonts w:ascii="Arial" w:hAnsi="Arial"/>
        <w:b/>
        <w:color w:val="797700"/>
        <w:sz w:val="22"/>
      </w:rPr>
    </w:tblStylePr>
  </w:style>
  <w:style w:type="character" w:styleId="PlaceholderText">
    <w:name w:val="Placeholder Text"/>
    <w:basedOn w:val="DefaultParagraphFont"/>
    <w:uiPriority w:val="99"/>
    <w:semiHidden/>
    <w:rsid w:val="0055304C"/>
    <w:rPr>
      <w:color w:val="808080"/>
    </w:rPr>
  </w:style>
  <w:style w:type="paragraph" w:customStyle="1" w:styleId="Imagecaption">
    <w:name w:val="Image caption"/>
    <w:basedOn w:val="Normal"/>
    <w:qFormat/>
    <w:rsid w:val="0055304C"/>
    <w:rPr>
      <w:color w:val="4D4D4D"/>
    </w:rPr>
  </w:style>
  <w:style w:type="character" w:styleId="CommentReference">
    <w:name w:val="annotation reference"/>
    <w:basedOn w:val="DefaultParagraphFont"/>
    <w:uiPriority w:val="99"/>
    <w:semiHidden/>
    <w:unhideWhenUsed/>
    <w:rsid w:val="00776FB1"/>
    <w:rPr>
      <w:sz w:val="16"/>
      <w:szCs w:val="16"/>
    </w:rPr>
  </w:style>
  <w:style w:type="paragraph" w:styleId="CommentText">
    <w:name w:val="annotation text"/>
    <w:basedOn w:val="Normal"/>
    <w:link w:val="CommentTextChar"/>
    <w:uiPriority w:val="99"/>
    <w:semiHidden/>
    <w:unhideWhenUsed/>
    <w:rsid w:val="00776FB1"/>
    <w:pPr>
      <w:spacing w:line="240" w:lineRule="auto"/>
    </w:pPr>
    <w:rPr>
      <w:sz w:val="20"/>
      <w:szCs w:val="20"/>
    </w:rPr>
  </w:style>
  <w:style w:type="character" w:customStyle="1" w:styleId="CommentTextChar">
    <w:name w:val="Comment Text Char"/>
    <w:basedOn w:val="DefaultParagraphFont"/>
    <w:link w:val="CommentText"/>
    <w:uiPriority w:val="99"/>
    <w:semiHidden/>
    <w:rsid w:val="00776F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6FB1"/>
    <w:rPr>
      <w:b/>
      <w:bCs/>
    </w:rPr>
  </w:style>
  <w:style w:type="character" w:customStyle="1" w:styleId="CommentSubjectChar">
    <w:name w:val="Comment Subject Char"/>
    <w:basedOn w:val="CommentTextChar"/>
    <w:link w:val="CommentSubject"/>
    <w:uiPriority w:val="99"/>
    <w:semiHidden/>
    <w:rsid w:val="00776FB1"/>
    <w:rPr>
      <w:rFonts w:ascii="Times New Roman" w:hAnsi="Times New Roman"/>
      <w:b/>
      <w:bCs/>
      <w:sz w:val="20"/>
      <w:szCs w:val="20"/>
    </w:rPr>
  </w:style>
  <w:style w:type="paragraph" w:customStyle="1" w:styleId="Acknowledgement">
    <w:name w:val="Acknowledgement"/>
    <w:basedOn w:val="Normal"/>
    <w:qFormat/>
    <w:rsid w:val="002E000E"/>
  </w:style>
  <w:style w:type="paragraph" w:customStyle="1" w:styleId="AcknowledgementStrong">
    <w:name w:val="Acknowledgement Strong"/>
    <w:basedOn w:val="Acknowledgement"/>
    <w:qFormat/>
    <w:rsid w:val="00651CFA"/>
    <w:rPr>
      <w:b/>
    </w:rPr>
  </w:style>
  <w:style w:type="paragraph" w:customStyle="1" w:styleId="Calloutbox-heading">
    <w:name w:val="Call out box - heading"/>
    <w:basedOn w:val="Normal"/>
    <w:qFormat/>
    <w:rsid w:val="00462396"/>
    <w:pPr>
      <w:spacing w:before="240" w:after="120" w:line="240" w:lineRule="auto"/>
      <w:ind w:left="170" w:right="170"/>
    </w:pPr>
    <w:rPr>
      <w:b/>
      <w:sz w:val="32"/>
    </w:rPr>
  </w:style>
  <w:style w:type="paragraph" w:customStyle="1" w:styleId="DocumentAuthors">
    <w:name w:val="Document Authors"/>
    <w:basedOn w:val="Heading3"/>
    <w:qFormat/>
    <w:rsid w:val="008D0B51"/>
    <w:pPr>
      <w:spacing w:before="240" w:after="240"/>
      <w:jc w:val="right"/>
    </w:pPr>
    <w:rPr>
      <w:b w:val="0"/>
      <w:color w:val="7E790A"/>
    </w:rPr>
  </w:style>
  <w:style w:type="paragraph" w:customStyle="1" w:styleId="DocumentDate">
    <w:name w:val="Document Date"/>
    <w:basedOn w:val="Normal"/>
    <w:qFormat/>
    <w:rsid w:val="00122787"/>
    <w:pPr>
      <w:spacing w:before="0"/>
      <w:jc w:val="right"/>
    </w:pPr>
    <w:rPr>
      <w:color w:val="647480"/>
      <w:sz w:val="24"/>
    </w:rPr>
  </w:style>
  <w:style w:type="paragraph" w:customStyle="1" w:styleId="Cover-title">
    <w:name w:val="Cover - title"/>
    <w:basedOn w:val="Heading1"/>
    <w:qFormat/>
    <w:rsid w:val="00C31646"/>
    <w:pPr>
      <w:spacing w:before="8000" w:after="120"/>
      <w:jc w:val="right"/>
    </w:pPr>
    <w:rPr>
      <w:b/>
      <w:sz w:val="48"/>
    </w:rPr>
  </w:style>
  <w:style w:type="paragraph" w:customStyle="1" w:styleId="Cover-subtitle">
    <w:name w:val="Cover - sub title"/>
    <w:basedOn w:val="Heading2"/>
    <w:qFormat/>
    <w:rsid w:val="00C31646"/>
    <w:pPr>
      <w:spacing w:before="240" w:after="960"/>
      <w:jc w:val="right"/>
    </w:pPr>
    <w:rPr>
      <w:rFonts w:ascii="Times New Roman" w:hAnsi="Times New Roman"/>
      <w:b w:val="0"/>
      <w:sz w:val="36"/>
    </w:rPr>
  </w:style>
  <w:style w:type="paragraph" w:customStyle="1" w:styleId="TableCopyTABLECOPYSTYLES">
    <w:name w:val="Table Copy (TABLE COPY STYLES)"/>
    <w:basedOn w:val="Normal"/>
    <w:uiPriority w:val="99"/>
    <w:rsid w:val="008956A3"/>
    <w:pPr>
      <w:suppressAutoHyphens/>
      <w:autoSpaceDE w:val="0"/>
      <w:autoSpaceDN w:val="0"/>
      <w:adjustRightInd w:val="0"/>
      <w:spacing w:before="57" w:after="0" w:line="260" w:lineRule="atLeast"/>
      <w:jc w:val="both"/>
      <w:textAlignment w:val="center"/>
    </w:pPr>
    <w:rPr>
      <w:rFonts w:ascii="Avenir Next" w:hAnsi="Avenir Next" w:cs="Avenir Next"/>
      <w:color w:val="000000"/>
      <w:spacing w:val="2"/>
      <w:sz w:val="18"/>
      <w:szCs w:val="18"/>
      <w:lang w:val="en-GB"/>
    </w:rPr>
  </w:style>
  <w:style w:type="paragraph" w:customStyle="1" w:styleId="Calloutbox-title">
    <w:name w:val="Call out box - title"/>
    <w:basedOn w:val="Normal"/>
    <w:autoRedefine/>
    <w:qFormat/>
    <w:rsid w:val="008D0B51"/>
    <w:pPr>
      <w:spacing w:after="120" w:line="240" w:lineRule="auto"/>
      <w:ind w:left="170" w:right="170"/>
    </w:pPr>
    <w:rPr>
      <w:b/>
      <w:bCs/>
      <w:color w:val="7E790A"/>
    </w:rPr>
  </w:style>
  <w:style w:type="paragraph" w:styleId="TOCHeading">
    <w:name w:val="TOC Heading"/>
    <w:basedOn w:val="Heading2"/>
    <w:next w:val="Normal"/>
    <w:uiPriority w:val="39"/>
    <w:unhideWhenUsed/>
    <w:qFormat/>
    <w:rsid w:val="00DB0A0D"/>
    <w:rPr>
      <w:rFonts w:ascii="Times New Roman" w:hAnsi="Times New Roman"/>
      <w:b w:val="0"/>
      <w:bCs/>
      <w:sz w:val="60"/>
    </w:rPr>
  </w:style>
  <w:style w:type="paragraph" w:styleId="TOC3">
    <w:name w:val="toc 3"/>
    <w:basedOn w:val="Normal"/>
    <w:next w:val="Normal"/>
    <w:autoRedefine/>
    <w:uiPriority w:val="39"/>
    <w:unhideWhenUsed/>
    <w:rsid w:val="008956A3"/>
    <w:pPr>
      <w:spacing w:before="0" w:after="100"/>
      <w:ind w:left="440"/>
    </w:pPr>
    <w:rPr>
      <w:rFonts w:asciiTheme="minorHAnsi" w:eastAsiaTheme="minorEastAsia" w:hAnsiTheme="minorHAnsi" w:cs="Times New Roman"/>
    </w:rPr>
  </w:style>
  <w:style w:type="paragraph" w:customStyle="1" w:styleId="Table-normal">
    <w:name w:val="Table - normal"/>
    <w:basedOn w:val="Acknowledgement"/>
    <w:qFormat/>
    <w:rsid w:val="00E17271"/>
    <w:pPr>
      <w:spacing w:after="0" w:line="360" w:lineRule="auto"/>
    </w:pPr>
  </w:style>
  <w:style w:type="paragraph" w:customStyle="1" w:styleId="Table-header">
    <w:name w:val="Table - header"/>
    <w:basedOn w:val="Normal"/>
    <w:qFormat/>
    <w:rsid w:val="00E17271"/>
    <w:pPr>
      <w:spacing w:after="0" w:line="360" w:lineRule="auto"/>
    </w:pPr>
    <w:rPr>
      <w:b/>
      <w:color w:val="FFFFFF" w:themeColor="background1"/>
    </w:rPr>
  </w:style>
  <w:style w:type="paragraph" w:customStyle="1" w:styleId="Calloutbox-list">
    <w:name w:val="Call out box - list"/>
    <w:basedOn w:val="ListParagraph"/>
    <w:qFormat/>
    <w:rsid w:val="00607549"/>
    <w:pPr>
      <w:spacing w:before="240" w:after="240" w:line="240" w:lineRule="auto"/>
      <w:ind w:left="924" w:right="170"/>
      <w:contextualSpacing w:val="0"/>
    </w:pPr>
  </w:style>
  <w:style w:type="paragraph" w:customStyle="1" w:styleId="Partheading">
    <w:name w:val="'Part' heading"/>
    <w:basedOn w:val="Heading1"/>
    <w:qFormat/>
    <w:rsid w:val="008D0B51"/>
    <w:pPr>
      <w:spacing w:before="1440" w:after="120"/>
    </w:pPr>
    <w:rPr>
      <w:b/>
      <w:color w:val="7E790A"/>
      <w:sz w:val="30"/>
    </w:rPr>
  </w:style>
  <w:style w:type="table" w:customStyle="1" w:styleId="Style1">
    <w:name w:val="Style1"/>
    <w:basedOn w:val="TableNormal"/>
    <w:uiPriority w:val="99"/>
    <w:rsid w:val="00464462"/>
    <w:pPr>
      <w:spacing w:after="0" w:line="240" w:lineRule="auto"/>
    </w:pPr>
    <w:tblPr>
      <w:tblCellMar>
        <w:top w:w="113" w:type="dxa"/>
        <w:left w:w="227" w:type="dxa"/>
        <w:bottom w:w="113" w:type="dxa"/>
      </w:tblCellMar>
    </w:tblPr>
    <w:tblStylePr w:type="firstCol">
      <w:pPr>
        <w:jc w:val="right"/>
      </w:pPr>
      <w:rPr>
        <w:b/>
      </w:rPr>
      <w:tblPr>
        <w:tblCellMar>
          <w:top w:w="113" w:type="dxa"/>
          <w:left w:w="108" w:type="dxa"/>
          <w:bottom w:w="113" w:type="dxa"/>
          <w:right w:w="227" w:type="dxa"/>
        </w:tblCellMar>
      </w:tblPr>
    </w:tblStylePr>
  </w:style>
  <w:style w:type="paragraph" w:customStyle="1" w:styleId="FooterWhite">
    <w:name w:val="Footer White"/>
    <w:basedOn w:val="Footer"/>
    <w:qFormat/>
    <w:rsid w:val="000E65B4"/>
    <w:rPr>
      <w:noProof/>
      <w:color w:val="FFFFFF" w:themeColor="background1"/>
    </w:rPr>
  </w:style>
  <w:style w:type="paragraph" w:customStyle="1" w:styleId="Scenario-normal">
    <w:name w:val="Scenario - normal"/>
    <w:basedOn w:val="Acknowledgement"/>
    <w:qFormat/>
    <w:rsid w:val="000E65B4"/>
    <w:pPr>
      <w:spacing w:before="240" w:after="120" w:line="240" w:lineRule="auto"/>
    </w:pPr>
    <w:rPr>
      <w:color w:val="FFFFFF" w:themeColor="background1"/>
    </w:rPr>
  </w:style>
  <w:style w:type="paragraph" w:customStyle="1" w:styleId="Scenario-heading">
    <w:name w:val="Scenario - heading"/>
    <w:basedOn w:val="Normal"/>
    <w:qFormat/>
    <w:rsid w:val="000E65B4"/>
    <w:pPr>
      <w:spacing w:after="0" w:line="240" w:lineRule="auto"/>
      <w:jc w:val="right"/>
    </w:pPr>
    <w:rPr>
      <w:b/>
      <w:color w:val="FFFFFF" w:themeColor="background1"/>
      <w:sz w:val="48"/>
    </w:rPr>
  </w:style>
  <w:style w:type="paragraph" w:customStyle="1" w:styleId="Scenario-subheading">
    <w:name w:val="Scenario - sub heading"/>
    <w:basedOn w:val="Normal"/>
    <w:qFormat/>
    <w:rsid w:val="000E65B4"/>
    <w:pPr>
      <w:spacing w:after="0" w:line="240" w:lineRule="auto"/>
      <w:jc w:val="right"/>
    </w:pPr>
    <w:rPr>
      <w:b/>
      <w:color w:val="FFFFFF" w:themeColor="background1"/>
      <w:sz w:val="28"/>
    </w:rPr>
  </w:style>
  <w:style w:type="paragraph" w:customStyle="1" w:styleId="Scenario-list">
    <w:name w:val="Scenario - list"/>
    <w:basedOn w:val="Calloutbox-list"/>
    <w:qFormat/>
    <w:rsid w:val="00462366"/>
    <w:pPr>
      <w:ind w:left="357"/>
    </w:pPr>
    <w:rPr>
      <w:color w:val="FFFFFF" w:themeColor="background1"/>
    </w:rPr>
  </w:style>
  <w:style w:type="paragraph" w:customStyle="1" w:styleId="Indentedblockquote">
    <w:name w:val="Indented blockquote"/>
    <w:basedOn w:val="Normal"/>
    <w:link w:val="IndentedblockquoteChar"/>
    <w:qFormat/>
    <w:rsid w:val="00015420"/>
    <w:pPr>
      <w:ind w:left="357"/>
    </w:pPr>
  </w:style>
  <w:style w:type="paragraph" w:styleId="NormalWeb">
    <w:name w:val="Normal (Web)"/>
    <w:basedOn w:val="Normal"/>
    <w:uiPriority w:val="99"/>
    <w:unhideWhenUsed/>
    <w:rsid w:val="00A95A80"/>
    <w:pPr>
      <w:spacing w:before="100" w:beforeAutospacing="1" w:after="100" w:afterAutospacing="1" w:line="240" w:lineRule="auto"/>
    </w:pPr>
    <w:rPr>
      <w:rFonts w:eastAsia="Times New Roman" w:cs="Times New Roman"/>
      <w:sz w:val="24"/>
      <w:szCs w:val="24"/>
      <w:lang w:val="en-AU" w:eastAsia="en-AU"/>
    </w:rPr>
  </w:style>
  <w:style w:type="character" w:customStyle="1" w:styleId="IndentedblockquoteChar">
    <w:name w:val="Indented blockquote Char"/>
    <w:basedOn w:val="DefaultParagraphFont"/>
    <w:link w:val="Indentedblockquote"/>
    <w:rsid w:val="00015420"/>
    <w:rPr>
      <w:rFonts w:ascii="Times New Roman" w:hAnsi="Times New Roman"/>
    </w:rPr>
  </w:style>
  <w:style w:type="paragraph" w:styleId="Revision">
    <w:name w:val="Revision"/>
    <w:hidden/>
    <w:uiPriority w:val="99"/>
    <w:semiHidden/>
    <w:rsid w:val="00213DAF"/>
    <w:pPr>
      <w:spacing w:after="0" w:line="240" w:lineRule="auto"/>
    </w:pPr>
    <w:rPr>
      <w:rFonts w:ascii="Times New Roman" w:hAnsi="Times New Roman"/>
    </w:rPr>
  </w:style>
  <w:style w:type="character" w:styleId="Emphasis">
    <w:name w:val="Emphasis"/>
    <w:basedOn w:val="DefaultParagraphFont"/>
    <w:uiPriority w:val="20"/>
    <w:qFormat/>
    <w:rsid w:val="002874F4"/>
    <w:rPr>
      <w:i/>
      <w:iCs/>
    </w:rPr>
  </w:style>
  <w:style w:type="paragraph" w:styleId="NoSpacing">
    <w:name w:val="No Spacing"/>
    <w:uiPriority w:val="1"/>
    <w:qFormat/>
    <w:rsid w:val="00A81535"/>
    <w:pPr>
      <w:spacing w:after="0" w:line="240" w:lineRule="auto"/>
    </w:pPr>
    <w:rPr>
      <w:rFonts w:ascii="Times New Roman" w:hAnsi="Times New Roman"/>
    </w:rPr>
  </w:style>
  <w:style w:type="character" w:styleId="UnresolvedMention">
    <w:name w:val="Unresolved Mention"/>
    <w:basedOn w:val="DefaultParagraphFont"/>
    <w:uiPriority w:val="99"/>
    <w:semiHidden/>
    <w:unhideWhenUsed/>
    <w:rsid w:val="00397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3199">
      <w:bodyDiv w:val="1"/>
      <w:marLeft w:val="0"/>
      <w:marRight w:val="0"/>
      <w:marTop w:val="0"/>
      <w:marBottom w:val="0"/>
      <w:divBdr>
        <w:top w:val="none" w:sz="0" w:space="0" w:color="auto"/>
        <w:left w:val="none" w:sz="0" w:space="0" w:color="auto"/>
        <w:bottom w:val="none" w:sz="0" w:space="0" w:color="auto"/>
        <w:right w:val="none" w:sz="0" w:space="0" w:color="auto"/>
      </w:divBdr>
    </w:div>
    <w:div w:id="261256693">
      <w:bodyDiv w:val="1"/>
      <w:marLeft w:val="0"/>
      <w:marRight w:val="0"/>
      <w:marTop w:val="0"/>
      <w:marBottom w:val="0"/>
      <w:divBdr>
        <w:top w:val="none" w:sz="0" w:space="0" w:color="auto"/>
        <w:left w:val="none" w:sz="0" w:space="0" w:color="auto"/>
        <w:bottom w:val="none" w:sz="0" w:space="0" w:color="auto"/>
        <w:right w:val="none" w:sz="0" w:space="0" w:color="auto"/>
      </w:divBdr>
    </w:div>
    <w:div w:id="899167902">
      <w:bodyDiv w:val="1"/>
      <w:marLeft w:val="0"/>
      <w:marRight w:val="0"/>
      <w:marTop w:val="0"/>
      <w:marBottom w:val="0"/>
      <w:divBdr>
        <w:top w:val="none" w:sz="0" w:space="0" w:color="auto"/>
        <w:left w:val="none" w:sz="0" w:space="0" w:color="auto"/>
        <w:bottom w:val="none" w:sz="0" w:space="0" w:color="auto"/>
        <w:right w:val="none" w:sz="0" w:space="0" w:color="auto"/>
      </w:divBdr>
    </w:div>
    <w:div w:id="1031106110">
      <w:bodyDiv w:val="1"/>
      <w:marLeft w:val="0"/>
      <w:marRight w:val="0"/>
      <w:marTop w:val="0"/>
      <w:marBottom w:val="0"/>
      <w:divBdr>
        <w:top w:val="none" w:sz="0" w:space="0" w:color="auto"/>
        <w:left w:val="none" w:sz="0" w:space="0" w:color="auto"/>
        <w:bottom w:val="none" w:sz="0" w:space="0" w:color="auto"/>
        <w:right w:val="none" w:sz="0" w:space="0" w:color="auto"/>
      </w:divBdr>
    </w:div>
    <w:div w:id="181930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twitter.com/ANRO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enquiries@anrows.org.au" TargetMode="External"/><Relationship Id="rId2" Type="http://schemas.openxmlformats.org/officeDocument/2006/relationships/numbering" Target="numbering.xml"/><Relationship Id="rId16" Type="http://schemas.openxmlformats.org/officeDocument/2006/relationships/hyperlink" Target="anrows.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oners.justice.nsw.gov.au/Pages/Publications/dv_annual_reports.aspx"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NROWS">
      <a:dk1>
        <a:sysClr val="windowText" lastClr="000000"/>
      </a:dk1>
      <a:lt1>
        <a:sysClr val="window" lastClr="FFFFFF"/>
      </a:lt1>
      <a:dk2>
        <a:srgbClr val="6C7982"/>
      </a:dk2>
      <a:lt2>
        <a:srgbClr val="FFFFFF"/>
      </a:lt2>
      <a:accent1>
        <a:srgbClr val="7F790B"/>
      </a:accent1>
      <a:accent2>
        <a:srgbClr val="6C7982"/>
      </a:accent2>
      <a:accent3>
        <a:srgbClr val="906B7D"/>
      </a:accent3>
      <a:accent4>
        <a:srgbClr val="747579"/>
      </a:accent4>
      <a:accent5>
        <a:srgbClr val="1C345A"/>
      </a:accent5>
      <a:accent6>
        <a:srgbClr val="6C7982"/>
      </a:accent6>
      <a:hlink>
        <a:srgbClr val="7F790B"/>
      </a:hlink>
      <a:folHlink>
        <a:srgbClr val="7F790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266E3-3908-4F54-9CEF-01BA4B1B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Name of the research project</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Facts About Intimate Partner Homicide</dc:title>
  <dc:subject/>
  <dc:creator>Australia's National Research Organisation for Women's Safety</dc:creator>
  <cp:keywords/>
  <dc:description/>
  <cp:lastModifiedBy>Larry Hudson</cp:lastModifiedBy>
  <cp:revision>12</cp:revision>
  <dcterms:created xsi:type="dcterms:W3CDTF">2021-05-19T05:21:00Z</dcterms:created>
  <dcterms:modified xsi:type="dcterms:W3CDTF">2021-07-27T02:12:00Z</dcterms:modified>
</cp:coreProperties>
</file>